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02D6D">
      <w:pPr>
        <w:spacing w:line="360" w:lineRule="auto"/>
        <w:jc w:val="center"/>
        <w:rPr>
          <w:rFonts w:ascii="Arial Narrow" w:hAnsi="Arial Narrow"/>
          <w:b/>
          <w:bCs/>
          <w:sz w:val="36"/>
          <w:szCs w:val="36"/>
        </w:rPr>
      </w:pPr>
    </w:p>
    <w:p w14:paraId="3A9DB380">
      <w:pPr>
        <w:spacing w:line="360" w:lineRule="auto"/>
        <w:jc w:val="center"/>
        <w:rPr>
          <w:rFonts w:ascii="Arial Narrow" w:hAnsi="Arial Narrow"/>
          <w:b/>
          <w:bCs/>
          <w:sz w:val="36"/>
          <w:szCs w:val="36"/>
        </w:rPr>
      </w:pPr>
    </w:p>
    <w:p w14:paraId="6339B6F0">
      <w:pPr>
        <w:spacing w:line="360" w:lineRule="auto"/>
        <w:jc w:val="center"/>
        <w:rPr>
          <w:rFonts w:ascii="Arial Narrow" w:hAnsi="Arial Narrow"/>
          <w:b/>
          <w:bCs/>
          <w:sz w:val="36"/>
          <w:szCs w:val="36"/>
        </w:rPr>
      </w:pPr>
    </w:p>
    <w:p w14:paraId="570D8447">
      <w:pPr>
        <w:spacing w:line="360" w:lineRule="auto"/>
        <w:jc w:val="center"/>
        <w:rPr>
          <w:rFonts w:ascii="Arial Narrow" w:hAnsi="Arial Narrow"/>
          <w:b/>
          <w:bCs/>
          <w:sz w:val="36"/>
          <w:szCs w:val="36"/>
        </w:rPr>
      </w:pPr>
    </w:p>
    <w:p w14:paraId="592793E7">
      <w:pPr>
        <w:adjustRightInd w:val="0"/>
        <w:snapToGrid w:val="0"/>
        <w:spacing w:line="360" w:lineRule="auto"/>
        <w:jc w:val="center"/>
        <w:rPr>
          <w:rFonts w:ascii="Arial Narrow" w:hAnsi="Arial Narrow" w:eastAsia="仿宋"/>
          <w:b/>
          <w:sz w:val="36"/>
          <w:szCs w:val="36"/>
        </w:rPr>
      </w:pPr>
      <w:bookmarkStart w:id="0" w:name="_Hlk169873075"/>
      <w:r>
        <w:rPr>
          <w:rFonts w:hint="eastAsia" w:ascii="Arial Narrow" w:hAnsi="Arial Narrow" w:eastAsia="仿宋"/>
          <w:b/>
          <w:sz w:val="36"/>
          <w:szCs w:val="36"/>
        </w:rPr>
        <w:t>重庆市铜梁区乡村振兴局、重庆市铜梁区供销合作社</w:t>
      </w:r>
      <w:bookmarkEnd w:id="0"/>
      <w:r>
        <w:rPr>
          <w:rFonts w:hint="eastAsia" w:ascii="Arial Narrow" w:hAnsi="Arial Narrow" w:eastAsia="仿宋"/>
          <w:b/>
          <w:sz w:val="36"/>
          <w:szCs w:val="36"/>
        </w:rPr>
        <w:t>消费帮扶项目</w:t>
      </w:r>
    </w:p>
    <w:p w14:paraId="1C15DC2A">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7BBBC7F0">
      <w:pPr>
        <w:adjustRightInd w:val="0"/>
        <w:snapToGrid w:val="0"/>
        <w:spacing w:line="360" w:lineRule="auto"/>
        <w:jc w:val="center"/>
        <w:rPr>
          <w:rFonts w:ascii="Arial Narrow" w:hAnsi="Arial Narrow"/>
          <w:b/>
          <w:sz w:val="36"/>
          <w:szCs w:val="36"/>
        </w:rPr>
      </w:pPr>
    </w:p>
    <w:p w14:paraId="23053675">
      <w:pPr>
        <w:adjustRightInd w:val="0"/>
        <w:snapToGrid w:val="0"/>
        <w:spacing w:line="360" w:lineRule="auto"/>
        <w:jc w:val="center"/>
        <w:rPr>
          <w:rFonts w:ascii="Arial Narrow" w:hAnsi="Arial Narrow"/>
          <w:b/>
          <w:spacing w:val="100"/>
          <w:sz w:val="32"/>
          <w:szCs w:val="32"/>
        </w:rPr>
      </w:pPr>
    </w:p>
    <w:p w14:paraId="2A4760DC">
      <w:pPr>
        <w:adjustRightInd w:val="0"/>
        <w:snapToGrid w:val="0"/>
        <w:spacing w:line="360" w:lineRule="auto"/>
        <w:jc w:val="center"/>
        <w:rPr>
          <w:rFonts w:ascii="Arial Narrow" w:hAnsi="Arial Narrow"/>
          <w:b/>
          <w:spacing w:val="100"/>
          <w:sz w:val="32"/>
          <w:szCs w:val="32"/>
        </w:rPr>
      </w:pPr>
    </w:p>
    <w:p w14:paraId="77D344D4">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1" w:name="_Toc488637980"/>
      <w:bookmarkStart w:id="2" w:name="_Toc488804777"/>
      <w:r>
        <w:rPr>
          <w:rFonts w:ascii="Arial Narrow" w:hAnsi="Arial Narrow" w:eastAsia="仿宋"/>
          <w:b/>
          <w:w w:val="102"/>
          <w:sz w:val="44"/>
          <w:szCs w:val="44"/>
        </w:rPr>
        <w:t>报告</w:t>
      </w:r>
    </w:p>
    <w:p w14:paraId="72413F2E">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014</w:t>
      </w:r>
      <w:r>
        <w:rPr>
          <w:rFonts w:ascii="Arial Narrow" w:hAnsi="Arial Narrow" w:eastAsia="仿宋"/>
          <w:bCs/>
          <w:sz w:val="32"/>
          <w:szCs w:val="32"/>
        </w:rPr>
        <w:t>号</w:t>
      </w:r>
    </w:p>
    <w:p w14:paraId="7A584192">
      <w:pPr>
        <w:adjustRightInd w:val="0"/>
        <w:snapToGrid w:val="0"/>
        <w:spacing w:line="360" w:lineRule="auto"/>
        <w:jc w:val="center"/>
        <w:rPr>
          <w:rFonts w:ascii="Arial Narrow" w:hAnsi="Arial Narrow"/>
          <w:b/>
          <w:spacing w:val="100"/>
          <w:sz w:val="32"/>
          <w:szCs w:val="32"/>
        </w:rPr>
      </w:pPr>
    </w:p>
    <w:p w14:paraId="31022EE9">
      <w:pPr>
        <w:adjustRightInd w:val="0"/>
        <w:snapToGrid w:val="0"/>
        <w:spacing w:line="360" w:lineRule="auto"/>
        <w:jc w:val="center"/>
        <w:rPr>
          <w:rFonts w:ascii="Arial Narrow" w:hAnsi="Arial Narrow"/>
          <w:b/>
          <w:spacing w:val="100"/>
          <w:sz w:val="32"/>
          <w:szCs w:val="32"/>
        </w:rPr>
      </w:pPr>
    </w:p>
    <w:p w14:paraId="26198FCE">
      <w:pPr>
        <w:adjustRightInd w:val="0"/>
        <w:snapToGrid w:val="0"/>
        <w:spacing w:line="360" w:lineRule="auto"/>
        <w:jc w:val="center"/>
        <w:rPr>
          <w:rFonts w:ascii="Arial Narrow" w:hAnsi="Arial Narrow"/>
          <w:b/>
          <w:spacing w:val="100"/>
          <w:sz w:val="32"/>
          <w:szCs w:val="32"/>
        </w:rPr>
      </w:pPr>
    </w:p>
    <w:p w14:paraId="72924B14">
      <w:pPr>
        <w:adjustRightInd w:val="0"/>
        <w:snapToGrid w:val="0"/>
        <w:spacing w:line="360" w:lineRule="auto"/>
        <w:jc w:val="center"/>
        <w:rPr>
          <w:rFonts w:ascii="Arial Narrow" w:hAnsi="Arial Narrow"/>
          <w:b/>
          <w:spacing w:val="100"/>
          <w:sz w:val="32"/>
          <w:szCs w:val="32"/>
        </w:rPr>
      </w:pPr>
    </w:p>
    <w:p w14:paraId="00CCC729">
      <w:pPr>
        <w:adjustRightInd w:val="0"/>
        <w:snapToGrid w:val="0"/>
        <w:spacing w:line="360" w:lineRule="auto"/>
        <w:jc w:val="center"/>
        <w:rPr>
          <w:rFonts w:ascii="Arial Narrow" w:hAnsi="Arial Narrow"/>
          <w:b/>
          <w:spacing w:val="100"/>
          <w:sz w:val="32"/>
          <w:szCs w:val="32"/>
        </w:rPr>
      </w:pPr>
    </w:p>
    <w:p w14:paraId="5A672F30">
      <w:pPr>
        <w:adjustRightInd w:val="0"/>
        <w:snapToGrid w:val="0"/>
        <w:spacing w:line="360" w:lineRule="auto"/>
        <w:jc w:val="center"/>
        <w:rPr>
          <w:rFonts w:ascii="Arial Narrow" w:hAnsi="Arial Narrow"/>
          <w:b/>
          <w:spacing w:val="100"/>
          <w:sz w:val="32"/>
          <w:szCs w:val="32"/>
        </w:rPr>
      </w:pPr>
    </w:p>
    <w:p w14:paraId="72679F38">
      <w:pPr>
        <w:adjustRightInd w:val="0"/>
        <w:snapToGrid w:val="0"/>
        <w:spacing w:line="360" w:lineRule="auto"/>
        <w:jc w:val="center"/>
        <w:rPr>
          <w:rFonts w:ascii="Arial Narrow" w:hAnsi="Arial Narrow"/>
          <w:b/>
          <w:spacing w:val="100"/>
          <w:sz w:val="32"/>
          <w:szCs w:val="32"/>
        </w:rPr>
      </w:pPr>
    </w:p>
    <w:p w14:paraId="0B572527">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1F9C6C9D">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val="en-US"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1"/>
      <w:bookmarkEnd w:id="2"/>
      <w:r>
        <w:rPr>
          <w:rFonts w:ascii="Arial Narrow" w:hAnsi="Arial Narrow"/>
          <w:sz w:val="44"/>
          <w:szCs w:val="44"/>
        </w:rPr>
        <w:t>目   录</w:t>
      </w:r>
    </w:p>
    <w:p w14:paraId="156DB022">
      <w:pPr>
        <w:spacing w:line="360" w:lineRule="auto"/>
        <w:jc w:val="center"/>
        <w:rPr>
          <w:rFonts w:ascii="Arial Narrow" w:hAnsi="Arial Narrow"/>
          <w:sz w:val="24"/>
        </w:rPr>
      </w:pPr>
    </w:p>
    <w:p w14:paraId="2D474AD9">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_Toc10155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_Toc10155 \h </w:instrText>
      </w:r>
      <w:r>
        <w:fldChar w:fldCharType="separate"/>
      </w:r>
      <w:r>
        <w:t>1</w:t>
      </w:r>
      <w:r>
        <w:fldChar w:fldCharType="end"/>
      </w:r>
      <w:r>
        <w:rPr>
          <w:rFonts w:ascii="仿宋" w:hAnsi="仿宋" w:eastAsia="仿宋"/>
          <w:bCs w:val="0"/>
          <w:color w:val="auto"/>
          <w:szCs w:val="21"/>
          <w:u w:val="none"/>
        </w:rPr>
        <w:fldChar w:fldCharType="end"/>
      </w:r>
    </w:p>
    <w:p w14:paraId="3A9B94E8">
      <w:pPr>
        <w:pStyle w:val="6"/>
        <w:tabs>
          <w:tab w:val="right" w:leader="dot" w:pos="8788"/>
          <w:tab w:val="clear" w:pos="8778"/>
        </w:tabs>
      </w:pPr>
      <w:r>
        <w:rPr>
          <w:color w:val="auto"/>
          <w:szCs w:val="21"/>
          <w:u w:val="none"/>
        </w:rPr>
        <w:fldChar w:fldCharType="begin"/>
      </w:r>
      <w:r>
        <w:rPr>
          <w:szCs w:val="21"/>
        </w:rPr>
        <w:instrText xml:space="preserve"> HYPERLINK \l _Toc1783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_Toc1783 \h </w:instrText>
      </w:r>
      <w:r>
        <w:fldChar w:fldCharType="separate"/>
      </w:r>
      <w:r>
        <w:t>1</w:t>
      </w:r>
      <w:r>
        <w:fldChar w:fldCharType="end"/>
      </w:r>
      <w:r>
        <w:rPr>
          <w:color w:val="auto"/>
          <w:szCs w:val="21"/>
          <w:u w:val="none"/>
        </w:rPr>
        <w:fldChar w:fldCharType="end"/>
      </w:r>
    </w:p>
    <w:p w14:paraId="294D3574">
      <w:pPr>
        <w:pStyle w:val="6"/>
        <w:tabs>
          <w:tab w:val="right" w:leader="dot" w:pos="8788"/>
          <w:tab w:val="clear" w:pos="8778"/>
        </w:tabs>
      </w:pPr>
      <w:r>
        <w:rPr>
          <w:color w:val="auto"/>
          <w:szCs w:val="21"/>
          <w:u w:val="none"/>
        </w:rPr>
        <w:fldChar w:fldCharType="begin"/>
      </w:r>
      <w:r>
        <w:rPr>
          <w:szCs w:val="21"/>
        </w:rPr>
        <w:instrText xml:space="preserve"> HYPERLINK \l _Toc14587 </w:instrText>
      </w:r>
      <w:r>
        <w:rPr>
          <w:szCs w:val="21"/>
        </w:rPr>
        <w:fldChar w:fldCharType="separate"/>
      </w:r>
      <w:r>
        <w:rPr>
          <w:rFonts w:ascii="Arial Narrow" w:hAnsi="Arial Narrow" w:eastAsia="仿宋_GB2312"/>
        </w:rPr>
        <w:t>二、绩效评价工作情况</w:t>
      </w:r>
      <w:r>
        <w:tab/>
      </w:r>
      <w:r>
        <w:fldChar w:fldCharType="begin"/>
      </w:r>
      <w:r>
        <w:instrText xml:space="preserve"> PAGEREF _Toc14587 \h </w:instrText>
      </w:r>
      <w:r>
        <w:fldChar w:fldCharType="separate"/>
      </w:r>
      <w:r>
        <w:t>1</w:t>
      </w:r>
      <w:r>
        <w:fldChar w:fldCharType="end"/>
      </w:r>
      <w:r>
        <w:rPr>
          <w:color w:val="auto"/>
          <w:szCs w:val="21"/>
          <w:u w:val="none"/>
        </w:rPr>
        <w:fldChar w:fldCharType="end"/>
      </w:r>
    </w:p>
    <w:p w14:paraId="0F91241E">
      <w:pPr>
        <w:pStyle w:val="6"/>
        <w:tabs>
          <w:tab w:val="right" w:leader="dot" w:pos="8788"/>
          <w:tab w:val="clear" w:pos="8778"/>
        </w:tabs>
      </w:pPr>
      <w:r>
        <w:rPr>
          <w:color w:val="auto"/>
          <w:szCs w:val="21"/>
          <w:u w:val="none"/>
        </w:rPr>
        <w:fldChar w:fldCharType="begin"/>
      </w:r>
      <w:r>
        <w:rPr>
          <w:szCs w:val="21"/>
        </w:rPr>
        <w:instrText xml:space="preserve"> HYPERLINK \l _Toc31334 </w:instrText>
      </w:r>
      <w:r>
        <w:rPr>
          <w:szCs w:val="21"/>
        </w:rPr>
        <w:fldChar w:fldCharType="separate"/>
      </w:r>
      <w:r>
        <w:rPr>
          <w:rFonts w:ascii="Arial Narrow" w:hAnsi="Arial Narrow" w:eastAsia="仿宋_GB2312"/>
        </w:rPr>
        <w:t>（一）绩效评价目的</w:t>
      </w:r>
      <w:r>
        <w:tab/>
      </w:r>
      <w:r>
        <w:fldChar w:fldCharType="begin"/>
      </w:r>
      <w:r>
        <w:instrText xml:space="preserve"> PAGEREF _Toc31334 \h </w:instrText>
      </w:r>
      <w:r>
        <w:fldChar w:fldCharType="separate"/>
      </w:r>
      <w:r>
        <w:t>1</w:t>
      </w:r>
      <w:r>
        <w:fldChar w:fldCharType="end"/>
      </w:r>
      <w:r>
        <w:rPr>
          <w:color w:val="auto"/>
          <w:szCs w:val="21"/>
          <w:u w:val="none"/>
        </w:rPr>
        <w:fldChar w:fldCharType="end"/>
      </w:r>
    </w:p>
    <w:p w14:paraId="0EA187F2">
      <w:pPr>
        <w:pStyle w:val="6"/>
        <w:tabs>
          <w:tab w:val="right" w:leader="dot" w:pos="8788"/>
          <w:tab w:val="clear" w:pos="8778"/>
        </w:tabs>
      </w:pPr>
      <w:r>
        <w:rPr>
          <w:color w:val="auto"/>
          <w:szCs w:val="21"/>
          <w:u w:val="none"/>
        </w:rPr>
        <w:fldChar w:fldCharType="begin"/>
      </w:r>
      <w:r>
        <w:rPr>
          <w:szCs w:val="21"/>
        </w:rPr>
        <w:instrText xml:space="preserve"> HYPERLINK \l _Toc6702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_Toc6702 \h </w:instrText>
      </w:r>
      <w:r>
        <w:fldChar w:fldCharType="separate"/>
      </w:r>
      <w:r>
        <w:t>2</w:t>
      </w:r>
      <w:r>
        <w:fldChar w:fldCharType="end"/>
      </w:r>
      <w:r>
        <w:rPr>
          <w:color w:val="auto"/>
          <w:szCs w:val="21"/>
          <w:u w:val="none"/>
        </w:rPr>
        <w:fldChar w:fldCharType="end"/>
      </w:r>
    </w:p>
    <w:p w14:paraId="6E778540">
      <w:pPr>
        <w:pStyle w:val="6"/>
        <w:tabs>
          <w:tab w:val="right" w:leader="dot" w:pos="8788"/>
          <w:tab w:val="clear" w:pos="8778"/>
        </w:tabs>
      </w:pPr>
      <w:r>
        <w:rPr>
          <w:color w:val="auto"/>
          <w:szCs w:val="21"/>
          <w:u w:val="none"/>
        </w:rPr>
        <w:fldChar w:fldCharType="begin"/>
      </w:r>
      <w:r>
        <w:rPr>
          <w:szCs w:val="21"/>
        </w:rPr>
        <w:instrText xml:space="preserve"> HYPERLINK \l _Toc3948 </w:instrText>
      </w:r>
      <w:r>
        <w:rPr>
          <w:szCs w:val="21"/>
        </w:rPr>
        <w:fldChar w:fldCharType="separate"/>
      </w:r>
      <w:r>
        <w:rPr>
          <w:rFonts w:ascii="Arial Narrow" w:hAnsi="Arial Narrow" w:eastAsia="仿宋_GB2312"/>
        </w:rPr>
        <w:t>（三）绩效评价依据</w:t>
      </w:r>
      <w:r>
        <w:tab/>
      </w:r>
      <w:r>
        <w:fldChar w:fldCharType="begin"/>
      </w:r>
      <w:r>
        <w:instrText xml:space="preserve"> PAGEREF _Toc3948 \h </w:instrText>
      </w:r>
      <w:r>
        <w:fldChar w:fldCharType="separate"/>
      </w:r>
      <w:r>
        <w:t>2</w:t>
      </w:r>
      <w:r>
        <w:fldChar w:fldCharType="end"/>
      </w:r>
      <w:r>
        <w:rPr>
          <w:color w:val="auto"/>
          <w:szCs w:val="21"/>
          <w:u w:val="none"/>
        </w:rPr>
        <w:fldChar w:fldCharType="end"/>
      </w:r>
    </w:p>
    <w:p w14:paraId="3837D796">
      <w:pPr>
        <w:pStyle w:val="6"/>
        <w:tabs>
          <w:tab w:val="right" w:leader="dot" w:pos="8788"/>
          <w:tab w:val="clear" w:pos="8778"/>
        </w:tabs>
      </w:pPr>
      <w:r>
        <w:rPr>
          <w:color w:val="auto"/>
          <w:szCs w:val="21"/>
          <w:u w:val="none"/>
        </w:rPr>
        <w:fldChar w:fldCharType="begin"/>
      </w:r>
      <w:r>
        <w:rPr>
          <w:szCs w:val="21"/>
        </w:rPr>
        <w:instrText xml:space="preserve"> HYPERLINK \l _Toc28639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_Toc28639 \h </w:instrText>
      </w:r>
      <w:r>
        <w:fldChar w:fldCharType="separate"/>
      </w:r>
      <w:r>
        <w:t>2</w:t>
      </w:r>
      <w:r>
        <w:fldChar w:fldCharType="end"/>
      </w:r>
      <w:r>
        <w:rPr>
          <w:color w:val="auto"/>
          <w:szCs w:val="21"/>
          <w:u w:val="none"/>
        </w:rPr>
        <w:fldChar w:fldCharType="end"/>
      </w:r>
    </w:p>
    <w:p w14:paraId="1E5DA5DC">
      <w:pPr>
        <w:pStyle w:val="6"/>
        <w:tabs>
          <w:tab w:val="right" w:leader="dot" w:pos="8788"/>
          <w:tab w:val="clear" w:pos="8778"/>
        </w:tabs>
      </w:pPr>
      <w:r>
        <w:rPr>
          <w:color w:val="auto"/>
          <w:szCs w:val="21"/>
          <w:u w:val="none"/>
        </w:rPr>
        <w:fldChar w:fldCharType="begin"/>
      </w:r>
      <w:r>
        <w:rPr>
          <w:szCs w:val="21"/>
        </w:rPr>
        <w:instrText xml:space="preserve"> HYPERLINK \l _Toc5171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_Toc5171 \h </w:instrText>
      </w:r>
      <w:r>
        <w:fldChar w:fldCharType="separate"/>
      </w:r>
      <w:r>
        <w:t>5</w:t>
      </w:r>
      <w:r>
        <w:fldChar w:fldCharType="end"/>
      </w:r>
      <w:r>
        <w:rPr>
          <w:color w:val="auto"/>
          <w:szCs w:val="21"/>
          <w:u w:val="none"/>
        </w:rPr>
        <w:fldChar w:fldCharType="end"/>
      </w:r>
    </w:p>
    <w:p w14:paraId="4220D726">
      <w:pPr>
        <w:pStyle w:val="6"/>
        <w:tabs>
          <w:tab w:val="right" w:leader="dot" w:pos="8788"/>
          <w:tab w:val="clear" w:pos="8778"/>
        </w:tabs>
      </w:pPr>
      <w:r>
        <w:rPr>
          <w:color w:val="auto"/>
          <w:szCs w:val="21"/>
          <w:u w:val="none"/>
        </w:rPr>
        <w:fldChar w:fldCharType="begin"/>
      </w:r>
      <w:r>
        <w:rPr>
          <w:szCs w:val="21"/>
        </w:rPr>
        <w:instrText xml:space="preserve"> HYPERLINK \l _Toc929 </w:instrText>
      </w:r>
      <w:r>
        <w:rPr>
          <w:szCs w:val="21"/>
        </w:rPr>
        <w:fldChar w:fldCharType="separate"/>
      </w:r>
      <w:r>
        <w:rPr>
          <w:rFonts w:ascii="Arial Narrow" w:hAnsi="Arial Narrow" w:eastAsia="仿宋_GB2312"/>
        </w:rPr>
        <w:t>（六）绩效评价工作过程</w:t>
      </w:r>
      <w:r>
        <w:tab/>
      </w:r>
      <w:r>
        <w:fldChar w:fldCharType="begin"/>
      </w:r>
      <w:r>
        <w:instrText xml:space="preserve"> PAGEREF _Toc929 \h </w:instrText>
      </w:r>
      <w:r>
        <w:fldChar w:fldCharType="separate"/>
      </w:r>
      <w:r>
        <w:t>5</w:t>
      </w:r>
      <w:r>
        <w:fldChar w:fldCharType="end"/>
      </w:r>
      <w:r>
        <w:rPr>
          <w:color w:val="auto"/>
          <w:szCs w:val="21"/>
          <w:u w:val="none"/>
        </w:rPr>
        <w:fldChar w:fldCharType="end"/>
      </w:r>
    </w:p>
    <w:p w14:paraId="698AA71D">
      <w:pPr>
        <w:pStyle w:val="6"/>
        <w:tabs>
          <w:tab w:val="right" w:leader="dot" w:pos="8788"/>
          <w:tab w:val="clear" w:pos="8778"/>
        </w:tabs>
      </w:pPr>
      <w:r>
        <w:rPr>
          <w:color w:val="auto"/>
          <w:szCs w:val="21"/>
          <w:u w:val="none"/>
        </w:rPr>
        <w:fldChar w:fldCharType="begin"/>
      </w:r>
      <w:r>
        <w:rPr>
          <w:szCs w:val="21"/>
        </w:rPr>
        <w:instrText xml:space="preserve"> HYPERLINK \l _Toc22471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_Toc22471 \h </w:instrText>
      </w:r>
      <w:r>
        <w:fldChar w:fldCharType="separate"/>
      </w:r>
      <w:r>
        <w:t>6</w:t>
      </w:r>
      <w:r>
        <w:fldChar w:fldCharType="end"/>
      </w:r>
      <w:r>
        <w:rPr>
          <w:color w:val="auto"/>
          <w:szCs w:val="21"/>
          <w:u w:val="none"/>
        </w:rPr>
        <w:fldChar w:fldCharType="end"/>
      </w:r>
    </w:p>
    <w:p w14:paraId="05AC50CB">
      <w:pPr>
        <w:pStyle w:val="6"/>
        <w:tabs>
          <w:tab w:val="right" w:leader="dot" w:pos="8788"/>
          <w:tab w:val="clear" w:pos="8778"/>
        </w:tabs>
      </w:pPr>
      <w:r>
        <w:rPr>
          <w:color w:val="auto"/>
          <w:szCs w:val="21"/>
          <w:u w:val="none"/>
        </w:rPr>
        <w:fldChar w:fldCharType="begin"/>
      </w:r>
      <w:r>
        <w:rPr>
          <w:szCs w:val="21"/>
        </w:rPr>
        <w:instrText xml:space="preserve"> HYPERLINK \l _Toc3313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_Toc3313 \h </w:instrText>
      </w:r>
      <w:r>
        <w:fldChar w:fldCharType="separate"/>
      </w:r>
      <w:r>
        <w:t>6</w:t>
      </w:r>
      <w:r>
        <w:fldChar w:fldCharType="end"/>
      </w:r>
      <w:r>
        <w:rPr>
          <w:color w:val="auto"/>
          <w:szCs w:val="21"/>
          <w:u w:val="none"/>
        </w:rPr>
        <w:fldChar w:fldCharType="end"/>
      </w:r>
    </w:p>
    <w:p w14:paraId="3C036F3A">
      <w:pPr>
        <w:pStyle w:val="6"/>
        <w:tabs>
          <w:tab w:val="right" w:leader="dot" w:pos="8788"/>
          <w:tab w:val="clear" w:pos="8778"/>
        </w:tabs>
      </w:pPr>
      <w:r>
        <w:rPr>
          <w:color w:val="auto"/>
          <w:szCs w:val="21"/>
          <w:u w:val="none"/>
        </w:rPr>
        <w:fldChar w:fldCharType="begin"/>
      </w:r>
      <w:r>
        <w:rPr>
          <w:szCs w:val="21"/>
        </w:rPr>
        <w:instrText xml:space="preserve"> HYPERLINK \l _Toc19920 </w:instrText>
      </w:r>
      <w:r>
        <w:rPr>
          <w:szCs w:val="21"/>
        </w:rPr>
        <w:fldChar w:fldCharType="separate"/>
      </w:r>
      <w:r>
        <w:rPr>
          <w:rFonts w:hint="eastAsia" w:ascii="仿宋_GB2312" w:eastAsia="仿宋_GB2312"/>
        </w:rPr>
        <w:t>（一）资金管理</w:t>
      </w:r>
      <w:r>
        <w:tab/>
      </w:r>
      <w:r>
        <w:fldChar w:fldCharType="begin"/>
      </w:r>
      <w:r>
        <w:instrText xml:space="preserve"> PAGEREF _Toc19920 \h </w:instrText>
      </w:r>
      <w:r>
        <w:fldChar w:fldCharType="separate"/>
      </w:r>
      <w:r>
        <w:t>6</w:t>
      </w:r>
      <w:r>
        <w:fldChar w:fldCharType="end"/>
      </w:r>
      <w:r>
        <w:rPr>
          <w:color w:val="auto"/>
          <w:szCs w:val="21"/>
          <w:u w:val="none"/>
        </w:rPr>
        <w:fldChar w:fldCharType="end"/>
      </w:r>
    </w:p>
    <w:p w14:paraId="4783771C">
      <w:pPr>
        <w:pStyle w:val="6"/>
        <w:tabs>
          <w:tab w:val="right" w:leader="dot" w:pos="8788"/>
          <w:tab w:val="clear" w:pos="8778"/>
        </w:tabs>
      </w:pPr>
      <w:r>
        <w:rPr>
          <w:color w:val="auto"/>
          <w:szCs w:val="21"/>
          <w:u w:val="none"/>
        </w:rPr>
        <w:fldChar w:fldCharType="begin"/>
      </w:r>
      <w:r>
        <w:rPr>
          <w:szCs w:val="21"/>
        </w:rPr>
        <w:instrText xml:space="preserve"> HYPERLINK \l _Toc19085 </w:instrText>
      </w:r>
      <w:r>
        <w:rPr>
          <w:szCs w:val="21"/>
        </w:rPr>
        <w:fldChar w:fldCharType="separate"/>
      </w:r>
      <w:r>
        <w:rPr>
          <w:rFonts w:hint="eastAsia" w:ascii="仿宋_GB2312" w:eastAsia="仿宋_GB2312"/>
        </w:rPr>
        <w:t>（二）项目管理</w:t>
      </w:r>
      <w:r>
        <w:tab/>
      </w:r>
      <w:r>
        <w:fldChar w:fldCharType="begin"/>
      </w:r>
      <w:r>
        <w:instrText xml:space="preserve"> PAGEREF _Toc19085 \h </w:instrText>
      </w:r>
      <w:r>
        <w:fldChar w:fldCharType="separate"/>
      </w:r>
      <w:r>
        <w:t>6</w:t>
      </w:r>
      <w:r>
        <w:fldChar w:fldCharType="end"/>
      </w:r>
      <w:r>
        <w:rPr>
          <w:color w:val="auto"/>
          <w:szCs w:val="21"/>
          <w:u w:val="none"/>
        </w:rPr>
        <w:fldChar w:fldCharType="end"/>
      </w:r>
    </w:p>
    <w:p w14:paraId="35AE8048">
      <w:pPr>
        <w:pStyle w:val="6"/>
        <w:tabs>
          <w:tab w:val="right" w:leader="dot" w:pos="8788"/>
          <w:tab w:val="clear" w:pos="8778"/>
        </w:tabs>
      </w:pPr>
      <w:r>
        <w:rPr>
          <w:color w:val="auto"/>
          <w:szCs w:val="21"/>
          <w:u w:val="none"/>
        </w:rPr>
        <w:fldChar w:fldCharType="begin"/>
      </w:r>
      <w:r>
        <w:rPr>
          <w:szCs w:val="21"/>
        </w:rPr>
        <w:instrText xml:space="preserve"> HYPERLINK \l _Toc13565 </w:instrText>
      </w:r>
      <w:r>
        <w:rPr>
          <w:szCs w:val="21"/>
        </w:rPr>
        <w:fldChar w:fldCharType="separate"/>
      </w:r>
      <w:r>
        <w:rPr>
          <w:rFonts w:hint="eastAsia" w:ascii="仿宋_GB2312" w:eastAsia="仿宋_GB2312"/>
        </w:rPr>
        <w:t>（三）使用成效及通报情况</w:t>
      </w:r>
      <w:r>
        <w:tab/>
      </w:r>
      <w:r>
        <w:fldChar w:fldCharType="begin"/>
      </w:r>
      <w:r>
        <w:instrText xml:space="preserve"> PAGEREF _Toc13565 \h </w:instrText>
      </w:r>
      <w:r>
        <w:fldChar w:fldCharType="separate"/>
      </w:r>
      <w:r>
        <w:t>7</w:t>
      </w:r>
      <w:r>
        <w:fldChar w:fldCharType="end"/>
      </w:r>
      <w:r>
        <w:rPr>
          <w:color w:val="auto"/>
          <w:szCs w:val="21"/>
          <w:u w:val="none"/>
        </w:rPr>
        <w:fldChar w:fldCharType="end"/>
      </w:r>
    </w:p>
    <w:p w14:paraId="21EAA5A6">
      <w:pPr>
        <w:pStyle w:val="6"/>
        <w:tabs>
          <w:tab w:val="right" w:leader="dot" w:pos="8788"/>
          <w:tab w:val="clear" w:pos="8778"/>
        </w:tabs>
      </w:pPr>
      <w:r>
        <w:rPr>
          <w:color w:val="auto"/>
          <w:szCs w:val="21"/>
          <w:u w:val="none"/>
        </w:rPr>
        <w:fldChar w:fldCharType="begin"/>
      </w:r>
      <w:r>
        <w:rPr>
          <w:szCs w:val="21"/>
        </w:rPr>
        <w:instrText xml:space="preserve"> HYPERLINK \l _Toc14243 </w:instrText>
      </w:r>
      <w:r>
        <w:rPr>
          <w:szCs w:val="21"/>
        </w:rPr>
        <w:fldChar w:fldCharType="separate"/>
      </w:r>
      <w:r>
        <w:rPr>
          <w:rFonts w:hint="eastAsia" w:ascii="Arial Narrow" w:hAnsi="Arial Narrow" w:eastAsia="仿宋_GB2312"/>
        </w:rPr>
        <w:t>五、存在的问题和建议</w:t>
      </w:r>
      <w:r>
        <w:tab/>
      </w:r>
      <w:r>
        <w:fldChar w:fldCharType="begin"/>
      </w:r>
      <w:r>
        <w:instrText xml:space="preserve"> PAGEREF _Toc14243 \h </w:instrText>
      </w:r>
      <w:r>
        <w:fldChar w:fldCharType="separate"/>
      </w:r>
      <w:r>
        <w:t>7</w:t>
      </w:r>
      <w:r>
        <w:fldChar w:fldCharType="end"/>
      </w:r>
      <w:r>
        <w:rPr>
          <w:color w:val="auto"/>
          <w:szCs w:val="21"/>
          <w:u w:val="none"/>
        </w:rPr>
        <w:fldChar w:fldCharType="end"/>
      </w:r>
    </w:p>
    <w:p w14:paraId="70A4FAE6">
      <w:pPr>
        <w:pStyle w:val="6"/>
        <w:tabs>
          <w:tab w:val="right" w:leader="dot" w:pos="8788"/>
          <w:tab w:val="clear" w:pos="8778"/>
        </w:tabs>
      </w:pPr>
      <w:r>
        <w:rPr>
          <w:color w:val="auto"/>
          <w:szCs w:val="21"/>
          <w:u w:val="none"/>
        </w:rPr>
        <w:fldChar w:fldCharType="begin"/>
      </w:r>
      <w:r>
        <w:rPr>
          <w:szCs w:val="21"/>
        </w:rPr>
        <w:instrText xml:space="preserve"> HYPERLINK \l _Toc32253 </w:instrText>
      </w:r>
      <w:r>
        <w:rPr>
          <w:szCs w:val="21"/>
        </w:rPr>
        <w:fldChar w:fldCharType="separate"/>
      </w:r>
      <w:r>
        <w:rPr>
          <w:rFonts w:hint="eastAsia" w:ascii="仿宋_GB2312" w:eastAsia="仿宋_GB2312"/>
        </w:rPr>
        <w:t>（一）存在问题</w:t>
      </w:r>
      <w:r>
        <w:tab/>
      </w:r>
      <w:r>
        <w:fldChar w:fldCharType="begin"/>
      </w:r>
      <w:r>
        <w:instrText xml:space="preserve"> PAGEREF _Toc32253 \h </w:instrText>
      </w:r>
      <w:r>
        <w:fldChar w:fldCharType="separate"/>
      </w:r>
      <w:r>
        <w:t>7</w:t>
      </w:r>
      <w:r>
        <w:fldChar w:fldCharType="end"/>
      </w:r>
      <w:r>
        <w:rPr>
          <w:color w:val="auto"/>
          <w:szCs w:val="21"/>
          <w:u w:val="none"/>
        </w:rPr>
        <w:fldChar w:fldCharType="end"/>
      </w:r>
    </w:p>
    <w:p w14:paraId="36B9E767">
      <w:pPr>
        <w:pStyle w:val="6"/>
        <w:tabs>
          <w:tab w:val="right" w:leader="dot" w:pos="8788"/>
          <w:tab w:val="clear" w:pos="8778"/>
        </w:tabs>
      </w:pPr>
      <w:r>
        <w:rPr>
          <w:color w:val="auto"/>
          <w:szCs w:val="21"/>
          <w:u w:val="none"/>
        </w:rPr>
        <w:fldChar w:fldCharType="begin"/>
      </w:r>
      <w:r>
        <w:rPr>
          <w:szCs w:val="21"/>
        </w:rPr>
        <w:instrText xml:space="preserve"> HYPERLINK \l _Toc17281 </w:instrText>
      </w:r>
      <w:r>
        <w:rPr>
          <w:szCs w:val="21"/>
        </w:rPr>
        <w:fldChar w:fldCharType="separate"/>
      </w:r>
      <w:r>
        <w:rPr>
          <w:rFonts w:hint="eastAsia" w:ascii="仿宋_GB2312" w:eastAsia="仿宋_GB2312"/>
        </w:rPr>
        <w:t>（二）建议</w:t>
      </w:r>
      <w:r>
        <w:tab/>
      </w:r>
      <w:r>
        <w:fldChar w:fldCharType="begin"/>
      </w:r>
      <w:r>
        <w:instrText xml:space="preserve"> PAGEREF _Toc17281 \h </w:instrText>
      </w:r>
      <w:r>
        <w:fldChar w:fldCharType="separate"/>
      </w:r>
      <w:r>
        <w:t>7</w:t>
      </w:r>
      <w:r>
        <w:fldChar w:fldCharType="end"/>
      </w:r>
      <w:r>
        <w:rPr>
          <w:color w:val="auto"/>
          <w:szCs w:val="21"/>
          <w:u w:val="none"/>
        </w:rPr>
        <w:fldChar w:fldCharType="end"/>
      </w:r>
    </w:p>
    <w:p w14:paraId="1C68D012">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794BD757">
      <w:pPr>
        <w:spacing w:line="360" w:lineRule="auto"/>
        <w:jc w:val="right"/>
        <w:rPr>
          <w:rFonts w:ascii="Arial Narrow" w:hAnsi="Arial Narrow"/>
          <w:bCs/>
          <w:w w:val="80"/>
          <w:sz w:val="28"/>
          <w:szCs w:val="28"/>
        </w:rPr>
      </w:pPr>
    </w:p>
    <w:p w14:paraId="703A649A">
      <w:pPr>
        <w:spacing w:line="360" w:lineRule="auto"/>
        <w:jc w:val="right"/>
        <w:rPr>
          <w:rFonts w:ascii="Arial Narrow" w:hAnsi="Arial Narrow"/>
          <w:bCs/>
          <w:w w:val="80"/>
          <w:sz w:val="28"/>
          <w:szCs w:val="28"/>
        </w:rPr>
      </w:pPr>
    </w:p>
    <w:p w14:paraId="55411673">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050CF565">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7D146130">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014</w:t>
      </w:r>
      <w:r>
        <w:rPr>
          <w:rFonts w:hint="eastAsia" w:ascii="Arial Narrow" w:hAnsi="Arial Narrow" w:eastAsia="仿宋_GB2312"/>
          <w:sz w:val="28"/>
          <w:szCs w:val="28"/>
        </w:rPr>
        <w:t>号</w:t>
      </w:r>
    </w:p>
    <w:p w14:paraId="422936FA">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5922D219">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重庆市铜梁区乡村振兴局、重庆市铜梁区供销合作社消</w:t>
      </w:r>
      <w:r>
        <w:rPr>
          <w:rStyle w:val="10"/>
          <w:rFonts w:hint="eastAsia" w:ascii="Arial Narrow" w:hAnsi="Arial Narrow" w:eastAsia="仿宋_GB2312"/>
          <w:b/>
          <w:color w:val="auto"/>
          <w:sz w:val="36"/>
          <w:szCs w:val="36"/>
          <w:u w:val="none"/>
          <w:lang w:eastAsia="zh-CN"/>
        </w:rPr>
        <w:t>费帮</w:t>
      </w:r>
      <w:r>
        <w:rPr>
          <w:rStyle w:val="10"/>
          <w:rFonts w:hint="eastAsia" w:ascii="Arial Narrow" w:hAnsi="Arial Narrow" w:eastAsia="仿宋_GB2312"/>
          <w:b/>
          <w:color w:val="auto"/>
          <w:sz w:val="36"/>
          <w:szCs w:val="36"/>
          <w:u w:val="none"/>
        </w:rPr>
        <w:t>扶项目</w:t>
      </w:r>
    </w:p>
    <w:p w14:paraId="4E178950">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47727E3B">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重庆市铜梁区乡村振兴局、重庆市铜梁区供销合作社（以下简称</w:t>
      </w:r>
      <w:r>
        <w:rPr>
          <w:rFonts w:hint="eastAsia" w:ascii="Arial Narrow" w:hAnsi="Arial Narrow" w:eastAsia="仿宋_GB2312"/>
          <w:color w:val="auto"/>
          <w:lang w:eastAsia="zh-CN"/>
        </w:rPr>
        <w:t>“</w:t>
      </w:r>
      <w:r>
        <w:rPr>
          <w:rFonts w:hint="eastAsia" w:ascii="Arial Narrow" w:hAnsi="Arial Narrow" w:eastAsia="仿宋_GB2312"/>
          <w:color w:val="auto"/>
        </w:rPr>
        <w:t>区振兴局、区供销社</w:t>
      </w:r>
      <w:r>
        <w:rPr>
          <w:rFonts w:hint="eastAsia" w:ascii="Arial Narrow" w:hAnsi="Arial Narrow" w:eastAsia="仿宋_GB2312"/>
          <w:color w:val="auto"/>
          <w:lang w:eastAsia="zh-CN"/>
        </w:rPr>
        <w:t>”</w:t>
      </w:r>
      <w:r>
        <w:rPr>
          <w:rFonts w:hint="eastAsia" w:ascii="Arial Narrow" w:hAnsi="Arial Narrow" w:eastAsia="仿宋_GB2312"/>
          <w:color w:val="auto"/>
        </w:rPr>
        <w:t>）</w:t>
      </w:r>
      <w:r>
        <w:rPr>
          <w:rFonts w:hint="eastAsia" w:ascii="Arial Narrow" w:hAnsi="Arial Narrow" w:eastAsia="仿宋_GB2312"/>
          <w:color w:val="auto"/>
          <w:lang w:eastAsia="zh-CN"/>
        </w:rPr>
        <w:t>“</w:t>
      </w:r>
      <w:r>
        <w:rPr>
          <w:rFonts w:hint="eastAsia" w:ascii="Arial Narrow" w:hAnsi="Arial Narrow" w:eastAsia="仿宋_GB2312"/>
          <w:color w:val="auto"/>
        </w:rPr>
        <w:t>消费帮扶项目财政专项衔接资金</w:t>
      </w:r>
      <w:r>
        <w:rPr>
          <w:rFonts w:hint="eastAsia" w:ascii="Arial Narrow" w:hAnsi="Arial Narrow" w:eastAsia="仿宋_GB2312"/>
          <w:color w:val="auto"/>
          <w:lang w:eastAsia="zh-CN"/>
        </w:rPr>
        <w:t>”</w:t>
      </w:r>
      <w:r>
        <w:rPr>
          <w:rFonts w:ascii="Arial Narrow" w:hAnsi="Arial Narrow" w:eastAsia="仿宋_GB2312"/>
          <w:color w:val="auto"/>
        </w:rPr>
        <w:t>进行绩效评价，现将评价情况报告如下：</w:t>
      </w:r>
    </w:p>
    <w:p w14:paraId="780E642A">
      <w:pPr>
        <w:spacing w:before="240" w:beforeLines="100" w:line="360" w:lineRule="auto"/>
        <w:ind w:firstLine="482" w:firstLineChars="200"/>
        <w:jc w:val="left"/>
        <w:outlineLvl w:val="0"/>
        <w:rPr>
          <w:rFonts w:ascii="Arial Narrow" w:hAnsi="Arial Narrow" w:eastAsia="仿宋_GB2312"/>
          <w:b/>
          <w:sz w:val="24"/>
        </w:rPr>
      </w:pPr>
      <w:bookmarkStart w:id="4" w:name="_Toc10155"/>
      <w:r>
        <w:rPr>
          <w:rFonts w:ascii="Arial Narrow" w:hAnsi="Arial Narrow" w:eastAsia="仿宋_GB2312"/>
          <w:b/>
          <w:sz w:val="24"/>
        </w:rPr>
        <w:t>一、基本情况</w:t>
      </w:r>
      <w:bookmarkEnd w:id="4"/>
    </w:p>
    <w:p w14:paraId="0BCAA0B6">
      <w:pPr>
        <w:spacing w:before="120" w:beforeLines="50" w:line="360" w:lineRule="auto"/>
        <w:ind w:firstLine="482" w:firstLineChars="200"/>
        <w:jc w:val="left"/>
        <w:outlineLvl w:val="0"/>
        <w:rPr>
          <w:rFonts w:ascii="Arial Narrow" w:hAnsi="Arial Narrow" w:eastAsia="仿宋" w:cs="宋体"/>
          <w:b/>
          <w:bCs/>
          <w:kern w:val="0"/>
          <w:sz w:val="24"/>
        </w:rPr>
      </w:pPr>
      <w:bookmarkStart w:id="5" w:name="_Toc1783"/>
      <w:r>
        <w:rPr>
          <w:rFonts w:hint="eastAsia" w:ascii="Arial Narrow" w:hAnsi="Arial Narrow" w:eastAsia="仿宋" w:cs="宋体"/>
          <w:b/>
          <w:bCs/>
          <w:kern w:val="0"/>
          <w:sz w:val="24"/>
        </w:rPr>
        <w:t>（一）项目情况</w:t>
      </w:r>
      <w:bookmarkEnd w:id="5"/>
    </w:p>
    <w:p w14:paraId="3931FF5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项目名称：消费帮扶</w:t>
      </w:r>
    </w:p>
    <w:p w14:paraId="482D738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实施单位：重庆市铜梁区乡村振兴局、重庆市铜梁区供销合作社</w:t>
      </w:r>
    </w:p>
    <w:p w14:paraId="67FC347F">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项目内容：100台消费帮扶智能专柜日常维护。</w:t>
      </w:r>
    </w:p>
    <w:p w14:paraId="5CB1AC0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项目资金安排情况：该项目2023年计划投入18.00万元，调减投入5.25万元，实际投入12.75万元，均为上级补助资金。</w:t>
      </w:r>
    </w:p>
    <w:p w14:paraId="0EC10419">
      <w:pPr>
        <w:spacing w:line="360" w:lineRule="auto"/>
        <w:ind w:firstLine="482" w:firstLineChars="200"/>
        <w:jc w:val="left"/>
        <w:outlineLvl w:val="0"/>
        <w:rPr>
          <w:rFonts w:ascii="Arial Narrow" w:hAnsi="Arial Narrow" w:eastAsia="仿宋_GB2312"/>
          <w:b/>
          <w:sz w:val="24"/>
        </w:rPr>
      </w:pPr>
      <w:bookmarkStart w:id="6" w:name="_Toc14587"/>
      <w:r>
        <w:rPr>
          <w:rFonts w:ascii="Arial Narrow" w:hAnsi="Arial Narrow" w:eastAsia="仿宋_GB2312"/>
          <w:b/>
          <w:sz w:val="24"/>
        </w:rPr>
        <w:t>二、绩效评价工作情况</w:t>
      </w:r>
      <w:bookmarkEnd w:id="6"/>
    </w:p>
    <w:p w14:paraId="077F8854">
      <w:pPr>
        <w:spacing w:line="360" w:lineRule="auto"/>
        <w:ind w:firstLine="482" w:firstLineChars="200"/>
        <w:jc w:val="left"/>
        <w:outlineLvl w:val="0"/>
        <w:rPr>
          <w:rFonts w:ascii="Arial Narrow" w:hAnsi="Arial Narrow" w:eastAsia="仿宋_GB2312"/>
          <w:b/>
          <w:sz w:val="24"/>
        </w:rPr>
      </w:pPr>
      <w:bookmarkStart w:id="7" w:name="_Toc31334"/>
      <w:bookmarkStart w:id="8" w:name="_Toc513775099"/>
      <w:r>
        <w:rPr>
          <w:rFonts w:ascii="Arial Narrow" w:hAnsi="Arial Narrow" w:eastAsia="仿宋_GB2312"/>
          <w:b/>
          <w:sz w:val="24"/>
        </w:rPr>
        <w:t>（一）绩效评价目的</w:t>
      </w:r>
      <w:bookmarkEnd w:id="7"/>
      <w:bookmarkEnd w:id="8"/>
    </w:p>
    <w:p w14:paraId="3B20F38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291C8DE0">
      <w:pPr>
        <w:spacing w:line="360" w:lineRule="auto"/>
        <w:ind w:firstLine="482" w:firstLineChars="200"/>
        <w:jc w:val="left"/>
        <w:outlineLvl w:val="0"/>
        <w:rPr>
          <w:rFonts w:ascii="Arial Narrow" w:hAnsi="Arial Narrow" w:eastAsia="仿宋_GB2312"/>
          <w:b/>
          <w:sz w:val="24"/>
        </w:rPr>
      </w:pPr>
      <w:bookmarkStart w:id="9" w:name="_Toc6702"/>
      <w:bookmarkStart w:id="10"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9"/>
    </w:p>
    <w:p w14:paraId="46C9AC1A">
      <w:pPr>
        <w:pStyle w:val="13"/>
        <w:spacing w:line="360" w:lineRule="auto"/>
        <w:ind w:firstLine="480" w:firstLineChars="200"/>
        <w:rPr>
          <w:rFonts w:ascii="Arial Narrow" w:hAnsi="Arial Narrow" w:eastAsia="仿宋_GB2312"/>
          <w:color w:val="auto"/>
        </w:rPr>
      </w:pPr>
      <w:bookmarkStart w:id="11"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138DB58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45ADC29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464B308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069AE44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151BAB49">
      <w:pPr>
        <w:spacing w:line="360" w:lineRule="auto"/>
        <w:ind w:firstLine="482" w:firstLineChars="200"/>
        <w:jc w:val="left"/>
        <w:outlineLvl w:val="0"/>
        <w:rPr>
          <w:rFonts w:ascii="Arial Narrow" w:hAnsi="Arial Narrow" w:eastAsia="仿宋_GB2312"/>
          <w:b/>
          <w:sz w:val="24"/>
        </w:rPr>
      </w:pPr>
      <w:bookmarkStart w:id="12" w:name="_Toc3948"/>
      <w:r>
        <w:rPr>
          <w:rFonts w:ascii="Arial Narrow" w:hAnsi="Arial Narrow" w:eastAsia="仿宋_GB2312"/>
          <w:b/>
          <w:sz w:val="24"/>
        </w:rPr>
        <w:t>（三）绩效评价依据</w:t>
      </w:r>
      <w:bookmarkEnd w:id="10"/>
      <w:bookmarkEnd w:id="11"/>
      <w:bookmarkEnd w:id="12"/>
      <w:bookmarkStart w:id="13" w:name="_Toc335040595"/>
    </w:p>
    <w:bookmarkEnd w:id="13"/>
    <w:p w14:paraId="0CB67AD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7DA016F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6263389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ascii="Arial Narrow" w:hAnsi="Arial Narrow" w:eastAsia="仿宋_GB2312"/>
          <w:color w:val="auto"/>
        </w:rPr>
        <w:t xml:space="preserve"> </w:t>
      </w:r>
    </w:p>
    <w:p w14:paraId="63DF7E4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4D030F2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41E1852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4CE1FB5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6F0F71C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55C6BC2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0A169D4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4" w:name="_Hlk162597612"/>
      <w:r>
        <w:rPr>
          <w:rFonts w:hint="eastAsia" w:ascii="Arial Narrow" w:hAnsi="Arial Narrow" w:eastAsia="仿宋_GB2312"/>
          <w:color w:val="auto"/>
        </w:rPr>
        <w:t>〔2016〕</w:t>
      </w:r>
      <w:bookmarkEnd w:id="14"/>
      <w:r>
        <w:rPr>
          <w:rFonts w:ascii="Arial Narrow" w:hAnsi="Arial Narrow" w:eastAsia="仿宋_GB2312"/>
          <w:color w:val="auto"/>
        </w:rPr>
        <w:t>10号）</w:t>
      </w:r>
    </w:p>
    <w:p w14:paraId="0989ACB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4585101A">
      <w:pPr>
        <w:spacing w:line="360" w:lineRule="auto"/>
        <w:ind w:firstLine="482" w:firstLineChars="200"/>
        <w:jc w:val="left"/>
        <w:outlineLvl w:val="0"/>
        <w:rPr>
          <w:rFonts w:ascii="Arial Narrow" w:hAnsi="Arial Narrow" w:eastAsia="仿宋_GB2312"/>
          <w:b/>
          <w:sz w:val="24"/>
        </w:rPr>
      </w:pPr>
      <w:bookmarkStart w:id="15" w:name="_Toc28639"/>
      <w:r>
        <w:rPr>
          <w:rFonts w:ascii="Arial Narrow" w:hAnsi="Arial Narrow" w:eastAsia="仿宋_GB2312"/>
          <w:b/>
          <w:sz w:val="24"/>
        </w:rPr>
        <w:t>（四）绩效评价原则和指标体系</w:t>
      </w:r>
      <w:bookmarkEnd w:id="15"/>
    </w:p>
    <w:p w14:paraId="3426622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4FE3D84C">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（1）相关性原则。应当与绩效目标有直接的联系，能够恰当反映目标的实现程度。</w:t>
      </w:r>
    </w:p>
    <w:p w14:paraId="61336576">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（2）重要性原则。应优先使用最具评价对象代表性、最能反映评价要求的核心指标。</w:t>
      </w:r>
    </w:p>
    <w:p w14:paraId="1DEFD226">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30BB233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69F19ED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20A542E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47C68506">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18498979">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pPr w:leftFromText="180" w:rightFromText="180" w:vertAnchor="text" w:horzAnchor="page" w:tblpX="1266" w:tblpY="470"/>
        <w:tblOverlap w:val="never"/>
        <w:tblW w:w="9491" w:type="dxa"/>
        <w:tblInd w:w="0" w:type="dxa"/>
        <w:tblLayout w:type="fixed"/>
        <w:tblCellMar>
          <w:top w:w="0" w:type="dxa"/>
          <w:left w:w="108" w:type="dxa"/>
          <w:bottom w:w="0" w:type="dxa"/>
          <w:right w:w="108" w:type="dxa"/>
        </w:tblCellMar>
      </w:tblPr>
      <w:tblGrid>
        <w:gridCol w:w="536"/>
        <w:gridCol w:w="1017"/>
        <w:gridCol w:w="1048"/>
        <w:gridCol w:w="536"/>
        <w:gridCol w:w="2758"/>
        <w:gridCol w:w="3596"/>
      </w:tblGrid>
      <w:tr w14:paraId="791D277F">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DC6BC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14C2351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3451032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338C114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分值</w:t>
            </w:r>
          </w:p>
        </w:tc>
        <w:tc>
          <w:tcPr>
            <w:tcW w:w="2758" w:type="dxa"/>
            <w:tcBorders>
              <w:top w:val="single" w:color="auto" w:sz="4" w:space="0"/>
              <w:left w:val="nil"/>
              <w:bottom w:val="single" w:color="auto" w:sz="4" w:space="0"/>
              <w:right w:val="single" w:color="auto" w:sz="4" w:space="0"/>
            </w:tcBorders>
            <w:shd w:val="clear" w:color="auto" w:fill="auto"/>
            <w:noWrap/>
            <w:vAlign w:val="center"/>
          </w:tcPr>
          <w:p w14:paraId="7CDFE9FF">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08EBD0A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评价标准</w:t>
            </w:r>
          </w:p>
        </w:tc>
      </w:tr>
      <w:tr w14:paraId="4FDCE29E">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889DFF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98BB27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0D2D2797">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7235DEB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2758" w:type="dxa"/>
            <w:tcBorders>
              <w:top w:val="nil"/>
              <w:left w:val="nil"/>
              <w:bottom w:val="single" w:color="auto" w:sz="4" w:space="0"/>
              <w:right w:val="single" w:color="auto" w:sz="4" w:space="0"/>
            </w:tcBorders>
            <w:shd w:val="clear" w:color="auto" w:fill="auto"/>
            <w:vAlign w:val="center"/>
          </w:tcPr>
          <w:p w14:paraId="08D46A9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251B3FE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资金使用方向符合文件规定（2分）。</w:t>
            </w:r>
          </w:p>
        </w:tc>
      </w:tr>
      <w:tr w14:paraId="040C5AFF">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2BF29F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68ACB051">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9E45C5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0510590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2758" w:type="dxa"/>
            <w:tcBorders>
              <w:top w:val="nil"/>
              <w:left w:val="nil"/>
              <w:bottom w:val="single" w:color="auto" w:sz="4" w:space="0"/>
              <w:right w:val="single" w:color="auto" w:sz="4" w:space="0"/>
            </w:tcBorders>
            <w:shd w:val="clear" w:color="auto" w:fill="auto"/>
            <w:vAlign w:val="center"/>
          </w:tcPr>
          <w:p w14:paraId="67189DC5">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109F3F5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区财政局下达资金文件时间到区级业务主管部门下达项目及资金计划文件时间间隔≤30日（3分）。</w:t>
            </w:r>
          </w:p>
        </w:tc>
      </w:tr>
      <w:tr w14:paraId="53FAD30B">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7A3F653">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08BBC9E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01B750C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7C3B03F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nil"/>
              <w:right w:val="nil"/>
            </w:tcBorders>
            <w:shd w:val="clear" w:color="auto" w:fill="auto"/>
            <w:vAlign w:val="center"/>
          </w:tcPr>
          <w:p w14:paraId="6183980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评价落实《铜梁区巩固拓展脱贫攻坚成果和衔接乡村振兴项目库建设管理实施细则》（铜乡振〔2021〕7号）落实情况。根据抽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62E78606">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1.项目入库及时充分、程序规范、内容完整（3分）；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2.入库项目具备实施条件（2分）；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3.衔接资金用于项目库之外的项目（-5分）。</w:t>
            </w:r>
          </w:p>
        </w:tc>
      </w:tr>
      <w:tr w14:paraId="49BBE940">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B200CF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0B8504AF">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7624DB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1CC342DE">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single" w:color="auto" w:sz="4" w:space="0"/>
              <w:left w:val="nil"/>
              <w:bottom w:val="single" w:color="auto" w:sz="4" w:space="0"/>
              <w:right w:val="single" w:color="auto" w:sz="4" w:space="0"/>
            </w:tcBorders>
            <w:shd w:val="clear" w:color="auto" w:fill="auto"/>
            <w:vAlign w:val="center"/>
          </w:tcPr>
          <w:p w14:paraId="3D320F1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评价具体项目实施方案明确绩效目标情况、开展跟踪监督绩效监控情况、事后评价情况等。根据抽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C47565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1.及时制定绩效目标、审核绩效目标（2分）；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2.开展绩效监控不少于1次（2分）；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3.对绩效目标偏离项目采取纠偏措施（2分）；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4.项目实施完毕后立即开展绩效自评，并形成绩效自评报告及绩效自评表。（2分）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5.项目绩效是否达到预期。（2分）</w:t>
            </w:r>
          </w:p>
        </w:tc>
      </w:tr>
      <w:tr w14:paraId="2BF6392E">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61FE47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76F853E1">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8BCB80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29115A5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2758" w:type="dxa"/>
            <w:tcBorders>
              <w:top w:val="nil"/>
              <w:left w:val="nil"/>
              <w:bottom w:val="single" w:color="auto" w:sz="4" w:space="0"/>
              <w:right w:val="single" w:color="auto" w:sz="4" w:space="0"/>
            </w:tcBorders>
            <w:shd w:val="clear" w:color="auto" w:fill="auto"/>
            <w:vAlign w:val="center"/>
          </w:tcPr>
          <w:p w14:paraId="7D6DC9A2">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评价有序推进项目前期工作、组织实施、项目验收、资料报送等情况。根据抽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02082C75">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1.项目实施方法存在变更是否按规定报批；（1分）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2.是否定期对项目实施情况进行监督检查，对检查中发现的问题进行整改；（2分）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3.是否按照项目实施节点按时提交项目报账资料；（1分）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4.日常管理资料是否及时归档整理；（1分）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5.项目完工后是否在规定时间内进行验收。（1分）</w:t>
            </w:r>
          </w:p>
        </w:tc>
      </w:tr>
      <w:tr w14:paraId="348BD917">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5387065">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6892FAC7">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5358A7F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3914A012">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2758" w:type="dxa"/>
            <w:tcBorders>
              <w:top w:val="nil"/>
              <w:left w:val="nil"/>
              <w:bottom w:val="single" w:color="auto" w:sz="4" w:space="0"/>
              <w:right w:val="single" w:color="auto" w:sz="4" w:space="0"/>
            </w:tcBorders>
            <w:shd w:val="clear" w:color="auto" w:fill="auto"/>
            <w:vAlign w:val="center"/>
          </w:tcPr>
          <w:p w14:paraId="56F98827">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评价有序推进项目工作和资金支付情况。根据抽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72EFAEF1">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主要通过支出进度评价有序推进项目工作和资金支付情况，于7月末、10月中旬定期调度。</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1.7月末支出进度评分4分。资金支出进度达到全区平均进度或者序时进度的，得满分；未达到的按照与序时进度的比例扣分；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2.10月中旬支出进度评分4分。资金支出进度达到全区平均进度或者序时进度的，得满分；未达到的按照与序时进度的比例扣分；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52062E99">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EC30B6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1B80942C">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DFA7BE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4CB0EC7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2758" w:type="dxa"/>
            <w:tcBorders>
              <w:top w:val="nil"/>
              <w:left w:val="nil"/>
              <w:bottom w:val="single" w:color="auto" w:sz="4" w:space="0"/>
              <w:right w:val="single" w:color="auto" w:sz="4" w:space="0"/>
            </w:tcBorders>
            <w:shd w:val="clear" w:color="auto" w:fill="auto"/>
            <w:vAlign w:val="center"/>
          </w:tcPr>
          <w:p w14:paraId="2645DEB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评价定期开展监督检查情况、发现问题整改情况。根据未处理问题比例扣减。根据抽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6417122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1.定期开展项目实施和资金支出进度等跟踪督促情况，落实到位的得2分，未完全落实到位的酌情扣分；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2.跟踪督促及各类检查发现问题整改到位情况，满分5分，根据未整改问题比例扣减；</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3.全国12317防止返贫监测和乡村振兴咨询服务平台（简称12317平台）反馈问题处理情况，满分1分。</w:t>
            </w:r>
          </w:p>
        </w:tc>
      </w:tr>
      <w:tr w14:paraId="65D1DE94">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C5F6FF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41CF189E">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CB55BB9">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5DFEAC9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5BDF3AF3">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评价账务处理，资产转固，收益管理、档案管理等情况。根据抽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B8593FD">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1.财务处理是否规范，原始凭证是否齐全，建成资产是否及时转固、收益管理是否合规；（4分）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2.档案管理是否完整、合规、真实。（1分）</w:t>
            </w:r>
          </w:p>
        </w:tc>
      </w:tr>
      <w:tr w14:paraId="3CFCE038">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7C8A27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5749326D">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69A848A">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5588129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9</w:t>
            </w:r>
          </w:p>
        </w:tc>
        <w:tc>
          <w:tcPr>
            <w:tcW w:w="2758" w:type="dxa"/>
            <w:tcBorders>
              <w:top w:val="nil"/>
              <w:left w:val="nil"/>
              <w:bottom w:val="single" w:color="auto" w:sz="4" w:space="0"/>
              <w:right w:val="single" w:color="auto" w:sz="4" w:space="0"/>
            </w:tcBorders>
            <w:shd w:val="clear" w:color="auto" w:fill="auto"/>
            <w:vAlign w:val="center"/>
          </w:tcPr>
          <w:p w14:paraId="53546E9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评价区级、镇级、村级落实《铜梁区财政衔接推进乡村振兴补助资金项目公告公示实施办法》（铜委农办〔2021〕19号）文件要求情况。根据抽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7417456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分区级、镇级、村级进行评价。</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1.抽查区级公示公开情况，满分3分，未完整公开酌情扣分；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2.抽查镇级公示公开情况，满分3分，未完整公开酌情扣分；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3.抽查村级公示公开情况，满分3分，未完整公开酌情扣分。</w:t>
            </w:r>
          </w:p>
        </w:tc>
      </w:tr>
      <w:tr w14:paraId="2B098917">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02A9158">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097913B">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0B20C29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0944404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35</w:t>
            </w:r>
          </w:p>
        </w:tc>
        <w:tc>
          <w:tcPr>
            <w:tcW w:w="2758" w:type="dxa"/>
            <w:tcBorders>
              <w:top w:val="nil"/>
              <w:left w:val="nil"/>
              <w:bottom w:val="single" w:color="auto" w:sz="4" w:space="0"/>
              <w:right w:val="single" w:color="auto" w:sz="4" w:space="0"/>
            </w:tcBorders>
            <w:shd w:val="clear" w:color="auto" w:fill="auto"/>
            <w:vAlign w:val="center"/>
          </w:tcPr>
          <w:p w14:paraId="06DE11A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评价项目是否达到预期成效，后续管护是否存在问题等。根据抽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02F0763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两不愁三保障</w:t>
            </w:r>
            <w:r>
              <w:rPr>
                <w:rFonts w:hint="eastAsia" w:ascii="仿宋_GB2312" w:hAnsi="仿宋_GB2312" w:eastAsia="仿宋_GB2312" w:cs="仿宋_GB2312"/>
                <w:kern w:val="0"/>
                <w:sz w:val="16"/>
                <w:szCs w:val="16"/>
                <w:lang w:eastAsia="zh-CN"/>
              </w:rPr>
              <w:t>”</w:t>
            </w:r>
            <w:r>
              <w:rPr>
                <w:rFonts w:hint="eastAsia" w:ascii="仿宋_GB2312" w:hAnsi="仿宋_GB2312" w:eastAsia="仿宋_GB2312" w:cs="仿宋_GB2312"/>
                <w:kern w:val="0"/>
                <w:sz w:val="16"/>
                <w:szCs w:val="16"/>
              </w:rPr>
              <w:t>和饮水安全、兜底保障等成果巩固情况；其他项目是否实现预期目标。</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满分35分，根据抽</w:t>
            </w:r>
            <w:r>
              <w:rPr>
                <w:rFonts w:hint="eastAsia" w:ascii="仿宋_GB2312" w:hAnsi="仿宋_GB2312" w:eastAsia="仿宋_GB2312" w:cs="仿宋_GB2312"/>
                <w:kern w:val="0"/>
                <w:sz w:val="16"/>
                <w:szCs w:val="16"/>
                <w:lang w:eastAsia="zh-CN"/>
              </w:rPr>
              <w:t>查</w:t>
            </w:r>
            <w:r>
              <w:rPr>
                <w:rFonts w:hint="eastAsia" w:ascii="仿宋_GB2312" w:hAnsi="仿宋_GB2312" w:eastAsia="仿宋_GB2312" w:cs="仿宋_GB2312"/>
                <w:kern w:val="0"/>
                <w:sz w:val="16"/>
                <w:szCs w:val="16"/>
              </w:rPr>
              <w:t>项目情况赋分。项目管理各环节，每存在一例不符合相关规定的，扣0.5分，扣完为止。</w:t>
            </w:r>
          </w:p>
        </w:tc>
      </w:tr>
      <w:tr w14:paraId="1E931F67">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F47931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224ECEA9">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D8FA03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5034D72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3CF346A0">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57ABC9B4">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615C9730">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C05CA4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12C6BA6D">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0D4D694C">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06513D66">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5</w:t>
            </w:r>
          </w:p>
        </w:tc>
        <w:tc>
          <w:tcPr>
            <w:tcW w:w="2758" w:type="dxa"/>
            <w:tcBorders>
              <w:top w:val="nil"/>
              <w:left w:val="nil"/>
              <w:bottom w:val="single" w:color="auto" w:sz="4" w:space="0"/>
              <w:right w:val="single" w:color="auto" w:sz="4" w:space="0"/>
            </w:tcBorders>
            <w:shd w:val="clear" w:color="auto" w:fill="auto"/>
            <w:vAlign w:val="center"/>
          </w:tcPr>
          <w:p w14:paraId="34E2110E">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评价机制创新情况。最高加5分。</w:t>
            </w:r>
          </w:p>
        </w:tc>
        <w:tc>
          <w:tcPr>
            <w:tcW w:w="3596" w:type="dxa"/>
            <w:tcBorders>
              <w:top w:val="nil"/>
              <w:left w:val="nil"/>
              <w:bottom w:val="single" w:color="auto" w:sz="4" w:space="0"/>
              <w:right w:val="single" w:color="auto" w:sz="4" w:space="0"/>
            </w:tcBorders>
            <w:shd w:val="clear" w:color="auto" w:fill="auto"/>
            <w:vAlign w:val="center"/>
          </w:tcPr>
          <w:p w14:paraId="6EB6900C">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1.在财政衔接资金分配、使用、监管等方面存在机制创新；（2分）</w:t>
            </w:r>
            <w:r>
              <w:rPr>
                <w:rFonts w:hint="eastAsia" w:ascii="仿宋_GB2312" w:hAnsi="仿宋_GB2312" w:eastAsia="仿宋_GB2312" w:cs="仿宋_GB2312"/>
                <w:kern w:val="0"/>
                <w:sz w:val="16"/>
                <w:szCs w:val="16"/>
              </w:rPr>
              <w:br w:type="textWrapping"/>
            </w:r>
            <w:r>
              <w:rPr>
                <w:rFonts w:hint="eastAsia" w:ascii="仿宋_GB2312" w:hAnsi="仿宋_GB2312" w:eastAsia="仿宋_GB2312" w:cs="仿宋_GB2312"/>
                <w:kern w:val="0"/>
                <w:sz w:val="16"/>
                <w:szCs w:val="16"/>
              </w:rPr>
              <w:t>2.国家、市级对我区财政衔接资金绩效评价中，被财政部、国家乡村振兴局及其第三方总结经验做法，并调研推广的。（3分）</w:t>
            </w:r>
          </w:p>
        </w:tc>
      </w:tr>
      <w:tr w14:paraId="518C4966">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CF5C510">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2052D1FA">
            <w:pPr>
              <w:widowControl/>
              <w:jc w:val="left"/>
              <w:rPr>
                <w:rFonts w:hint="eastAsia" w:ascii="仿宋_GB2312" w:hAnsi="仿宋_GB2312" w:eastAsia="仿宋_GB2312" w:cs="仿宋_GB2312"/>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7FC01C1">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4F599424">
            <w:pPr>
              <w:widowControl/>
              <w:jc w:val="center"/>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10</w:t>
            </w:r>
          </w:p>
        </w:tc>
        <w:tc>
          <w:tcPr>
            <w:tcW w:w="2758" w:type="dxa"/>
            <w:tcBorders>
              <w:top w:val="nil"/>
              <w:left w:val="nil"/>
              <w:bottom w:val="single" w:color="auto" w:sz="4" w:space="0"/>
              <w:right w:val="single" w:color="auto" w:sz="4" w:space="0"/>
            </w:tcBorders>
            <w:shd w:val="clear" w:color="auto" w:fill="auto"/>
            <w:vAlign w:val="center"/>
          </w:tcPr>
          <w:p w14:paraId="428C0A69">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反映提供材料的真实性，有效性以及相关工作合法合规情况。（用于负面清单事项）</w:t>
            </w:r>
          </w:p>
        </w:tc>
        <w:tc>
          <w:tcPr>
            <w:tcW w:w="3596" w:type="dxa"/>
            <w:tcBorders>
              <w:top w:val="nil"/>
              <w:left w:val="nil"/>
              <w:bottom w:val="single" w:color="auto" w:sz="4" w:space="0"/>
              <w:right w:val="single" w:color="auto" w:sz="4" w:space="0"/>
            </w:tcBorders>
            <w:shd w:val="clear" w:color="auto" w:fill="auto"/>
            <w:vAlign w:val="center"/>
          </w:tcPr>
          <w:p w14:paraId="7C295E3B">
            <w:pPr>
              <w:widowControl/>
              <w:jc w:val="left"/>
              <w:rPr>
                <w:rFonts w:hint="eastAsia" w:ascii="仿宋_GB2312" w:hAnsi="仿宋_GB2312" w:eastAsia="仿宋_GB2312" w:cs="仿宋_GB2312"/>
                <w:kern w:val="0"/>
                <w:sz w:val="16"/>
                <w:szCs w:val="16"/>
              </w:rPr>
            </w:pPr>
            <w:r>
              <w:rPr>
                <w:rFonts w:hint="eastAsia" w:ascii="仿宋_GB2312" w:hAnsi="仿宋_GB2312" w:eastAsia="仿宋_GB2312" w:cs="仿宋_GB2312"/>
                <w:kern w:val="0"/>
                <w:sz w:val="16"/>
                <w:szCs w:val="16"/>
              </w:rPr>
              <w:t>考核材料、数据中存在虚假信息的，或经有关部门监督检查发现问题的，视情节严重程度扣1-10分。</w:t>
            </w:r>
          </w:p>
        </w:tc>
      </w:tr>
    </w:tbl>
    <w:p w14:paraId="58221300">
      <w:pPr>
        <w:spacing w:before="120" w:beforeLines="50" w:line="360" w:lineRule="auto"/>
        <w:ind w:firstLine="482" w:firstLineChars="200"/>
        <w:jc w:val="left"/>
        <w:outlineLvl w:val="0"/>
        <w:rPr>
          <w:rFonts w:ascii="Arial Narrow" w:hAnsi="Arial Narrow" w:eastAsia="仿宋_GB2312"/>
          <w:b/>
          <w:sz w:val="24"/>
        </w:rPr>
      </w:pPr>
      <w:bookmarkStart w:id="16" w:name="_Toc5171"/>
      <w:r>
        <w:rPr>
          <w:rFonts w:ascii="Arial Narrow" w:hAnsi="Arial Narrow" w:eastAsia="仿宋_GB2312"/>
          <w:b/>
          <w:sz w:val="24"/>
        </w:rPr>
        <w:t>（五）绩效评价标准和评价方法</w:t>
      </w:r>
      <w:bookmarkEnd w:id="16"/>
    </w:p>
    <w:p w14:paraId="5B84B9F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5D5228F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4718BB4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7" w:name="_Hlk162596803"/>
      <w:r>
        <w:rPr>
          <w:rFonts w:ascii="Arial Narrow" w:hAnsi="Arial Narrow" w:eastAsia="仿宋_GB2312"/>
          <w:color w:val="auto"/>
        </w:rPr>
        <w:t>≥90</w:t>
      </w:r>
      <w:bookmarkEnd w:id="17"/>
      <w:r>
        <w:rPr>
          <w:rFonts w:ascii="Arial Narrow" w:hAnsi="Arial Narrow" w:eastAsia="仿宋_GB2312"/>
          <w:color w:val="auto"/>
        </w:rPr>
        <w:t>）、良</w:t>
      </w:r>
      <w:bookmarkStart w:id="18" w:name="_Hlk168473502"/>
      <w:r>
        <w:rPr>
          <w:rFonts w:ascii="Arial Narrow" w:hAnsi="Arial Narrow" w:eastAsia="仿宋_GB2312"/>
          <w:color w:val="auto"/>
        </w:rPr>
        <w:t>（90＞得分≥80）</w:t>
      </w:r>
      <w:bookmarkEnd w:id="18"/>
      <w:r>
        <w:rPr>
          <w:rFonts w:ascii="Arial Narrow" w:hAnsi="Arial Narrow" w:eastAsia="仿宋_GB2312"/>
          <w:color w:val="auto"/>
        </w:rPr>
        <w:t>、中（80＞得分≥60）、差（得分＜60）四个等级，按百分制综合得分高低按分值划段确定。</w:t>
      </w:r>
    </w:p>
    <w:p w14:paraId="3994769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4262269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44E192F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4259067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65BCA48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0CDFE86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0A580DF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2F3E858E">
      <w:pPr>
        <w:spacing w:line="360" w:lineRule="auto"/>
        <w:ind w:firstLine="482" w:firstLineChars="200"/>
        <w:jc w:val="left"/>
        <w:outlineLvl w:val="0"/>
        <w:rPr>
          <w:rFonts w:ascii="Arial Narrow" w:hAnsi="Arial Narrow" w:eastAsia="仿宋_GB2312"/>
          <w:b/>
          <w:sz w:val="24"/>
        </w:rPr>
      </w:pPr>
      <w:bookmarkStart w:id="19" w:name="_Toc437528932"/>
      <w:bookmarkStart w:id="20" w:name="_Toc929"/>
      <w:r>
        <w:rPr>
          <w:rFonts w:ascii="Arial Narrow" w:hAnsi="Arial Narrow" w:eastAsia="仿宋_GB2312"/>
          <w:b/>
          <w:sz w:val="24"/>
        </w:rPr>
        <w:t>（六）绩效评价</w:t>
      </w:r>
      <w:bookmarkEnd w:id="19"/>
      <w:r>
        <w:rPr>
          <w:rFonts w:ascii="Arial Narrow" w:hAnsi="Arial Narrow" w:eastAsia="仿宋_GB2312"/>
          <w:b/>
          <w:sz w:val="24"/>
        </w:rPr>
        <w:t>工作过程</w:t>
      </w:r>
      <w:bookmarkEnd w:id="20"/>
    </w:p>
    <w:p w14:paraId="1A28249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w:t>
      </w:r>
      <w:r>
        <w:rPr>
          <w:rFonts w:hint="eastAsia" w:ascii="Arial Narrow" w:hAnsi="Arial Narrow" w:eastAsia="仿宋_GB2312"/>
          <w:color w:val="auto"/>
          <w:lang w:eastAsia="zh-CN"/>
        </w:rPr>
        <w:t>“</w:t>
      </w:r>
      <w:r>
        <w:rPr>
          <w:rFonts w:hint="eastAsia" w:ascii="Arial Narrow" w:hAnsi="Arial Narrow" w:eastAsia="仿宋_GB2312"/>
          <w:color w:val="auto"/>
        </w:rPr>
        <w:t>2023年财政专项衔接资金项目</w:t>
      </w:r>
      <w:r>
        <w:rPr>
          <w:rFonts w:hint="eastAsia" w:ascii="Arial Narrow" w:hAnsi="Arial Narrow" w:eastAsia="仿宋_GB2312"/>
          <w:color w:val="auto"/>
          <w:lang w:eastAsia="zh-CN"/>
        </w:rPr>
        <w:t>”</w:t>
      </w:r>
      <w:r>
        <w:rPr>
          <w:rFonts w:hint="eastAsia" w:ascii="Arial Narrow" w:hAnsi="Arial Narrow" w:eastAsia="仿宋_GB2312"/>
          <w:color w:val="auto"/>
        </w:rPr>
        <w:t>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45872C1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4E58530F">
      <w:pPr>
        <w:pStyle w:val="13"/>
        <w:spacing w:line="360" w:lineRule="auto"/>
        <w:ind w:firstLine="480" w:firstLineChars="200"/>
        <w:rPr>
          <w:rFonts w:hint="eastAsia" w:ascii="Arial Narrow" w:hAnsi="Arial Narrow" w:eastAsia="仿宋_GB2312"/>
          <w:color w:val="auto"/>
          <w:lang w:val="en-US"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250465E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098EEC14">
      <w:pPr>
        <w:spacing w:line="360" w:lineRule="auto"/>
        <w:ind w:firstLine="482" w:firstLineChars="200"/>
        <w:jc w:val="left"/>
        <w:outlineLvl w:val="0"/>
        <w:rPr>
          <w:rFonts w:ascii="Arial Narrow" w:hAnsi="Arial Narrow" w:eastAsia="仿宋_GB2312"/>
          <w:b/>
          <w:sz w:val="24"/>
        </w:rPr>
      </w:pPr>
      <w:bookmarkStart w:id="21" w:name="_Toc437528933"/>
      <w:bookmarkStart w:id="22" w:name="_Toc22471"/>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1"/>
      <w:r>
        <w:rPr>
          <w:rFonts w:ascii="Arial Narrow" w:hAnsi="Arial Narrow" w:eastAsia="仿宋_GB2312"/>
          <w:b/>
          <w:sz w:val="24"/>
        </w:rPr>
        <w:t>结论</w:t>
      </w:r>
      <w:bookmarkEnd w:id="22"/>
    </w:p>
    <w:p w14:paraId="40D0B3B1">
      <w:pPr>
        <w:spacing w:line="360" w:lineRule="auto"/>
        <w:ind w:firstLine="480" w:firstLineChars="200"/>
        <w:jc w:val="left"/>
        <w:rPr>
          <w:rFonts w:ascii="Arial Narrow" w:hAnsi="Arial Narrow" w:eastAsia="仿宋_GB2312"/>
          <w:b/>
          <w:bCs/>
          <w:sz w:val="28"/>
          <w:szCs w:val="28"/>
        </w:rPr>
      </w:pPr>
      <w:r>
        <w:rPr>
          <w:rFonts w:hint="eastAsia" w:ascii="Arial Narrow" w:hAnsi="Arial Narrow" w:eastAsia="仿宋_GB2312"/>
          <w:sz w:val="24"/>
        </w:rPr>
        <w:t>重庆市铜梁区乡村振兴局、重庆市铜梁区供销合作社消费帮扶项目</w:t>
      </w:r>
      <w:r>
        <w:rPr>
          <w:rFonts w:ascii="Arial Narrow" w:hAnsi="Arial Narrow" w:eastAsia="仿宋_GB2312"/>
          <w:sz w:val="24"/>
        </w:rPr>
        <w:t>绩效评价得分</w:t>
      </w:r>
      <w:r>
        <w:rPr>
          <w:rFonts w:hint="eastAsia" w:ascii="Arial Narrow" w:hAnsi="Arial Narrow" w:eastAsia="仿宋_GB2312"/>
          <w:sz w:val="24"/>
        </w:rPr>
        <w:t>81.50</w:t>
      </w:r>
      <w:r>
        <w:rPr>
          <w:rFonts w:ascii="Arial Narrow" w:hAnsi="Arial Narrow" w:eastAsia="仿宋_GB2312"/>
          <w:sz w:val="24"/>
        </w:rPr>
        <w:t>分，绩效评价等级为：</w:t>
      </w:r>
      <w:r>
        <w:rPr>
          <w:rFonts w:hint="eastAsia" w:ascii="Arial Narrow" w:hAnsi="Arial Narrow" w:eastAsia="仿宋_GB2312"/>
          <w:sz w:val="24"/>
        </w:rPr>
        <w:t>良。</w:t>
      </w:r>
    </w:p>
    <w:p w14:paraId="7BABA545">
      <w:pPr>
        <w:spacing w:line="360" w:lineRule="auto"/>
        <w:ind w:firstLine="482" w:firstLineChars="200"/>
        <w:outlineLvl w:val="0"/>
        <w:rPr>
          <w:rFonts w:ascii="Arial Narrow" w:hAnsi="Arial Narrow" w:eastAsia="仿宋_GB2312"/>
          <w:b/>
          <w:sz w:val="24"/>
        </w:rPr>
      </w:pPr>
      <w:bookmarkStart w:id="23" w:name="_Toc3313"/>
      <w:r>
        <w:rPr>
          <w:rFonts w:hint="eastAsia" w:ascii="Arial Narrow" w:hAnsi="Arial Narrow" w:eastAsia="仿宋_GB2312"/>
          <w:b/>
          <w:sz w:val="24"/>
        </w:rPr>
        <w:t>四、</w:t>
      </w:r>
      <w:r>
        <w:rPr>
          <w:rFonts w:ascii="Arial Narrow" w:hAnsi="Arial Narrow" w:eastAsia="仿宋_GB2312"/>
          <w:b/>
          <w:sz w:val="24"/>
        </w:rPr>
        <w:t>综合评价情况</w:t>
      </w:r>
      <w:bookmarkEnd w:id="23"/>
    </w:p>
    <w:p w14:paraId="30469AF7">
      <w:pPr>
        <w:spacing w:line="360" w:lineRule="auto"/>
        <w:ind w:firstLine="482" w:firstLineChars="200"/>
        <w:jc w:val="left"/>
        <w:outlineLvl w:val="0"/>
        <w:rPr>
          <w:rFonts w:ascii="仿宋_GB2312" w:eastAsia="仿宋_GB2312"/>
          <w:b/>
          <w:sz w:val="24"/>
        </w:rPr>
      </w:pPr>
      <w:bookmarkStart w:id="24" w:name="_Toc19920"/>
      <w:r>
        <w:rPr>
          <w:rFonts w:hint="eastAsia" w:ascii="仿宋_GB2312" w:eastAsia="仿宋_GB2312"/>
          <w:b/>
          <w:sz w:val="24"/>
        </w:rPr>
        <w:t>（一）资金管理</w:t>
      </w:r>
      <w:bookmarkEnd w:id="24"/>
    </w:p>
    <w:p w14:paraId="646782F0">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75C716C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w:t>
      </w:r>
      <w:r>
        <w:rPr>
          <w:rFonts w:hint="eastAsia" w:ascii="Arial Narrow" w:hAnsi="Arial Narrow" w:eastAsia="仿宋_GB2312"/>
          <w:sz w:val="24"/>
          <w:lang w:val="en-US" w:eastAsia="zh-CN"/>
        </w:rPr>
        <w:t>号</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5FBEE60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1286D74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项目资金从区财政局下达资金文件时间到区级业务主管部门下达项目及资金计划文件时间间隔小于30天。</w:t>
      </w:r>
    </w:p>
    <w:p w14:paraId="70685998">
      <w:pPr>
        <w:spacing w:line="360" w:lineRule="auto"/>
        <w:ind w:firstLine="482" w:firstLineChars="200"/>
        <w:jc w:val="left"/>
        <w:outlineLvl w:val="0"/>
        <w:rPr>
          <w:rFonts w:ascii="仿宋_GB2312" w:eastAsia="仿宋_GB2312"/>
          <w:b/>
          <w:sz w:val="24"/>
        </w:rPr>
      </w:pPr>
      <w:bookmarkStart w:id="25" w:name="_Toc19085"/>
      <w:r>
        <w:rPr>
          <w:rFonts w:hint="eastAsia" w:ascii="仿宋_GB2312" w:eastAsia="仿宋_GB2312"/>
          <w:b/>
          <w:sz w:val="24"/>
        </w:rPr>
        <w:t>（二）项目管理</w:t>
      </w:r>
      <w:bookmarkEnd w:id="25"/>
    </w:p>
    <w:p w14:paraId="50AFF7D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1A4BB2F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522FE92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2966136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并形成绩效自评表。未见自评报告，项目绩效申报目标帮扶柜维护数量为100.00台，实际维护数量为99.00台。</w:t>
      </w:r>
      <w:r>
        <w:rPr>
          <w:rFonts w:ascii="Arial Narrow" w:hAnsi="Arial Narrow" w:eastAsia="仿宋_GB2312"/>
          <w:sz w:val="24"/>
        </w:rPr>
        <w:t xml:space="preserve"> </w:t>
      </w:r>
    </w:p>
    <w:p w14:paraId="1C96C36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192AAB4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项目实施方案不存在变更情况，实施过程由区供销社定期对项目维护情况进行监督检查，检查中未发现重大问题，项目按照实施节点按时提交项目报账资料。未见</w:t>
      </w:r>
      <w:r>
        <w:rPr>
          <w:rFonts w:hint="eastAsia" w:ascii="Arial Narrow" w:hAnsi="Arial Narrow" w:eastAsia="仿宋_GB2312" w:cs="宋体"/>
          <w:kern w:val="0"/>
          <w:sz w:val="24"/>
        </w:rPr>
        <w:t>项目成套档案管理资料。</w:t>
      </w:r>
      <w:r>
        <w:rPr>
          <w:rFonts w:hint="eastAsia" w:ascii="Arial Narrow" w:hAnsi="Arial Narrow" w:eastAsia="仿宋_GB2312"/>
          <w:sz w:val="24"/>
        </w:rPr>
        <w:t>未见区振兴局定期监督检查佐证资料。</w:t>
      </w:r>
    </w:p>
    <w:p w14:paraId="7607891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w:t>
      </w:r>
      <w:r>
        <w:rPr>
          <w:rFonts w:hint="eastAsia"/>
        </w:rPr>
        <w:t xml:space="preserve"> </w:t>
      </w:r>
      <w:r>
        <w:rPr>
          <w:rFonts w:hint="eastAsia" w:ascii="Arial Narrow" w:hAnsi="Arial Narrow" w:eastAsia="仿宋_GB2312"/>
          <w:sz w:val="24"/>
        </w:rPr>
        <w:t>预算执行率情况</w:t>
      </w:r>
    </w:p>
    <w:p w14:paraId="11DA0BF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项目最后一笔款项拨付于2023年12月15日，进度款拨付较晚。</w:t>
      </w:r>
    </w:p>
    <w:p w14:paraId="28DC2A9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66C284C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通过实施单位提供的监控表、自评表等资料显示，实施过程由区供销社定期对项目维护情况进行监督检查，跟踪督促及各类检查发现问题整改到位。未见区振兴局定期监督检查佐证资料。</w:t>
      </w:r>
    </w:p>
    <w:p w14:paraId="02956B7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w:t>
      </w:r>
      <w:r>
        <w:rPr>
          <w:rFonts w:hint="eastAsia"/>
        </w:rPr>
        <w:t xml:space="preserve"> </w:t>
      </w:r>
      <w:r>
        <w:rPr>
          <w:rFonts w:hint="eastAsia" w:ascii="Arial Narrow" w:hAnsi="Arial Narrow" w:eastAsia="仿宋_GB2312"/>
          <w:sz w:val="24"/>
        </w:rPr>
        <w:t>账务处理及档案管理等情况</w:t>
      </w:r>
    </w:p>
    <w:p w14:paraId="5E0BB7B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4BF5E4F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5005B26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重庆市铜梁区乡村振兴局、重庆市铜梁区供销合作社对项目资金计划、项目实施方案等进行了公示公告。</w:t>
      </w:r>
    </w:p>
    <w:p w14:paraId="1AAF379C">
      <w:pPr>
        <w:spacing w:line="360" w:lineRule="auto"/>
        <w:ind w:firstLine="482" w:firstLineChars="200"/>
        <w:jc w:val="left"/>
        <w:outlineLvl w:val="0"/>
        <w:rPr>
          <w:rFonts w:ascii="仿宋_GB2312" w:eastAsia="仿宋_GB2312"/>
          <w:b/>
          <w:sz w:val="24"/>
        </w:rPr>
      </w:pPr>
      <w:bookmarkStart w:id="26" w:name="_Toc13565"/>
      <w:r>
        <w:rPr>
          <w:rFonts w:hint="eastAsia" w:ascii="仿宋_GB2312" w:eastAsia="仿宋_GB2312"/>
          <w:b/>
          <w:sz w:val="24"/>
        </w:rPr>
        <w:t>（三）使用成效及通报情况</w:t>
      </w:r>
      <w:bookmarkEnd w:id="26"/>
    </w:p>
    <w:p w14:paraId="58FE46B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1678049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项目总体资金均专款专用，项目完成进度和及时性基本达到计划预期目的。完成项目的质量能够达标，完成进行了自评、项目资金完整。</w:t>
      </w:r>
    </w:p>
    <w:p w14:paraId="69414CF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6D4489F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w:t>
      </w:r>
      <w:r>
        <w:rPr>
          <w:rFonts w:hint="eastAsia" w:ascii="Arial Narrow" w:hAnsi="Arial Narrow" w:eastAsia="仿宋_GB2312"/>
          <w:sz w:val="24"/>
          <w:lang w:val="en-US" w:eastAsia="zh-CN"/>
        </w:rPr>
        <w:t>出现</w:t>
      </w:r>
      <w:r>
        <w:rPr>
          <w:rFonts w:hint="eastAsia" w:ascii="Arial Narrow" w:hAnsi="Arial Narrow" w:eastAsia="仿宋_GB2312"/>
          <w:sz w:val="24"/>
        </w:rPr>
        <w:t>被通报和问题反馈</w:t>
      </w:r>
      <w:r>
        <w:rPr>
          <w:rFonts w:hint="eastAsia" w:ascii="Arial Narrow" w:hAnsi="Arial Narrow" w:eastAsia="仿宋_GB2312"/>
          <w:sz w:val="24"/>
          <w:lang w:val="en-US" w:eastAsia="zh-CN"/>
        </w:rPr>
        <w:t>整改</w:t>
      </w:r>
      <w:r>
        <w:rPr>
          <w:rFonts w:hint="eastAsia" w:ascii="Arial Narrow" w:hAnsi="Arial Narrow" w:eastAsia="仿宋_GB2312"/>
          <w:sz w:val="24"/>
        </w:rPr>
        <w:t>情况。</w:t>
      </w:r>
    </w:p>
    <w:p w14:paraId="668305FF">
      <w:pPr>
        <w:spacing w:line="360" w:lineRule="auto"/>
        <w:ind w:firstLine="482" w:firstLineChars="200"/>
        <w:outlineLvl w:val="0"/>
        <w:rPr>
          <w:rFonts w:hint="eastAsia" w:ascii="Arial Narrow" w:hAnsi="Arial Narrow" w:eastAsia="仿宋_GB2312"/>
          <w:b/>
          <w:sz w:val="24"/>
        </w:rPr>
      </w:pPr>
      <w:bookmarkStart w:id="27" w:name="_Toc14243"/>
      <w:r>
        <w:rPr>
          <w:rFonts w:hint="eastAsia" w:ascii="Arial Narrow" w:hAnsi="Arial Narrow" w:eastAsia="仿宋_GB2312"/>
          <w:b/>
          <w:sz w:val="24"/>
        </w:rPr>
        <w:t>五、存在的问题和建议</w:t>
      </w:r>
      <w:bookmarkEnd w:id="27"/>
    </w:p>
    <w:p w14:paraId="7689C622">
      <w:pPr>
        <w:spacing w:line="360" w:lineRule="auto"/>
        <w:ind w:firstLine="482" w:firstLineChars="200"/>
        <w:jc w:val="left"/>
        <w:outlineLvl w:val="0"/>
        <w:rPr>
          <w:rFonts w:ascii="仿宋_GB2312" w:eastAsia="仿宋_GB2312"/>
          <w:b/>
          <w:sz w:val="24"/>
        </w:rPr>
      </w:pPr>
      <w:bookmarkStart w:id="28" w:name="_Toc32253"/>
      <w:r>
        <w:rPr>
          <w:rFonts w:hint="eastAsia" w:ascii="仿宋_GB2312" w:eastAsia="仿宋_GB2312"/>
          <w:b/>
          <w:sz w:val="24"/>
        </w:rPr>
        <w:t>（一）存在问题</w:t>
      </w:r>
      <w:bookmarkEnd w:id="28"/>
    </w:p>
    <w:p w14:paraId="5AF2DE04">
      <w:pPr>
        <w:adjustRightInd w:val="0"/>
        <w:snapToGrid w:val="0"/>
        <w:spacing w:line="360" w:lineRule="auto"/>
        <w:ind w:firstLine="480" w:firstLineChars="200"/>
        <w:rPr>
          <w:rStyle w:val="10"/>
          <w:rFonts w:ascii="Arial Narrow" w:hAnsi="Arial Narrow" w:eastAsia="仿宋_GB2312"/>
          <w:color w:val="auto"/>
          <w:sz w:val="24"/>
          <w:u w:val="none"/>
        </w:rPr>
      </w:pPr>
      <w:r>
        <w:rPr>
          <w:rFonts w:hint="eastAsia" w:ascii="Arial Narrow" w:hAnsi="Arial Narrow" w:eastAsia="仿宋_GB2312"/>
          <w:sz w:val="24"/>
        </w:rPr>
        <w:t>1.</w:t>
      </w:r>
      <w:r>
        <w:rPr>
          <w:rStyle w:val="10"/>
          <w:rFonts w:hint="eastAsia" w:ascii="Arial Narrow" w:hAnsi="Arial Narrow" w:eastAsia="仿宋_GB2312"/>
          <w:color w:val="auto"/>
          <w:sz w:val="24"/>
          <w:u w:val="none"/>
        </w:rPr>
        <w:t>项目实施完毕后未及时形成自评报告。</w:t>
      </w:r>
    </w:p>
    <w:p w14:paraId="7BC52CE8">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2.未达绩效目标申报维护数量，计划维护100.00台帮扶柜，实际维护99.00台，一台完全损毁无法使用。</w:t>
      </w:r>
    </w:p>
    <w:p w14:paraId="2582E291">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3.日常档案管理资料整理归档不及时。</w:t>
      </w:r>
    </w:p>
    <w:p w14:paraId="6AC11B5F">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4.未见区振兴局定期监督管理相关佐证资料。</w:t>
      </w:r>
    </w:p>
    <w:p w14:paraId="20C6346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5.项目资金拨付进度较晚，本项目最后一笔款项于2023年12月15日支出。</w:t>
      </w:r>
    </w:p>
    <w:p w14:paraId="0921A46E">
      <w:pPr>
        <w:spacing w:line="360" w:lineRule="auto"/>
        <w:ind w:firstLine="482" w:firstLineChars="200"/>
        <w:jc w:val="left"/>
        <w:outlineLvl w:val="0"/>
        <w:rPr>
          <w:rFonts w:ascii="仿宋_GB2312" w:eastAsia="仿宋_GB2312"/>
          <w:b/>
          <w:sz w:val="24"/>
        </w:rPr>
      </w:pPr>
      <w:bookmarkStart w:id="29" w:name="_Toc17281"/>
      <w:r>
        <w:rPr>
          <w:rFonts w:hint="eastAsia" w:ascii="仿宋_GB2312" w:eastAsia="仿宋_GB2312"/>
          <w:b/>
          <w:sz w:val="24"/>
        </w:rPr>
        <w:t>（二）建议</w:t>
      </w:r>
      <w:bookmarkEnd w:id="29"/>
    </w:p>
    <w:p w14:paraId="0DDEC503">
      <w:pPr>
        <w:adjustRightInd w:val="0"/>
        <w:snapToGrid w:val="0"/>
        <w:spacing w:line="360" w:lineRule="auto"/>
        <w:ind w:firstLine="480" w:firstLineChars="200"/>
        <w:jc w:val="both"/>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1.项目实施完毕后及时展开自评程序，完善自评表、自评报告，总结项目经验，为巩固拓展脱贫攻坚成果同乡村振兴有效衔接决策和分配财政专项衔接资金提供重要参考。</w:t>
      </w:r>
    </w:p>
    <w:p w14:paraId="0B8B9A21">
      <w:pPr>
        <w:adjustRightInd w:val="0"/>
        <w:snapToGrid w:val="0"/>
        <w:spacing w:line="360" w:lineRule="auto"/>
        <w:ind w:firstLine="480" w:firstLineChars="200"/>
        <w:jc w:val="both"/>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2.严格按照财政资金预算执行，及时拨付项目资金。针对财政专项资金,建议实施单位在规定时间内支付项目资金，杜绝资金滞留、挤占、截留、挪用等现象的发生。</w:t>
      </w:r>
    </w:p>
    <w:p w14:paraId="48B0AA6A">
      <w:pPr>
        <w:adjustRightInd w:val="0"/>
        <w:snapToGrid w:val="0"/>
        <w:spacing w:line="360" w:lineRule="auto"/>
        <w:ind w:firstLine="480" w:firstLineChars="200"/>
        <w:jc w:val="both"/>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3.对项目日常管理资料及时归档整理装订成册或装订成盒。</w:t>
      </w:r>
    </w:p>
    <w:p w14:paraId="3EBC8591">
      <w:pPr>
        <w:adjustRightInd w:val="0"/>
        <w:snapToGrid w:val="0"/>
        <w:spacing w:line="360" w:lineRule="auto"/>
        <w:ind w:firstLine="480" w:firstLineChars="200"/>
        <w:jc w:val="both"/>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4.加强定期监督检查，提高管理水平，避免资产损毁遗失等情况。</w:t>
      </w:r>
    </w:p>
    <w:p w14:paraId="353B9856">
      <w:pPr>
        <w:adjustRightInd w:val="0"/>
        <w:snapToGrid w:val="0"/>
        <w:spacing w:line="360" w:lineRule="auto"/>
        <w:ind w:firstLine="480" w:firstLineChars="200"/>
        <w:rPr>
          <w:rStyle w:val="10"/>
          <w:rFonts w:ascii="Arial Narrow" w:hAnsi="Arial Narrow" w:eastAsia="仿宋_GB2312"/>
          <w:color w:val="auto"/>
          <w:sz w:val="24"/>
          <w:u w:val="none"/>
        </w:rPr>
      </w:pPr>
    </w:p>
    <w:p w14:paraId="2322A180">
      <w:pPr>
        <w:adjustRightInd w:val="0"/>
        <w:snapToGrid w:val="0"/>
        <w:spacing w:line="360" w:lineRule="auto"/>
        <w:ind w:firstLine="480" w:firstLineChars="200"/>
        <w:rPr>
          <w:rStyle w:val="10"/>
          <w:rFonts w:ascii="Arial Narrow" w:hAnsi="Arial Narrow" w:eastAsia="仿宋_GB2312"/>
          <w:color w:val="auto"/>
          <w:sz w:val="24"/>
          <w:u w:val="none"/>
        </w:rPr>
      </w:pPr>
    </w:p>
    <w:p w14:paraId="226003DE">
      <w:pPr>
        <w:adjustRightInd w:val="0"/>
        <w:snapToGrid w:val="0"/>
        <w:spacing w:line="360" w:lineRule="auto"/>
        <w:ind w:firstLine="480" w:firstLineChars="200"/>
        <w:rPr>
          <w:rStyle w:val="10"/>
          <w:rFonts w:ascii="Arial Narrow" w:hAnsi="Arial Narrow" w:eastAsia="仿宋_GB2312"/>
          <w:color w:val="auto"/>
          <w:sz w:val="24"/>
          <w:u w:val="none"/>
        </w:rPr>
      </w:pPr>
    </w:p>
    <w:p w14:paraId="20FEBA58">
      <w:pPr>
        <w:adjustRightInd w:val="0"/>
        <w:snapToGrid w:val="0"/>
        <w:spacing w:line="360" w:lineRule="auto"/>
        <w:ind w:firstLine="480" w:firstLineChars="200"/>
        <w:rPr>
          <w:rStyle w:val="10"/>
          <w:rFonts w:ascii="Arial Narrow" w:hAnsi="Arial Narrow" w:eastAsia="仿宋_GB2312"/>
          <w:color w:val="auto"/>
          <w:sz w:val="24"/>
          <w:u w:val="none"/>
        </w:rPr>
      </w:pPr>
    </w:p>
    <w:p w14:paraId="4EFD7AAA">
      <w:pPr>
        <w:adjustRightInd w:val="0"/>
        <w:snapToGrid w:val="0"/>
        <w:spacing w:line="360" w:lineRule="auto"/>
        <w:ind w:firstLine="420" w:firstLineChars="200"/>
        <w:rPr>
          <w:rStyle w:val="10"/>
          <w:color w:val="auto"/>
          <w:u w:val="none"/>
        </w:rPr>
      </w:pPr>
    </w:p>
    <w:p w14:paraId="45D81C54">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绩效评价指标体系及评分结果表；</w:t>
      </w:r>
    </w:p>
    <w:p w14:paraId="342DAB7E">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01582399">
      <w:pPr>
        <w:adjustRightInd w:val="0"/>
        <w:snapToGrid w:val="0"/>
        <w:spacing w:line="360" w:lineRule="auto"/>
        <w:ind w:firstLine="720" w:firstLineChars="300"/>
        <w:rPr>
          <w:rStyle w:val="10"/>
          <w:rFonts w:ascii="Arial Narrow" w:hAnsi="Arial Narrow" w:eastAsia="仿宋_GB2312"/>
          <w:color w:val="auto"/>
          <w:sz w:val="24"/>
          <w:u w:val="none"/>
        </w:rPr>
      </w:pPr>
    </w:p>
    <w:p w14:paraId="029FD78B">
      <w:pPr>
        <w:adjustRightInd w:val="0"/>
        <w:snapToGrid w:val="0"/>
        <w:spacing w:line="360" w:lineRule="auto"/>
        <w:ind w:firstLine="720" w:firstLineChars="300"/>
        <w:rPr>
          <w:rStyle w:val="10"/>
          <w:rFonts w:ascii="Arial Narrow" w:hAnsi="Arial Narrow" w:eastAsia="仿宋_GB2312"/>
          <w:color w:val="auto"/>
          <w:sz w:val="24"/>
          <w:u w:val="none"/>
        </w:rPr>
      </w:pPr>
    </w:p>
    <w:p w14:paraId="4A28DC9A">
      <w:pPr>
        <w:adjustRightInd w:val="0"/>
        <w:snapToGrid w:val="0"/>
        <w:spacing w:line="360" w:lineRule="auto"/>
        <w:ind w:firstLine="720" w:firstLineChars="300"/>
        <w:rPr>
          <w:rStyle w:val="10"/>
          <w:rFonts w:ascii="Arial Narrow" w:hAnsi="Arial Narrow" w:eastAsia="仿宋_GB2312"/>
          <w:color w:val="auto"/>
          <w:sz w:val="24"/>
          <w:u w:val="none"/>
        </w:rPr>
      </w:pPr>
    </w:p>
    <w:p w14:paraId="21EF14DC">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584A087F">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30" w:name="_GoBack"/>
      <w:bookmarkEnd w:id="30"/>
      <w:r>
        <w:rPr>
          <w:rStyle w:val="10"/>
          <w:rFonts w:hint="eastAsia" w:ascii="Arial Narrow" w:hAnsi="Arial Narrow" w:eastAsia="仿宋_GB2312"/>
          <w:color w:val="auto"/>
          <w:sz w:val="24"/>
          <w:u w:val="none"/>
        </w:rPr>
        <w:t>二四年六月二十五日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embedRegular r:id="rId1" w:fontKey="{DA0C3218-F267-4405-A25A-6ADA6C725A57}"/>
  </w:font>
  <w:font w:name="仿宋_GB2312">
    <w:panose1 w:val="02010609030101010101"/>
    <w:charset w:val="86"/>
    <w:family w:val="modern"/>
    <w:pitch w:val="default"/>
    <w:sig w:usb0="00000001" w:usb1="080E0000" w:usb2="00000000" w:usb3="00000000" w:csb0="00040000" w:csb1="00000000"/>
    <w:embedRegular r:id="rId2" w:fontKey="{37A12B71-668E-4853-A17E-3C99E7054264}"/>
  </w:font>
  <w:font w:name="仿宋">
    <w:panose1 w:val="02010609060101010101"/>
    <w:charset w:val="86"/>
    <w:family w:val="modern"/>
    <w:pitch w:val="default"/>
    <w:sig w:usb0="800002BF" w:usb1="38CF7CFA" w:usb2="00000016" w:usb3="00000000" w:csb0="00040001" w:csb1="00000000"/>
    <w:embedRegular r:id="rId3" w:fontKey="{14A5F26E-F457-4589-B469-2995DDB538D3}"/>
  </w:font>
  <w:font w:name="楷体">
    <w:panose1 w:val="02010609060101010101"/>
    <w:charset w:val="86"/>
    <w:family w:val="modern"/>
    <w:pitch w:val="default"/>
    <w:sig w:usb0="800002BF" w:usb1="38CF7CFA" w:usb2="00000016" w:usb3="00000000" w:csb0="00040001" w:csb1="00000000"/>
    <w:embedRegular r:id="rId4" w:fontKey="{35B6C6F5-1750-4F14-BEBA-CE092482406D}"/>
  </w:font>
  <w:font w:name="MS Mincho">
    <w:panose1 w:val="02020609040205080304"/>
    <w:charset w:val="80"/>
    <w:family w:val="modern"/>
    <w:pitch w:val="default"/>
    <w:sig w:usb0="E00002FF" w:usb1="6AC7FDFB" w:usb2="00000012" w:usb3="00000000" w:csb0="4002009F" w:csb1="DFD70000"/>
    <w:embedRegular r:id="rId5" w:fontKey="{F9F2D42A-AF3F-4193-BE52-2F5CA4024C50}"/>
  </w:font>
  <w:font w:name="Segoe UI Symbol">
    <w:panose1 w:val="020B0502040204020203"/>
    <w:charset w:val="00"/>
    <w:family w:val="swiss"/>
    <w:pitch w:val="default"/>
    <w:sig w:usb0="8000006F" w:usb1="1200FBEF" w:usb2="0064C000" w:usb3="00000002" w:csb0="00000001" w:csb1="40000000"/>
    <w:embedRegular r:id="rId6" w:fontKey="{E2552D2C-824C-49F5-BBE1-B905631ACD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C9154">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837B">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DD878">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40902"/>
    <w:rsid w:val="000769EE"/>
    <w:rsid w:val="00096CFC"/>
    <w:rsid w:val="000A15CA"/>
    <w:rsid w:val="000C4CCF"/>
    <w:rsid w:val="0010003E"/>
    <w:rsid w:val="00104568"/>
    <w:rsid w:val="001242A0"/>
    <w:rsid w:val="00143A99"/>
    <w:rsid w:val="001518C1"/>
    <w:rsid w:val="00164C87"/>
    <w:rsid w:val="00165D5B"/>
    <w:rsid w:val="001A42EB"/>
    <w:rsid w:val="001A59DB"/>
    <w:rsid w:val="001C1349"/>
    <w:rsid w:val="001D3E86"/>
    <w:rsid w:val="001E0132"/>
    <w:rsid w:val="001E1C7C"/>
    <w:rsid w:val="001F3624"/>
    <w:rsid w:val="001F43AE"/>
    <w:rsid w:val="001F5C34"/>
    <w:rsid w:val="00216472"/>
    <w:rsid w:val="00226E7E"/>
    <w:rsid w:val="002328E0"/>
    <w:rsid w:val="00276D1C"/>
    <w:rsid w:val="00282997"/>
    <w:rsid w:val="002A723B"/>
    <w:rsid w:val="002B0DCA"/>
    <w:rsid w:val="002C36AE"/>
    <w:rsid w:val="002C5020"/>
    <w:rsid w:val="002C7EFA"/>
    <w:rsid w:val="00324E2F"/>
    <w:rsid w:val="003312DC"/>
    <w:rsid w:val="00341805"/>
    <w:rsid w:val="00354C3B"/>
    <w:rsid w:val="0037066E"/>
    <w:rsid w:val="00377668"/>
    <w:rsid w:val="003B42BF"/>
    <w:rsid w:val="003B7D46"/>
    <w:rsid w:val="003D6DF5"/>
    <w:rsid w:val="003F4CD2"/>
    <w:rsid w:val="003F7186"/>
    <w:rsid w:val="00414A58"/>
    <w:rsid w:val="004200C2"/>
    <w:rsid w:val="00420AA7"/>
    <w:rsid w:val="00421C71"/>
    <w:rsid w:val="0048399B"/>
    <w:rsid w:val="004C38B4"/>
    <w:rsid w:val="004C498D"/>
    <w:rsid w:val="004D2A6E"/>
    <w:rsid w:val="00501A64"/>
    <w:rsid w:val="00504C12"/>
    <w:rsid w:val="005441C9"/>
    <w:rsid w:val="005559D9"/>
    <w:rsid w:val="005725DC"/>
    <w:rsid w:val="00572DD6"/>
    <w:rsid w:val="00577922"/>
    <w:rsid w:val="005A7BA0"/>
    <w:rsid w:val="005D187D"/>
    <w:rsid w:val="005F01BA"/>
    <w:rsid w:val="005F5420"/>
    <w:rsid w:val="0061417A"/>
    <w:rsid w:val="00624C8C"/>
    <w:rsid w:val="00631EDF"/>
    <w:rsid w:val="006559A4"/>
    <w:rsid w:val="006708F6"/>
    <w:rsid w:val="00691984"/>
    <w:rsid w:val="0069678B"/>
    <w:rsid w:val="006A249A"/>
    <w:rsid w:val="006B3344"/>
    <w:rsid w:val="006C7277"/>
    <w:rsid w:val="006E54EA"/>
    <w:rsid w:val="006E75D6"/>
    <w:rsid w:val="006F1D64"/>
    <w:rsid w:val="006F3E4B"/>
    <w:rsid w:val="0073019B"/>
    <w:rsid w:val="00740E9D"/>
    <w:rsid w:val="00741402"/>
    <w:rsid w:val="007618F2"/>
    <w:rsid w:val="007A6BE6"/>
    <w:rsid w:val="007B30EB"/>
    <w:rsid w:val="007E1784"/>
    <w:rsid w:val="007F77F1"/>
    <w:rsid w:val="00816944"/>
    <w:rsid w:val="00816D8C"/>
    <w:rsid w:val="00842151"/>
    <w:rsid w:val="00856815"/>
    <w:rsid w:val="00886A9B"/>
    <w:rsid w:val="008952B1"/>
    <w:rsid w:val="00895F84"/>
    <w:rsid w:val="008C0188"/>
    <w:rsid w:val="008D4F7C"/>
    <w:rsid w:val="008E609D"/>
    <w:rsid w:val="00900759"/>
    <w:rsid w:val="00943414"/>
    <w:rsid w:val="0095397F"/>
    <w:rsid w:val="00981215"/>
    <w:rsid w:val="00983CB7"/>
    <w:rsid w:val="009943F8"/>
    <w:rsid w:val="009957B8"/>
    <w:rsid w:val="009A2859"/>
    <w:rsid w:val="009A406A"/>
    <w:rsid w:val="00A11464"/>
    <w:rsid w:val="00A117F0"/>
    <w:rsid w:val="00A352D4"/>
    <w:rsid w:val="00A64D55"/>
    <w:rsid w:val="00A65BD0"/>
    <w:rsid w:val="00A72CB5"/>
    <w:rsid w:val="00A95CA5"/>
    <w:rsid w:val="00AB515F"/>
    <w:rsid w:val="00AD2B73"/>
    <w:rsid w:val="00AD453A"/>
    <w:rsid w:val="00AE470F"/>
    <w:rsid w:val="00AF58DD"/>
    <w:rsid w:val="00B07FFC"/>
    <w:rsid w:val="00B134A6"/>
    <w:rsid w:val="00B25350"/>
    <w:rsid w:val="00B46123"/>
    <w:rsid w:val="00B50038"/>
    <w:rsid w:val="00BA1016"/>
    <w:rsid w:val="00BB3674"/>
    <w:rsid w:val="00BC7BED"/>
    <w:rsid w:val="00C06180"/>
    <w:rsid w:val="00C107C7"/>
    <w:rsid w:val="00C12443"/>
    <w:rsid w:val="00C35442"/>
    <w:rsid w:val="00C41382"/>
    <w:rsid w:val="00C60A62"/>
    <w:rsid w:val="00C706D4"/>
    <w:rsid w:val="00C74C23"/>
    <w:rsid w:val="00C93106"/>
    <w:rsid w:val="00CB54FB"/>
    <w:rsid w:val="00CC75D8"/>
    <w:rsid w:val="00CE5716"/>
    <w:rsid w:val="00CF1E7C"/>
    <w:rsid w:val="00CF6D2F"/>
    <w:rsid w:val="00D254D3"/>
    <w:rsid w:val="00D26E16"/>
    <w:rsid w:val="00D415D5"/>
    <w:rsid w:val="00D5686C"/>
    <w:rsid w:val="00D7269B"/>
    <w:rsid w:val="00DB55F0"/>
    <w:rsid w:val="00DC2C32"/>
    <w:rsid w:val="00DD1665"/>
    <w:rsid w:val="00DE59D4"/>
    <w:rsid w:val="00E12883"/>
    <w:rsid w:val="00E23D6E"/>
    <w:rsid w:val="00E27A95"/>
    <w:rsid w:val="00E368BC"/>
    <w:rsid w:val="00E57FD1"/>
    <w:rsid w:val="00E65AD6"/>
    <w:rsid w:val="00E7395C"/>
    <w:rsid w:val="00E80BDA"/>
    <w:rsid w:val="00EB474C"/>
    <w:rsid w:val="00EE395C"/>
    <w:rsid w:val="00F116AB"/>
    <w:rsid w:val="00F24091"/>
    <w:rsid w:val="00F25B36"/>
    <w:rsid w:val="00F54C3F"/>
    <w:rsid w:val="00F61D28"/>
    <w:rsid w:val="00F64D50"/>
    <w:rsid w:val="00F6551E"/>
    <w:rsid w:val="00FB36F0"/>
    <w:rsid w:val="00FC25B3"/>
    <w:rsid w:val="00FD1A79"/>
    <w:rsid w:val="00FE1E65"/>
    <w:rsid w:val="00FF5AA5"/>
    <w:rsid w:val="00FF5C51"/>
    <w:rsid w:val="02717C9D"/>
    <w:rsid w:val="070A79CA"/>
    <w:rsid w:val="0A955355"/>
    <w:rsid w:val="0C955D75"/>
    <w:rsid w:val="0D7C0ECD"/>
    <w:rsid w:val="10FD0312"/>
    <w:rsid w:val="120E6874"/>
    <w:rsid w:val="1D36665E"/>
    <w:rsid w:val="1E9E7073"/>
    <w:rsid w:val="270731DD"/>
    <w:rsid w:val="29136869"/>
    <w:rsid w:val="2AC3332B"/>
    <w:rsid w:val="342C03F2"/>
    <w:rsid w:val="357129F4"/>
    <w:rsid w:val="35F919AA"/>
    <w:rsid w:val="371050B8"/>
    <w:rsid w:val="410426DA"/>
    <w:rsid w:val="45075E3A"/>
    <w:rsid w:val="45947F31"/>
    <w:rsid w:val="473A0E26"/>
    <w:rsid w:val="4DF1278B"/>
    <w:rsid w:val="60087B46"/>
    <w:rsid w:val="60512AD8"/>
    <w:rsid w:val="629B4EDD"/>
    <w:rsid w:val="6C0B491D"/>
    <w:rsid w:val="6F9B3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5665</Words>
  <Characters>6008</Characters>
  <Lines>51</Lines>
  <Paragraphs>14</Paragraphs>
  <TotalTime>6</TotalTime>
  <ScaleCrop>false</ScaleCrop>
  <LinksUpToDate>false</LinksUpToDate>
  <CharactersWithSpaces>6045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2024-07-23T07:57:00Z</cp:lastPrinted>
  <dcterms:modified xsi:type="dcterms:W3CDTF">2024-11-19T09:45:46Z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