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B273A">
      <w:pPr>
        <w:spacing w:line="360" w:lineRule="auto"/>
        <w:jc w:val="center"/>
        <w:rPr>
          <w:rFonts w:ascii="Arial Narrow" w:hAnsi="Arial Narrow" w:eastAsiaTheme="minorEastAsia"/>
          <w:b/>
          <w:bCs/>
          <w:sz w:val="36"/>
          <w:szCs w:val="36"/>
        </w:rPr>
      </w:pPr>
    </w:p>
    <w:p w14:paraId="07274648">
      <w:pPr>
        <w:spacing w:line="360" w:lineRule="auto"/>
        <w:jc w:val="center"/>
        <w:rPr>
          <w:rFonts w:ascii="Arial Narrow" w:hAnsi="Arial Narrow" w:eastAsiaTheme="minorEastAsia"/>
          <w:b/>
          <w:bCs/>
          <w:sz w:val="36"/>
          <w:szCs w:val="36"/>
        </w:rPr>
      </w:pPr>
    </w:p>
    <w:p w14:paraId="083A2B08">
      <w:pPr>
        <w:spacing w:line="360" w:lineRule="auto"/>
        <w:jc w:val="center"/>
        <w:rPr>
          <w:rFonts w:ascii="Arial Narrow" w:hAnsi="Arial Narrow" w:eastAsiaTheme="minorEastAsia"/>
          <w:b/>
          <w:bCs/>
          <w:sz w:val="36"/>
          <w:szCs w:val="36"/>
        </w:rPr>
      </w:pPr>
    </w:p>
    <w:p w14:paraId="51F20EC5">
      <w:pPr>
        <w:spacing w:line="360" w:lineRule="auto"/>
        <w:jc w:val="center"/>
        <w:rPr>
          <w:rFonts w:ascii="Arial Narrow" w:hAnsi="Arial Narrow" w:eastAsiaTheme="minorEastAsia"/>
          <w:b/>
          <w:bCs/>
          <w:sz w:val="36"/>
          <w:szCs w:val="36"/>
        </w:rPr>
      </w:pPr>
    </w:p>
    <w:p w14:paraId="13994BB5">
      <w:pPr>
        <w:adjustRightInd w:val="0"/>
        <w:snapToGrid w:val="0"/>
        <w:spacing w:line="360" w:lineRule="auto"/>
        <w:jc w:val="center"/>
        <w:rPr>
          <w:rFonts w:ascii="Arial Narrow" w:hAnsi="Arial Narrow" w:eastAsiaTheme="minorEastAsia"/>
          <w:b/>
          <w:sz w:val="44"/>
          <w:szCs w:val="44"/>
        </w:rPr>
      </w:pPr>
      <w:r>
        <w:rPr>
          <w:rFonts w:ascii="Arial Narrow" w:hAnsi="Arial Narrow" w:eastAsiaTheme="minorEastAsia"/>
          <w:b/>
          <w:sz w:val="44"/>
          <w:szCs w:val="44"/>
        </w:rPr>
        <w:t>重庆市铜梁区乡村振兴局</w:t>
      </w:r>
      <w:r>
        <w:rPr>
          <w:rFonts w:hint="eastAsia" w:ascii="仿宋" w:hAnsi="仿宋" w:eastAsia="仿宋" w:cs="仿宋"/>
          <w:b/>
          <w:sz w:val="44"/>
          <w:szCs w:val="44"/>
        </w:rPr>
        <w:t>“</w:t>
      </w:r>
      <w:r>
        <w:rPr>
          <w:rFonts w:ascii="Arial Narrow" w:hAnsi="Arial Narrow" w:eastAsiaTheme="minorEastAsia"/>
          <w:b/>
          <w:sz w:val="44"/>
          <w:szCs w:val="44"/>
        </w:rPr>
        <w:t>渝快助农贷</w:t>
      </w:r>
      <w:r>
        <w:rPr>
          <w:rFonts w:hint="eastAsia" w:ascii="仿宋" w:hAnsi="仿宋" w:eastAsia="仿宋" w:cs="仿宋"/>
          <w:b/>
          <w:sz w:val="44"/>
          <w:szCs w:val="44"/>
        </w:rPr>
        <w:t>”</w:t>
      </w:r>
      <w:r>
        <w:rPr>
          <w:rFonts w:ascii="Arial Narrow" w:hAnsi="Arial Narrow" w:eastAsiaTheme="minorEastAsia"/>
          <w:b/>
          <w:sz w:val="44"/>
          <w:szCs w:val="44"/>
        </w:rPr>
        <w:t>风险补偿金等7个项目财政专项衔接资金</w:t>
      </w:r>
    </w:p>
    <w:p w14:paraId="62ABC868">
      <w:pPr>
        <w:adjustRightInd w:val="0"/>
        <w:snapToGrid w:val="0"/>
        <w:spacing w:line="360" w:lineRule="auto"/>
        <w:jc w:val="center"/>
        <w:rPr>
          <w:rFonts w:hint="eastAsia" w:ascii="Arial Narrow" w:hAnsi="Arial Narrow" w:eastAsiaTheme="minorEastAsia"/>
          <w:b/>
          <w:sz w:val="44"/>
          <w:szCs w:val="44"/>
          <w:lang w:eastAsia="zh-CN"/>
        </w:rPr>
      </w:pPr>
    </w:p>
    <w:p w14:paraId="214ECEFA">
      <w:pPr>
        <w:adjustRightInd w:val="0"/>
        <w:snapToGrid w:val="0"/>
        <w:spacing w:line="360" w:lineRule="auto"/>
        <w:jc w:val="center"/>
        <w:rPr>
          <w:rFonts w:hint="eastAsia" w:ascii="Arial Narrow" w:hAnsi="Arial Narrow" w:eastAsiaTheme="minorEastAsia"/>
          <w:b/>
          <w:sz w:val="44"/>
          <w:szCs w:val="44"/>
          <w:lang w:eastAsia="zh-CN"/>
        </w:rPr>
      </w:pPr>
    </w:p>
    <w:p w14:paraId="47FC3AC4">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ascii="Arial Narrow" w:hAnsi="Arial Narrow" w:eastAsiaTheme="minorEastAsia"/>
          <w:b/>
          <w:w w:val="102"/>
          <w:sz w:val="44"/>
          <w:szCs w:val="44"/>
        </w:rPr>
        <w:t>绩效评价</w:t>
      </w:r>
      <w:bookmarkStart w:id="0" w:name="_Toc488804777"/>
      <w:bookmarkStart w:id="1" w:name="_Toc488637980"/>
      <w:r>
        <w:rPr>
          <w:rFonts w:ascii="Arial Narrow" w:hAnsi="Arial Narrow" w:eastAsiaTheme="minorEastAsia"/>
          <w:b/>
          <w:w w:val="102"/>
          <w:sz w:val="44"/>
          <w:szCs w:val="44"/>
        </w:rPr>
        <w:t>报告</w:t>
      </w:r>
    </w:p>
    <w:p w14:paraId="2887DCA4">
      <w:pPr>
        <w:spacing w:line="360" w:lineRule="auto"/>
        <w:jc w:val="center"/>
        <w:rPr>
          <w:rFonts w:ascii="Arial Narrow" w:hAnsi="Arial Narrow" w:eastAsiaTheme="minorEastAsia"/>
          <w:bCs/>
          <w:sz w:val="32"/>
          <w:szCs w:val="32"/>
        </w:rPr>
      </w:pPr>
      <w:r>
        <w:rPr>
          <w:rFonts w:ascii="Arial Narrow" w:hAnsi="Arial Narrow" w:eastAsiaTheme="minorEastAsia"/>
          <w:bCs/>
          <w:sz w:val="32"/>
          <w:szCs w:val="32"/>
        </w:rPr>
        <w:t>铭鸿咨字【2024】第0033号</w:t>
      </w:r>
    </w:p>
    <w:p w14:paraId="5117004F">
      <w:pPr>
        <w:adjustRightInd w:val="0"/>
        <w:snapToGrid w:val="0"/>
        <w:spacing w:line="360" w:lineRule="auto"/>
        <w:jc w:val="center"/>
        <w:rPr>
          <w:rFonts w:ascii="Arial Narrow" w:hAnsi="Arial Narrow" w:eastAsiaTheme="minorEastAsia"/>
          <w:b/>
          <w:spacing w:val="100"/>
          <w:sz w:val="32"/>
          <w:szCs w:val="32"/>
        </w:rPr>
      </w:pPr>
    </w:p>
    <w:p w14:paraId="57CB006F">
      <w:pPr>
        <w:adjustRightInd w:val="0"/>
        <w:snapToGrid w:val="0"/>
        <w:spacing w:line="360" w:lineRule="auto"/>
        <w:jc w:val="center"/>
        <w:rPr>
          <w:rFonts w:ascii="Arial Narrow" w:hAnsi="Arial Narrow" w:eastAsiaTheme="minorEastAsia"/>
          <w:b/>
          <w:spacing w:val="100"/>
          <w:sz w:val="32"/>
          <w:szCs w:val="32"/>
        </w:rPr>
      </w:pPr>
    </w:p>
    <w:p w14:paraId="03008B4E">
      <w:pPr>
        <w:adjustRightInd w:val="0"/>
        <w:snapToGrid w:val="0"/>
        <w:spacing w:line="360" w:lineRule="auto"/>
        <w:jc w:val="center"/>
        <w:rPr>
          <w:rFonts w:ascii="Arial Narrow" w:hAnsi="Arial Narrow" w:eastAsiaTheme="minorEastAsia"/>
          <w:b/>
          <w:spacing w:val="100"/>
          <w:sz w:val="32"/>
          <w:szCs w:val="32"/>
        </w:rPr>
      </w:pPr>
    </w:p>
    <w:p w14:paraId="7B4FCD77">
      <w:pPr>
        <w:adjustRightInd w:val="0"/>
        <w:snapToGrid w:val="0"/>
        <w:spacing w:line="360" w:lineRule="auto"/>
        <w:jc w:val="center"/>
        <w:rPr>
          <w:rFonts w:ascii="Arial Narrow" w:hAnsi="Arial Narrow" w:eastAsiaTheme="minorEastAsia"/>
          <w:b/>
          <w:spacing w:val="100"/>
          <w:sz w:val="32"/>
          <w:szCs w:val="32"/>
        </w:rPr>
      </w:pPr>
    </w:p>
    <w:p w14:paraId="57BC06D0">
      <w:pPr>
        <w:adjustRightInd w:val="0"/>
        <w:snapToGrid w:val="0"/>
        <w:spacing w:line="360" w:lineRule="auto"/>
        <w:jc w:val="center"/>
        <w:rPr>
          <w:rFonts w:ascii="Arial Narrow" w:hAnsi="Arial Narrow" w:eastAsiaTheme="minorEastAsia"/>
          <w:b/>
          <w:spacing w:val="100"/>
          <w:sz w:val="32"/>
          <w:szCs w:val="32"/>
        </w:rPr>
      </w:pPr>
    </w:p>
    <w:p w14:paraId="6883B0A9">
      <w:pPr>
        <w:adjustRightInd w:val="0"/>
        <w:snapToGrid w:val="0"/>
        <w:spacing w:line="360" w:lineRule="auto"/>
        <w:jc w:val="center"/>
        <w:rPr>
          <w:rFonts w:ascii="Arial Narrow" w:hAnsi="Arial Narrow" w:eastAsiaTheme="minorEastAsia"/>
          <w:b/>
          <w:spacing w:val="100"/>
          <w:sz w:val="32"/>
          <w:szCs w:val="32"/>
        </w:rPr>
      </w:pPr>
    </w:p>
    <w:p w14:paraId="36722095">
      <w:pPr>
        <w:adjustRightInd w:val="0"/>
        <w:snapToGrid w:val="0"/>
        <w:spacing w:line="360" w:lineRule="auto"/>
        <w:jc w:val="center"/>
        <w:rPr>
          <w:rFonts w:ascii="Arial Narrow" w:hAnsi="Arial Narrow" w:eastAsiaTheme="minorEastAsia"/>
          <w:b/>
          <w:spacing w:val="100"/>
          <w:sz w:val="32"/>
          <w:szCs w:val="32"/>
        </w:rPr>
      </w:pPr>
    </w:p>
    <w:p w14:paraId="35F56631">
      <w:pPr>
        <w:adjustRightInd w:val="0"/>
        <w:snapToGrid w:val="0"/>
        <w:spacing w:line="360" w:lineRule="auto"/>
        <w:jc w:val="center"/>
        <w:rPr>
          <w:rFonts w:ascii="Arial Narrow" w:hAnsi="Arial Narrow" w:eastAsiaTheme="minorEastAsia"/>
          <w:b/>
          <w:spacing w:val="100"/>
          <w:sz w:val="32"/>
          <w:szCs w:val="32"/>
        </w:rPr>
      </w:pPr>
    </w:p>
    <w:p w14:paraId="6DB95050">
      <w:pPr>
        <w:adjustRightInd w:val="0"/>
        <w:snapToGrid w:val="0"/>
        <w:spacing w:line="360" w:lineRule="auto"/>
        <w:jc w:val="center"/>
        <w:rPr>
          <w:rFonts w:ascii="Arial Narrow" w:hAnsi="Arial Narrow" w:eastAsiaTheme="minorEastAsia"/>
          <w:b/>
          <w:spacing w:val="100"/>
          <w:sz w:val="32"/>
          <w:szCs w:val="32"/>
        </w:rPr>
      </w:pPr>
    </w:p>
    <w:p w14:paraId="799F0397">
      <w:pPr>
        <w:adjustRightInd w:val="0"/>
        <w:snapToGrid w:val="0"/>
        <w:spacing w:line="360" w:lineRule="auto"/>
        <w:jc w:val="both"/>
        <w:rPr>
          <w:rFonts w:ascii="Arial Narrow" w:hAnsi="Arial Narrow" w:eastAsiaTheme="minorEastAsia"/>
          <w:b/>
          <w:spacing w:val="100"/>
          <w:sz w:val="32"/>
          <w:szCs w:val="32"/>
        </w:rPr>
      </w:pPr>
    </w:p>
    <w:p w14:paraId="21050D51">
      <w:pPr>
        <w:spacing w:line="360" w:lineRule="auto"/>
        <w:jc w:val="center"/>
        <w:rPr>
          <w:rFonts w:ascii="Arial Narrow" w:hAnsi="Arial Narrow" w:eastAsiaTheme="minorEastAsia"/>
          <w:sz w:val="32"/>
          <w:szCs w:val="32"/>
        </w:rPr>
      </w:pPr>
      <w:r>
        <w:rPr>
          <w:rFonts w:ascii="Arial Narrow" w:hAnsi="Arial Narrow" w:eastAsiaTheme="minorEastAsia"/>
          <w:sz w:val="32"/>
          <w:szCs w:val="32"/>
        </w:rPr>
        <w:t>重庆铭鸿金全会计师事务所有限</w:t>
      </w:r>
      <w:r>
        <w:rPr>
          <w:rFonts w:hint="eastAsia" w:ascii="Arial Narrow" w:hAnsi="Arial Narrow" w:eastAsiaTheme="minorEastAsia"/>
          <w:sz w:val="32"/>
          <w:szCs w:val="32"/>
        </w:rPr>
        <w:t>责任</w:t>
      </w:r>
      <w:r>
        <w:rPr>
          <w:rFonts w:ascii="Arial Narrow" w:hAnsi="Arial Narrow" w:eastAsiaTheme="minorEastAsia"/>
          <w:sz w:val="32"/>
          <w:szCs w:val="32"/>
        </w:rPr>
        <w:t>公司</w:t>
      </w:r>
    </w:p>
    <w:p w14:paraId="2A667460">
      <w:pPr>
        <w:spacing w:line="360" w:lineRule="auto"/>
        <w:jc w:val="center"/>
        <w:rPr>
          <w:rFonts w:ascii="Arial Narrow" w:hAnsi="Arial Narrow" w:eastAsiaTheme="minorEastAsia"/>
          <w:sz w:val="32"/>
          <w:szCs w:val="32"/>
        </w:rPr>
      </w:pP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ascii="Arial Narrow" w:hAnsi="Arial Narrow" w:eastAsiaTheme="minorEastAsia"/>
          <w:sz w:val="32"/>
          <w:szCs w:val="32"/>
        </w:rPr>
        <w:t>二</w:t>
      </w:r>
      <w:r>
        <w:rPr>
          <w:rFonts w:hint="eastAsia" w:ascii="Arial Narrow" w:hAnsi="Arial Narrow" w:eastAsiaTheme="minorEastAsia"/>
          <w:sz w:val="32"/>
          <w:szCs w:val="32"/>
          <w:lang w:val="en-US" w:eastAsia="zh-CN"/>
        </w:rPr>
        <w:t>四</w:t>
      </w:r>
      <w:r>
        <w:rPr>
          <w:rFonts w:ascii="Arial Narrow" w:hAnsi="Arial Narrow" w:eastAsiaTheme="minorEastAsia"/>
          <w:sz w:val="32"/>
          <w:szCs w:val="32"/>
        </w:rPr>
        <w:t>年六月</w:t>
      </w:r>
    </w:p>
    <w:p w14:paraId="05C2744F">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0"/>
      <w:bookmarkEnd w:id="1"/>
      <w:r>
        <w:rPr>
          <w:rFonts w:ascii="Arial Narrow" w:hAnsi="Arial Narrow" w:eastAsiaTheme="minorEastAsia"/>
          <w:sz w:val="44"/>
          <w:szCs w:val="44"/>
        </w:rPr>
        <w:t>目   录</w:t>
      </w:r>
    </w:p>
    <w:p w14:paraId="0E462629">
      <w:pPr>
        <w:spacing w:line="360" w:lineRule="auto"/>
        <w:jc w:val="center"/>
        <w:rPr>
          <w:rFonts w:ascii="Arial Narrow" w:hAnsi="Arial Narrow" w:eastAsiaTheme="minorEastAsia"/>
          <w:sz w:val="24"/>
        </w:rPr>
      </w:pPr>
    </w:p>
    <w:p w14:paraId="2E71160A">
      <w:pPr>
        <w:pStyle w:val="7"/>
        <w:rPr>
          <w:rFonts w:asciiTheme="minorHAnsi" w:hAnsiTheme="minorHAnsi" w:eastAsiaTheme="minorEastAsia" w:cstheme="minorBidi"/>
          <w:b w:val="0"/>
          <w:bCs w:val="0"/>
          <w:szCs w:val="22"/>
          <w14:ligatures w14:val="standardContextual"/>
        </w:rPr>
      </w:pPr>
      <w:r>
        <w:rPr>
          <w:rStyle w:val="11"/>
          <w:rFonts w:eastAsiaTheme="minorEastAsia"/>
          <w:b w:val="0"/>
          <w:bCs w:val="0"/>
          <w:color w:val="auto"/>
          <w:szCs w:val="21"/>
          <w:u w:val="none"/>
        </w:rPr>
        <w:fldChar w:fldCharType="begin"/>
      </w:r>
      <w:r>
        <w:rPr>
          <w:rStyle w:val="11"/>
          <w:rFonts w:eastAsiaTheme="minorEastAsia"/>
          <w:b w:val="0"/>
          <w:bCs w:val="0"/>
          <w:color w:val="auto"/>
          <w:szCs w:val="21"/>
          <w:u w:val="none"/>
        </w:rPr>
        <w:instrText xml:space="preserve"> TOC \o "1-3" \h \z \u </w:instrText>
      </w:r>
      <w:r>
        <w:rPr>
          <w:rStyle w:val="11"/>
          <w:rFonts w:eastAsiaTheme="minorEastAsia"/>
          <w:b w:val="0"/>
          <w:bCs w:val="0"/>
          <w:color w:val="auto"/>
          <w:szCs w:val="21"/>
          <w:u w:val="none"/>
        </w:rPr>
        <w:fldChar w:fldCharType="separate"/>
      </w:r>
      <w:r>
        <w:fldChar w:fldCharType="begin"/>
      </w:r>
      <w:r>
        <w:instrText xml:space="preserve"> HYPERLINK \l "_Toc171610579" </w:instrText>
      </w:r>
      <w:r>
        <w:fldChar w:fldCharType="separate"/>
      </w:r>
      <w:r>
        <w:rPr>
          <w:rStyle w:val="11"/>
        </w:rPr>
        <w:t>一、基本情况</w:t>
      </w:r>
      <w:r>
        <w:tab/>
      </w:r>
      <w:r>
        <w:fldChar w:fldCharType="begin"/>
      </w:r>
      <w:r>
        <w:instrText xml:space="preserve"> PAGEREF _Toc171610579 \h </w:instrText>
      </w:r>
      <w:r>
        <w:fldChar w:fldCharType="separate"/>
      </w:r>
      <w:r>
        <w:t>1</w:t>
      </w:r>
      <w:r>
        <w:fldChar w:fldCharType="end"/>
      </w:r>
      <w:r>
        <w:fldChar w:fldCharType="end"/>
      </w:r>
    </w:p>
    <w:p w14:paraId="78316CF6">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"_Toc171610580" </w:instrText>
      </w:r>
      <w:r>
        <w:fldChar w:fldCharType="separate"/>
      </w:r>
      <w:r>
        <w:rPr>
          <w:rStyle w:val="11"/>
          <w:rFonts w:cs="宋体"/>
          <w:kern w:val="0"/>
        </w:rPr>
        <w:t>（一）项目情况</w:t>
      </w:r>
      <w:r>
        <w:tab/>
      </w:r>
      <w:r>
        <w:fldChar w:fldCharType="begin"/>
      </w:r>
      <w:r>
        <w:instrText xml:space="preserve"> PAGEREF _Toc171610580 \h </w:instrText>
      </w:r>
      <w:r>
        <w:fldChar w:fldCharType="separate"/>
      </w:r>
      <w:r>
        <w:t>1</w:t>
      </w:r>
      <w:r>
        <w:fldChar w:fldCharType="end"/>
      </w:r>
      <w:r>
        <w:fldChar w:fldCharType="end"/>
      </w:r>
    </w:p>
    <w:p w14:paraId="154906A9">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"_Toc171610581" </w:instrText>
      </w:r>
      <w:r>
        <w:fldChar w:fldCharType="separate"/>
      </w:r>
      <w:r>
        <w:rPr>
          <w:rStyle w:val="11"/>
        </w:rPr>
        <w:t>二、绩效评价工作情况</w:t>
      </w:r>
      <w:r>
        <w:tab/>
      </w:r>
      <w:r>
        <w:fldChar w:fldCharType="begin"/>
      </w:r>
      <w:r>
        <w:instrText xml:space="preserve"> PAGEREF _Toc171610581 \h </w:instrText>
      </w:r>
      <w:r>
        <w:fldChar w:fldCharType="separate"/>
      </w:r>
      <w:r>
        <w:t>3</w:t>
      </w:r>
      <w:r>
        <w:fldChar w:fldCharType="end"/>
      </w:r>
      <w:r>
        <w:fldChar w:fldCharType="end"/>
      </w:r>
    </w:p>
    <w:p w14:paraId="44FA678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"_Toc171610582" </w:instrText>
      </w:r>
      <w:r>
        <w:fldChar w:fldCharType="separate"/>
      </w:r>
      <w:r>
        <w:rPr>
          <w:rStyle w:val="11"/>
        </w:rPr>
        <w:t>（一）绩效评价目的</w:t>
      </w:r>
      <w:r>
        <w:tab/>
      </w:r>
      <w:r>
        <w:fldChar w:fldCharType="begin"/>
      </w:r>
      <w:r>
        <w:instrText xml:space="preserve"> PAGEREF _Toc171610582 \h </w:instrText>
      </w:r>
      <w:r>
        <w:fldChar w:fldCharType="separate"/>
      </w:r>
      <w:r>
        <w:t>3</w:t>
      </w:r>
      <w:r>
        <w:fldChar w:fldCharType="end"/>
      </w:r>
      <w:r>
        <w:fldChar w:fldCharType="end"/>
      </w:r>
    </w:p>
    <w:p w14:paraId="7132B307">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"_Toc171610583" </w:instrText>
      </w:r>
      <w:r>
        <w:fldChar w:fldCharType="separate"/>
      </w:r>
      <w:r>
        <w:rPr>
          <w:rStyle w:val="11"/>
        </w:rPr>
        <w:t>（二）绩效评价的基本内容</w:t>
      </w:r>
      <w:r>
        <w:tab/>
      </w:r>
      <w:r>
        <w:fldChar w:fldCharType="begin"/>
      </w:r>
      <w:r>
        <w:instrText xml:space="preserve"> PAGEREF _Toc171610583 \h </w:instrText>
      </w:r>
      <w:r>
        <w:fldChar w:fldCharType="separate"/>
      </w:r>
      <w:r>
        <w:t>3</w:t>
      </w:r>
      <w:r>
        <w:fldChar w:fldCharType="end"/>
      </w:r>
      <w:r>
        <w:fldChar w:fldCharType="end"/>
      </w:r>
    </w:p>
    <w:p w14:paraId="32E515BE">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"_Toc171610584" </w:instrText>
      </w:r>
      <w:r>
        <w:fldChar w:fldCharType="separate"/>
      </w:r>
      <w:r>
        <w:rPr>
          <w:rStyle w:val="11"/>
        </w:rPr>
        <w:t>（三）绩效评价依据</w:t>
      </w:r>
      <w:r>
        <w:tab/>
      </w:r>
      <w:r>
        <w:fldChar w:fldCharType="begin"/>
      </w:r>
      <w:r>
        <w:instrText xml:space="preserve"> PAGEREF _Toc171610584 \h </w:instrText>
      </w:r>
      <w:r>
        <w:fldChar w:fldCharType="separate"/>
      </w:r>
      <w:r>
        <w:t>4</w:t>
      </w:r>
      <w:r>
        <w:fldChar w:fldCharType="end"/>
      </w:r>
      <w:r>
        <w:fldChar w:fldCharType="end"/>
      </w:r>
    </w:p>
    <w:p w14:paraId="44C92CF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"_Toc171610585" </w:instrText>
      </w:r>
      <w:r>
        <w:fldChar w:fldCharType="separate"/>
      </w:r>
      <w:r>
        <w:rPr>
          <w:rStyle w:val="11"/>
        </w:rPr>
        <w:t>（四）绩效评价原则和指标体系</w:t>
      </w:r>
      <w:r>
        <w:tab/>
      </w:r>
      <w:r>
        <w:fldChar w:fldCharType="begin"/>
      </w:r>
      <w:r>
        <w:instrText xml:space="preserve"> PAGEREF _Toc171610585 \h </w:instrText>
      </w:r>
      <w:r>
        <w:fldChar w:fldCharType="separate"/>
      </w:r>
      <w:r>
        <w:t>4</w:t>
      </w:r>
      <w:r>
        <w:fldChar w:fldCharType="end"/>
      </w:r>
      <w:r>
        <w:fldChar w:fldCharType="end"/>
      </w:r>
    </w:p>
    <w:p w14:paraId="43F9C2F9">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"_Toc171610586" </w:instrText>
      </w:r>
      <w:r>
        <w:fldChar w:fldCharType="separate"/>
      </w:r>
      <w:r>
        <w:rPr>
          <w:rStyle w:val="11"/>
        </w:rPr>
        <w:t>（五）绩效评价标准和评价方法</w:t>
      </w:r>
      <w:r>
        <w:tab/>
      </w:r>
      <w:r>
        <w:fldChar w:fldCharType="begin"/>
      </w:r>
      <w:r>
        <w:instrText xml:space="preserve"> PAGEREF _Toc171610586 \h </w:instrText>
      </w:r>
      <w:r>
        <w:fldChar w:fldCharType="separate"/>
      </w:r>
      <w:r>
        <w:t>7</w:t>
      </w:r>
      <w:r>
        <w:fldChar w:fldCharType="end"/>
      </w:r>
      <w:r>
        <w:fldChar w:fldCharType="end"/>
      </w:r>
    </w:p>
    <w:p w14:paraId="2AABAF00">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"_Toc171610587" </w:instrText>
      </w:r>
      <w:r>
        <w:fldChar w:fldCharType="separate"/>
      </w:r>
      <w:r>
        <w:rPr>
          <w:rStyle w:val="11"/>
        </w:rPr>
        <w:t>（六）绩效评价工作过程</w:t>
      </w:r>
      <w:r>
        <w:tab/>
      </w:r>
      <w:r>
        <w:fldChar w:fldCharType="begin"/>
      </w:r>
      <w:r>
        <w:instrText xml:space="preserve"> PAGEREF _Toc171610587 \h </w:instrText>
      </w:r>
      <w:r>
        <w:fldChar w:fldCharType="separate"/>
      </w:r>
      <w:r>
        <w:t>7</w:t>
      </w:r>
      <w:r>
        <w:fldChar w:fldCharType="end"/>
      </w:r>
      <w:r>
        <w:fldChar w:fldCharType="end"/>
      </w:r>
    </w:p>
    <w:p w14:paraId="59BB8EBB">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"_Toc171610588" </w:instrText>
      </w:r>
      <w:r>
        <w:fldChar w:fldCharType="separate"/>
      </w:r>
      <w:r>
        <w:rPr>
          <w:rStyle w:val="11"/>
        </w:rPr>
        <w:t>三、项目评价结论</w:t>
      </w:r>
      <w:r>
        <w:tab/>
      </w:r>
      <w:r>
        <w:fldChar w:fldCharType="begin"/>
      </w:r>
      <w:r>
        <w:instrText xml:space="preserve"> PAGEREF _Toc171610588 \h </w:instrText>
      </w:r>
      <w:r>
        <w:fldChar w:fldCharType="separate"/>
      </w:r>
      <w:r>
        <w:t>8</w:t>
      </w:r>
      <w:r>
        <w:fldChar w:fldCharType="end"/>
      </w:r>
      <w:r>
        <w:fldChar w:fldCharType="end"/>
      </w:r>
    </w:p>
    <w:p w14:paraId="0B05FCCD">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"_Toc171610589" </w:instrText>
      </w:r>
      <w:r>
        <w:fldChar w:fldCharType="separate"/>
      </w:r>
      <w:r>
        <w:rPr>
          <w:rStyle w:val="11"/>
        </w:rPr>
        <w:t>四、综合评价情况</w:t>
      </w:r>
      <w:r>
        <w:tab/>
      </w:r>
      <w:r>
        <w:fldChar w:fldCharType="begin"/>
      </w:r>
      <w:r>
        <w:instrText xml:space="preserve"> PAGEREF _Toc171610589 \h </w:instrText>
      </w:r>
      <w:r>
        <w:fldChar w:fldCharType="separate"/>
      </w:r>
      <w:r>
        <w:t>8</w:t>
      </w:r>
      <w:r>
        <w:fldChar w:fldCharType="end"/>
      </w:r>
      <w:r>
        <w:fldChar w:fldCharType="end"/>
      </w:r>
    </w:p>
    <w:p w14:paraId="0DD65A60">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"_Toc171610590" </w:instrText>
      </w:r>
      <w:r>
        <w:fldChar w:fldCharType="separate"/>
      </w:r>
      <w:r>
        <w:rPr>
          <w:rStyle w:val="11"/>
        </w:rPr>
        <w:t>（一）资金管理</w:t>
      </w:r>
      <w:r>
        <w:tab/>
      </w:r>
      <w:r>
        <w:fldChar w:fldCharType="begin"/>
      </w:r>
      <w:r>
        <w:instrText xml:space="preserve"> PAGEREF _Toc171610590 \h </w:instrText>
      </w:r>
      <w:r>
        <w:fldChar w:fldCharType="separate"/>
      </w:r>
      <w:r>
        <w:t>8</w:t>
      </w:r>
      <w:r>
        <w:fldChar w:fldCharType="end"/>
      </w:r>
      <w:r>
        <w:fldChar w:fldCharType="end"/>
      </w:r>
    </w:p>
    <w:p w14:paraId="6C98E7C3">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"_Toc171610591" </w:instrText>
      </w:r>
      <w:r>
        <w:fldChar w:fldCharType="separate"/>
      </w:r>
      <w:r>
        <w:rPr>
          <w:rStyle w:val="11"/>
        </w:rPr>
        <w:t>（二）项目管理</w:t>
      </w:r>
      <w:r>
        <w:tab/>
      </w:r>
      <w:r>
        <w:fldChar w:fldCharType="begin"/>
      </w:r>
      <w:r>
        <w:instrText xml:space="preserve"> PAGEREF _Toc171610591 \h </w:instrText>
      </w:r>
      <w:r>
        <w:fldChar w:fldCharType="separate"/>
      </w:r>
      <w:r>
        <w:t>8</w:t>
      </w:r>
      <w:r>
        <w:fldChar w:fldCharType="end"/>
      </w:r>
      <w:r>
        <w:fldChar w:fldCharType="end"/>
      </w:r>
    </w:p>
    <w:p w14:paraId="5E214E3F">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"_Toc171610592" </w:instrText>
      </w:r>
      <w:r>
        <w:fldChar w:fldCharType="separate"/>
      </w:r>
      <w:r>
        <w:rPr>
          <w:rStyle w:val="11"/>
        </w:rPr>
        <w:t>（三）使用成效及通报情况</w:t>
      </w:r>
      <w:r>
        <w:tab/>
      </w:r>
      <w:r>
        <w:fldChar w:fldCharType="begin"/>
      </w:r>
      <w:r>
        <w:instrText xml:space="preserve"> PAGEREF _Toc171610592 \h </w:instrText>
      </w:r>
      <w:r>
        <w:fldChar w:fldCharType="separate"/>
      </w:r>
      <w:r>
        <w:t>9</w:t>
      </w:r>
      <w:r>
        <w:fldChar w:fldCharType="end"/>
      </w:r>
      <w:r>
        <w:fldChar w:fldCharType="end"/>
      </w:r>
    </w:p>
    <w:p w14:paraId="363C39C1">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"_Toc171610593" </w:instrText>
      </w:r>
      <w:r>
        <w:fldChar w:fldCharType="separate"/>
      </w:r>
      <w:r>
        <w:rPr>
          <w:rStyle w:val="11"/>
        </w:rPr>
        <w:t>五、存在的问题和建议</w:t>
      </w:r>
      <w:r>
        <w:tab/>
      </w:r>
      <w:r>
        <w:fldChar w:fldCharType="begin"/>
      </w:r>
      <w:r>
        <w:instrText xml:space="preserve"> PAGEREF _Toc171610593 \h </w:instrText>
      </w:r>
      <w:r>
        <w:fldChar w:fldCharType="separate"/>
      </w:r>
      <w:r>
        <w:t>10</w:t>
      </w:r>
      <w:r>
        <w:fldChar w:fldCharType="end"/>
      </w:r>
      <w:r>
        <w:fldChar w:fldCharType="end"/>
      </w:r>
    </w:p>
    <w:p w14:paraId="24F83CDF">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"_Toc171610594" </w:instrText>
      </w:r>
      <w:r>
        <w:fldChar w:fldCharType="separate"/>
      </w:r>
      <w:r>
        <w:rPr>
          <w:rStyle w:val="11"/>
        </w:rPr>
        <w:t>（一）存在问题</w:t>
      </w:r>
      <w:r>
        <w:tab/>
      </w:r>
      <w:r>
        <w:fldChar w:fldCharType="begin"/>
      </w:r>
      <w:r>
        <w:instrText xml:space="preserve"> PAGEREF _Toc171610594 \h </w:instrText>
      </w:r>
      <w:r>
        <w:fldChar w:fldCharType="separate"/>
      </w:r>
      <w:r>
        <w:t>10</w:t>
      </w:r>
      <w:r>
        <w:fldChar w:fldCharType="end"/>
      </w:r>
      <w:r>
        <w:fldChar w:fldCharType="end"/>
      </w:r>
    </w:p>
    <w:p w14:paraId="7FEBC1F4">
      <w:pPr>
        <w:pStyle w:val="7"/>
        <w:rPr>
          <w:rFonts w:asciiTheme="minorHAnsi" w:hAnsiTheme="minorHAnsi" w:eastAsiaTheme="minorEastAsia" w:cstheme="minorBidi"/>
          <w:b w:val="0"/>
          <w:bCs w:val="0"/>
          <w:szCs w:val="22"/>
          <w14:ligatures w14:val="standardContextual"/>
        </w:rPr>
      </w:pPr>
      <w:r>
        <w:fldChar w:fldCharType="begin"/>
      </w:r>
      <w:r>
        <w:instrText xml:space="preserve"> HYPERLINK \l "_Toc171610595" </w:instrText>
      </w:r>
      <w:r>
        <w:fldChar w:fldCharType="separate"/>
      </w:r>
      <w:r>
        <w:rPr>
          <w:rStyle w:val="11"/>
        </w:rPr>
        <w:t>（二）建议</w:t>
      </w:r>
      <w:r>
        <w:tab/>
      </w:r>
      <w:r>
        <w:fldChar w:fldCharType="begin"/>
      </w:r>
      <w:r>
        <w:instrText xml:space="preserve"> PAGEREF _Toc171610595 \h </w:instrText>
      </w:r>
      <w:r>
        <w:fldChar w:fldCharType="separate"/>
      </w:r>
      <w:r>
        <w:t>10</w:t>
      </w:r>
      <w:r>
        <w:fldChar w:fldCharType="end"/>
      </w:r>
      <w:r>
        <w:fldChar w:fldCharType="end"/>
      </w:r>
    </w:p>
    <w:p w14:paraId="3FC85A9D">
      <w:pPr>
        <w:pStyle w:val="13"/>
        <w:spacing w:line="460" w:lineRule="exact"/>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1BA84F55">
      <w:pPr>
        <w:spacing w:line="360" w:lineRule="auto"/>
        <w:jc w:val="right"/>
        <w:rPr>
          <w:rFonts w:ascii="Arial Narrow" w:hAnsi="Arial Narrow" w:eastAsiaTheme="minorEastAsia"/>
          <w:bCs/>
          <w:w w:val="80"/>
          <w:sz w:val="28"/>
          <w:szCs w:val="28"/>
        </w:rPr>
      </w:pPr>
    </w:p>
    <w:p w14:paraId="70D50C21">
      <w:pPr>
        <w:spacing w:line="360" w:lineRule="auto"/>
        <w:jc w:val="right"/>
        <w:rPr>
          <w:rFonts w:ascii="Arial Narrow" w:hAnsi="Arial Narrow" w:eastAsiaTheme="minorEastAsia"/>
          <w:bCs/>
          <w:w w:val="80"/>
          <w:sz w:val="28"/>
          <w:szCs w:val="28"/>
        </w:rPr>
      </w:pPr>
    </w:p>
    <w:p w14:paraId="65F0AD09">
      <w:pPr>
        <w:widowControl/>
        <w:jc w:val="distribute"/>
        <w:rPr>
          <w:rFonts w:ascii="Arial Narrow" w:hAnsi="Arial Narrow" w:cs="楷体" w:eastAsiaTheme="minorEastAsia"/>
          <w:bCs/>
          <w:kern w:val="0"/>
          <w:sz w:val="28"/>
          <w:szCs w:val="28"/>
        </w:rPr>
      </w:pPr>
      <w:r>
        <w:rPr>
          <w:rFonts w:ascii="Arial Narrow" w:hAnsi="Arial Narrow" w:cs="楷体" w:eastAsiaTheme="minorEastAsia"/>
          <w:b/>
          <w:kern w:val="0"/>
          <w:sz w:val="72"/>
          <w:szCs w:val="72"/>
        </w:rPr>
        <w:t>重庆铭鸿金全会计师事务所</w:t>
      </w:r>
    </w:p>
    <w:p w14:paraId="5E98A5D0">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 xml:space="preserve">Chongqing </w:t>
      </w:r>
      <w:r>
        <w:rPr>
          <w:rFonts w:ascii="Arial Narrow" w:hAnsi="Arial Narrow" w:eastAsiaTheme="minorEastAsia"/>
          <w:b/>
          <w:kern w:val="0"/>
          <w:sz w:val="32"/>
          <w:szCs w:val="20"/>
        </w:rPr>
        <w:t>MingHong</w:t>
      </w:r>
      <w:r>
        <w:rPr>
          <w:rFonts w:ascii="Arial Narrow" w:hAnsi="Arial Narrow" w:eastAsiaTheme="minorEastAsia"/>
          <w:b/>
          <w:kern w:val="0"/>
          <w:sz w:val="32"/>
          <w:szCs w:val="20"/>
          <w:lang w:eastAsia="zh-TW"/>
        </w:rPr>
        <w:t xml:space="preserve"> </w:t>
      </w:r>
      <w:r>
        <w:rPr>
          <w:rFonts w:ascii="Arial Narrow" w:hAnsi="Arial Narrow" w:eastAsiaTheme="minorEastAsia"/>
          <w:b/>
          <w:kern w:val="0"/>
          <w:sz w:val="32"/>
          <w:szCs w:val="20"/>
        </w:rPr>
        <w:t>JinQuan</w:t>
      </w:r>
      <w:r>
        <w:rPr>
          <w:rFonts w:ascii="Arial Narrow" w:hAnsi="Arial Narrow" w:eastAsiaTheme="minorEastAsia"/>
          <w:b/>
          <w:kern w:val="0"/>
          <w:sz w:val="32"/>
          <w:szCs w:val="20"/>
          <w:lang w:eastAsia="zh-TW"/>
        </w:rPr>
        <w:t xml:space="preserve"> Certified Public Accountants</w:t>
      </w:r>
    </w:p>
    <w:p w14:paraId="6E16803A">
      <w:pPr>
        <w:spacing w:line="360" w:lineRule="auto"/>
        <w:jc w:val="center"/>
        <w:rPr>
          <w:rFonts w:ascii="Arial Narrow" w:hAnsi="Arial Narrow" w:eastAsiaTheme="minorEastAsia"/>
          <w:sz w:val="28"/>
          <w:szCs w:val="28"/>
        </w:rPr>
      </w:pPr>
      <w:r>
        <w:rPr>
          <w:rFonts w:ascii="Arial Narrow" w:hAnsi="Arial Narrow" w:eastAsiaTheme="minorEastAsia"/>
          <w:kern w:val="0"/>
          <w:sz w:val="28"/>
          <w:szCs w:val="28"/>
        </w:rPr>
        <w:t>铭</w:t>
      </w:r>
      <w:r>
        <w:rPr>
          <w:rFonts w:ascii="Arial Narrow" w:hAnsi="Arial Narrow" w:eastAsiaTheme="minorEastAsia"/>
          <w:sz w:val="28"/>
          <w:szCs w:val="28"/>
        </w:rPr>
        <w:t>鸿咨字〔2024〕第0</w:t>
      </w:r>
      <w:r>
        <w:rPr>
          <w:rFonts w:hint="eastAsia" w:ascii="Arial Narrow" w:hAnsi="Arial Narrow" w:eastAsiaTheme="minorEastAsia"/>
          <w:sz w:val="28"/>
          <w:szCs w:val="28"/>
          <w:lang w:val="en-US" w:eastAsia="zh-CN"/>
        </w:rPr>
        <w:t>33</w:t>
      </w:r>
      <w:r>
        <w:rPr>
          <w:rFonts w:ascii="Arial Narrow" w:hAnsi="Arial Narrow" w:eastAsiaTheme="minorEastAsia"/>
          <w:sz w:val="28"/>
          <w:szCs w:val="28"/>
        </w:rPr>
        <w:t>号</w:t>
      </w:r>
    </w:p>
    <w:p w14:paraId="6E818177">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1722C48D">
      <w:pPr>
        <w:adjustRightInd w:val="0"/>
        <w:snapToGrid w:val="0"/>
        <w:spacing w:line="360" w:lineRule="auto"/>
        <w:jc w:val="center"/>
        <w:rPr>
          <w:rFonts w:ascii="Arial Narrow" w:hAnsi="Arial Narrow" w:eastAsiaTheme="minorEastAsia"/>
          <w:b/>
          <w:sz w:val="36"/>
          <w:szCs w:val="36"/>
        </w:rPr>
      </w:pPr>
      <w:r>
        <w:rPr>
          <w:rStyle w:val="11"/>
          <w:rFonts w:ascii="Arial Narrow" w:hAnsi="Arial Narrow" w:eastAsiaTheme="minorEastAsia"/>
          <w:b/>
          <w:color w:val="auto"/>
          <w:sz w:val="36"/>
          <w:szCs w:val="36"/>
          <w:u w:val="none"/>
        </w:rPr>
        <w:t>重庆市铜梁区乡村振兴局</w:t>
      </w:r>
      <w:r>
        <w:rPr>
          <w:rStyle w:val="11"/>
          <w:rFonts w:hint="eastAsia" w:ascii="仿宋" w:hAnsi="仿宋" w:eastAsia="仿宋" w:cs="仿宋"/>
          <w:b/>
          <w:color w:val="auto"/>
          <w:sz w:val="36"/>
          <w:szCs w:val="36"/>
          <w:u w:val="none"/>
        </w:rPr>
        <w:t>“</w:t>
      </w:r>
      <w:bookmarkStart w:id="3" w:name="_Hlk170222440"/>
      <w:r>
        <w:rPr>
          <w:rStyle w:val="11"/>
          <w:rFonts w:ascii="Arial Narrow" w:hAnsi="Arial Narrow" w:eastAsiaTheme="minorEastAsia"/>
          <w:b/>
          <w:color w:val="auto"/>
          <w:sz w:val="36"/>
          <w:szCs w:val="36"/>
          <w:u w:val="none"/>
        </w:rPr>
        <w:t>渝快助农贷</w:t>
      </w:r>
      <w:r>
        <w:rPr>
          <w:rStyle w:val="11"/>
          <w:rFonts w:hint="eastAsia" w:ascii="仿宋" w:hAnsi="仿宋" w:eastAsia="仿宋" w:cs="仿宋"/>
          <w:b/>
          <w:color w:val="auto"/>
          <w:sz w:val="36"/>
          <w:szCs w:val="36"/>
          <w:u w:val="none"/>
        </w:rPr>
        <w:t>”</w:t>
      </w:r>
      <w:r>
        <w:rPr>
          <w:rStyle w:val="11"/>
          <w:rFonts w:ascii="Arial Narrow" w:hAnsi="Arial Narrow" w:eastAsiaTheme="minorEastAsia"/>
          <w:b/>
          <w:color w:val="auto"/>
          <w:sz w:val="36"/>
          <w:szCs w:val="36"/>
          <w:u w:val="none"/>
        </w:rPr>
        <w:t>风险补偿金</w:t>
      </w:r>
      <w:bookmarkEnd w:id="3"/>
      <w:r>
        <w:rPr>
          <w:rStyle w:val="11"/>
          <w:rFonts w:ascii="Arial Narrow" w:hAnsi="Arial Narrow" w:eastAsiaTheme="minorEastAsia"/>
          <w:b/>
          <w:color w:val="auto"/>
          <w:sz w:val="36"/>
          <w:szCs w:val="36"/>
          <w:u w:val="none"/>
        </w:rPr>
        <w:t>等7个项目</w:t>
      </w:r>
      <w:r>
        <w:rPr>
          <w:rFonts w:ascii="Arial Narrow" w:hAnsi="Arial Narrow" w:eastAsiaTheme="minorEastAsia"/>
          <w:b/>
          <w:sz w:val="36"/>
          <w:szCs w:val="36"/>
        </w:rPr>
        <w:t>绩效评价报告</w:t>
      </w:r>
    </w:p>
    <w:p w14:paraId="1F6DA954">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为深入贯彻落实党的十九大</w:t>
      </w:r>
      <w:r>
        <w:rPr>
          <w:rFonts w:hint="eastAsia" w:ascii="仿宋" w:hAnsi="仿宋" w:eastAsia="仿宋" w:cs="仿宋"/>
          <w:color w:val="auto"/>
        </w:rPr>
        <w:t>“</w:t>
      </w:r>
      <w:r>
        <w:rPr>
          <w:rFonts w:ascii="Arial Narrow" w:hAnsi="Arial Narrow" w:eastAsiaTheme="minorEastAsia"/>
          <w:color w:val="auto"/>
        </w:rPr>
        <w:t>全面实施绩效管理</w:t>
      </w:r>
      <w:r>
        <w:rPr>
          <w:rFonts w:hint="eastAsia" w:ascii="仿宋" w:hAnsi="仿宋" w:eastAsia="仿宋" w:cs="仿宋"/>
          <w:color w:val="auto"/>
        </w:rPr>
        <w:t>”</w:t>
      </w:r>
      <w:r>
        <w:rPr>
          <w:rFonts w:ascii="Arial Narrow" w:hAnsi="Arial Narrow" w:eastAsiaTheme="minorEastAsia"/>
          <w:color w:val="auto"/>
        </w:rPr>
        <w:t>决策部署，进一步提高政府投入资金的使用效益，促进公共服务资源的优化配置，根据《中华人民共和国预算法》、《项目支出绩效评价管理办法》（财预〔2020〕10号）《重庆市市级政策和项目预算绩效管理办法（试行）》（渝财绩〔2019〕19号），受重庆市铜梁区财政局（以下简称</w:t>
      </w:r>
      <w:r>
        <w:rPr>
          <w:rFonts w:hint="eastAsia" w:ascii="仿宋" w:hAnsi="仿宋" w:eastAsia="仿宋" w:cs="仿宋"/>
          <w:color w:val="auto"/>
        </w:rPr>
        <w:t>“</w:t>
      </w:r>
      <w:r>
        <w:rPr>
          <w:rFonts w:ascii="Arial Narrow" w:hAnsi="Arial Narrow" w:eastAsiaTheme="minorEastAsia"/>
          <w:color w:val="auto"/>
        </w:rPr>
        <w:t>财政局</w:t>
      </w:r>
      <w:r>
        <w:rPr>
          <w:rFonts w:hint="eastAsia" w:ascii="仿宋" w:hAnsi="仿宋" w:eastAsia="仿宋" w:cs="仿宋"/>
          <w:color w:val="auto"/>
        </w:rPr>
        <w:t>”</w:t>
      </w:r>
      <w:r>
        <w:rPr>
          <w:rFonts w:ascii="Arial Narrow" w:hAnsi="Arial Narrow" w:eastAsiaTheme="minorEastAsia"/>
          <w:color w:val="auto"/>
        </w:rPr>
        <w:t>）的委托，我们对重庆市铜梁区乡村振兴局（以下简称</w:t>
      </w:r>
      <w:r>
        <w:rPr>
          <w:rFonts w:hint="eastAsia" w:ascii="仿宋" w:hAnsi="仿宋" w:eastAsia="仿宋" w:cs="仿宋"/>
          <w:color w:val="auto"/>
        </w:rPr>
        <w:t>“</w:t>
      </w:r>
      <w:r>
        <w:rPr>
          <w:rFonts w:ascii="Arial Narrow" w:hAnsi="Arial Narrow" w:eastAsiaTheme="minorEastAsia"/>
          <w:color w:val="auto"/>
        </w:rPr>
        <w:t>振兴局</w:t>
      </w:r>
      <w:r>
        <w:rPr>
          <w:rFonts w:hint="eastAsia" w:ascii="仿宋" w:hAnsi="仿宋" w:eastAsia="仿宋" w:cs="仿宋"/>
          <w:color w:val="auto"/>
        </w:rPr>
        <w:t>”</w:t>
      </w:r>
      <w:r>
        <w:rPr>
          <w:rFonts w:ascii="Arial Narrow" w:hAnsi="Arial Narrow" w:eastAsiaTheme="minorEastAsia"/>
          <w:color w:val="auto"/>
        </w:rPr>
        <w:t>）</w:t>
      </w:r>
      <w:r>
        <w:rPr>
          <w:rFonts w:hint="eastAsia" w:ascii="仿宋" w:hAnsi="仿宋" w:eastAsia="仿宋" w:cs="仿宋"/>
          <w:color w:val="auto"/>
        </w:rPr>
        <w:t>“</w:t>
      </w:r>
      <w:r>
        <w:rPr>
          <w:rFonts w:ascii="Arial Narrow" w:hAnsi="Arial Narrow" w:eastAsiaTheme="minorEastAsia"/>
          <w:color w:val="auto"/>
        </w:rPr>
        <w:t>渝快助农贷</w:t>
      </w:r>
      <w:r>
        <w:rPr>
          <w:rFonts w:hint="eastAsia" w:ascii="仿宋" w:hAnsi="仿宋" w:eastAsia="仿宋" w:cs="仿宋"/>
          <w:color w:val="auto"/>
        </w:rPr>
        <w:t>”</w:t>
      </w:r>
      <w:r>
        <w:rPr>
          <w:rFonts w:ascii="Arial Narrow" w:hAnsi="Arial Narrow" w:eastAsiaTheme="minorEastAsia"/>
          <w:color w:val="auto"/>
        </w:rPr>
        <w:t>风险补偿金、</w:t>
      </w:r>
      <w:r>
        <w:rPr>
          <w:rFonts w:ascii="Arial Narrow" w:hAnsi="Arial Narrow" w:eastAsiaTheme="minorEastAsia"/>
        </w:rPr>
        <w:t>2023年就业帮扶车间建设补助项目</w:t>
      </w:r>
      <w:r>
        <w:rPr>
          <w:rFonts w:ascii="Arial Narrow" w:hAnsi="Arial Narrow" w:eastAsiaTheme="minorEastAsia"/>
          <w:color w:val="auto"/>
        </w:rPr>
        <w:t>等7个项目进行绩效评价，现将评价情况报告如下：</w:t>
      </w:r>
    </w:p>
    <w:p w14:paraId="47C63379">
      <w:pPr>
        <w:spacing w:before="240" w:beforeLines="100" w:line="360" w:lineRule="auto"/>
        <w:ind w:firstLine="482" w:firstLineChars="200"/>
        <w:jc w:val="left"/>
        <w:outlineLvl w:val="0"/>
        <w:rPr>
          <w:rFonts w:ascii="Arial Narrow" w:hAnsi="Arial Narrow" w:eastAsiaTheme="minorEastAsia"/>
          <w:b/>
          <w:sz w:val="24"/>
        </w:rPr>
      </w:pPr>
      <w:bookmarkStart w:id="4" w:name="_Toc171610579"/>
      <w:r>
        <w:rPr>
          <w:rFonts w:ascii="Arial Narrow" w:hAnsi="Arial Narrow" w:eastAsiaTheme="minorEastAsia"/>
          <w:b/>
          <w:sz w:val="24"/>
        </w:rPr>
        <w:t>一、基本情况</w:t>
      </w:r>
      <w:bookmarkEnd w:id="4"/>
    </w:p>
    <w:p w14:paraId="4F96593C">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5" w:name="_Toc171585660"/>
      <w:bookmarkStart w:id="6" w:name="_Toc171610580"/>
      <w:bookmarkStart w:id="7" w:name="_Toc170387398"/>
      <w:bookmarkStart w:id="8" w:name="_Toc170311265"/>
      <w:r>
        <w:rPr>
          <w:rFonts w:ascii="Arial Narrow" w:hAnsi="Arial Narrow" w:cs="宋体" w:eastAsiaTheme="minorEastAsia"/>
          <w:b/>
          <w:bCs/>
          <w:kern w:val="0"/>
          <w:sz w:val="24"/>
        </w:rPr>
        <w:t>（一）</w:t>
      </w:r>
      <w:r>
        <w:rPr>
          <w:rFonts w:ascii="Arial Narrow" w:hAnsi="Arial Narrow" w:cs="宋体" w:eastAsiaTheme="minorEastAsia"/>
          <w:kern w:val="0"/>
          <w:sz w:val="24"/>
        </w:rPr>
        <w:t>项目情况</w:t>
      </w:r>
      <w:bookmarkEnd w:id="5"/>
      <w:bookmarkEnd w:id="6"/>
      <w:bookmarkEnd w:id="7"/>
      <w:bookmarkEnd w:id="8"/>
    </w:p>
    <w:p w14:paraId="7E5C088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1.“渝快助农贷”风险补偿金项目</w:t>
      </w:r>
    </w:p>
    <w:p w14:paraId="49E925BF">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实施单位：重庆市铜梁区乡村振兴局</w:t>
      </w:r>
    </w:p>
    <w:p w14:paraId="5727CE43">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项目内容：“渝快助农贷”采取政府增信方式，由区乡村振兴局与重庆农村商业银行铜梁支行签订《渝快助农贷协议》，设立“渝快助农贷”风险补偿金200万元并存入重庆农村商业银行铜梁支行专户</w:t>
      </w:r>
      <w:r>
        <w:rPr>
          <w:rFonts w:ascii="Arial Narrow" w:hAnsi="Arial Narrow" w:eastAsiaTheme="minorEastAsia"/>
          <w:sz w:val="24"/>
        </w:rPr>
        <w:t>（</w:t>
      </w:r>
      <w:r>
        <w:rPr>
          <w:rFonts w:ascii="Arial Narrow" w:hAnsi="Arial Narrow" w:cs="宋体" w:eastAsiaTheme="minorEastAsia"/>
          <w:kern w:val="0"/>
          <w:sz w:val="24"/>
        </w:rPr>
        <w:t>所需资金在2023年财政专项衔接资金中解决</w:t>
      </w:r>
      <w:r>
        <w:rPr>
          <w:rFonts w:ascii="Arial Narrow" w:hAnsi="Arial Narrow" w:eastAsiaTheme="minorEastAsia"/>
          <w:sz w:val="24"/>
        </w:rPr>
        <w:t>）</w:t>
      </w:r>
      <w:r>
        <w:rPr>
          <w:rFonts w:ascii="Arial Narrow" w:hAnsi="Arial Narrow" w:cs="宋体" w:eastAsiaTheme="minorEastAsia"/>
          <w:kern w:val="0"/>
          <w:sz w:val="24"/>
        </w:rPr>
        <w:t>。重庆农村商业银行铜梁支行按照风险补偿金与贷款余额1：10的比例发放贷款。</w:t>
      </w:r>
    </w:p>
    <w:p w14:paraId="19B8361C">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项目资金安排情况：该项目2023年计划投入200万元，实际投入200万元，均为上级补助资金。</w:t>
      </w:r>
    </w:p>
    <w:p w14:paraId="5EC749F1">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2.2023年就业帮扶车间建设补助项目</w:t>
      </w:r>
    </w:p>
    <w:p w14:paraId="569DE15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实施单位：重庆市铜梁区乡村振兴局</w:t>
      </w:r>
    </w:p>
    <w:p w14:paraId="59542B92">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项目内容：为持续巩固脱贫攻坚成果，帮助困难群众就业增收。根据市人力社保局市乡村振兴局市</w:t>
      </w:r>
      <w:bookmarkStart w:id="33" w:name="_GoBack"/>
      <w:bookmarkEnd w:id="33"/>
      <w:r>
        <w:rPr>
          <w:rFonts w:ascii="Arial Narrow" w:hAnsi="Arial Narrow" w:cs="宋体" w:eastAsiaTheme="minorEastAsia"/>
          <w:kern w:val="0"/>
          <w:sz w:val="24"/>
        </w:rPr>
        <w:t>财政局关于印发《关于做好就业帮扶车间建设相关工作的通知》</w:t>
      </w:r>
      <w:r>
        <w:rPr>
          <w:rFonts w:ascii="Arial Narrow" w:hAnsi="Arial Narrow" w:eastAsiaTheme="minorEastAsia"/>
          <w:sz w:val="24"/>
        </w:rPr>
        <w:t>（</w:t>
      </w:r>
      <w:r>
        <w:rPr>
          <w:rFonts w:ascii="Arial Narrow" w:hAnsi="Arial Narrow" w:cs="宋体" w:eastAsiaTheme="minorEastAsia"/>
          <w:kern w:val="0"/>
          <w:sz w:val="24"/>
        </w:rPr>
        <w:t>渝人社发〔2022</w:t>
      </w:r>
      <w:r>
        <w:rPr>
          <w:rFonts w:ascii="Arial Narrow" w:hAnsi="Arial Narrow" w:eastAsiaTheme="minorEastAsia"/>
          <w:sz w:val="24"/>
        </w:rPr>
        <w:t>〕</w:t>
      </w:r>
      <w:r>
        <w:rPr>
          <w:rFonts w:ascii="Arial Narrow" w:hAnsi="Arial Narrow" w:cs="宋体" w:eastAsiaTheme="minorEastAsia"/>
          <w:kern w:val="0"/>
          <w:sz w:val="24"/>
        </w:rPr>
        <w:t>21号</w:t>
      </w:r>
      <w:r>
        <w:rPr>
          <w:rFonts w:ascii="Arial Narrow" w:hAnsi="Arial Narrow" w:eastAsiaTheme="minorEastAsia"/>
          <w:sz w:val="24"/>
        </w:rPr>
        <w:t>）</w:t>
      </w:r>
      <w:r>
        <w:rPr>
          <w:rFonts w:ascii="Arial Narrow" w:hAnsi="Arial Narrow" w:cs="宋体" w:eastAsiaTheme="minorEastAsia"/>
          <w:kern w:val="0"/>
          <w:sz w:val="24"/>
        </w:rPr>
        <w:t>要求，按照企业自愿申报原则，在镇</w:t>
      </w:r>
      <w:r>
        <w:rPr>
          <w:rFonts w:ascii="Arial Narrow" w:hAnsi="Arial Narrow" w:eastAsiaTheme="minorEastAsia"/>
          <w:sz w:val="24"/>
        </w:rPr>
        <w:t>（</w:t>
      </w:r>
      <w:r>
        <w:rPr>
          <w:rFonts w:ascii="Arial Narrow" w:hAnsi="Arial Narrow" w:cs="宋体" w:eastAsiaTheme="minorEastAsia"/>
          <w:kern w:val="0"/>
          <w:sz w:val="24"/>
        </w:rPr>
        <w:t>街道</w:t>
      </w:r>
      <w:r>
        <w:rPr>
          <w:rFonts w:ascii="Arial Narrow" w:hAnsi="Arial Narrow" w:eastAsiaTheme="minorEastAsia"/>
          <w:sz w:val="24"/>
        </w:rPr>
        <w:t>）</w:t>
      </w:r>
      <w:r>
        <w:rPr>
          <w:rFonts w:ascii="Arial Narrow" w:hAnsi="Arial Narrow" w:cs="宋体" w:eastAsiaTheme="minorEastAsia"/>
          <w:kern w:val="0"/>
          <w:sz w:val="24"/>
        </w:rPr>
        <w:t>推荐的基础上，经区乡村振兴局、区人力社保局对申报资料审核和实地调查核实后，认定重庆钰锦机械有限责任公司为帮扶对象。</w:t>
      </w:r>
    </w:p>
    <w:p w14:paraId="35A70209">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项目资金安排情况：该项目2023年计划投入20万元，调减项目资金15万元，调减后项目实际投入资金为5万元，均为上级补助资金。</w:t>
      </w:r>
    </w:p>
    <w:p w14:paraId="710A7435">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3.2023年就业技能培训补助项目</w:t>
      </w:r>
    </w:p>
    <w:p w14:paraId="2185C9F5">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实施单位：重庆市铜梁区乡村振兴局</w:t>
      </w:r>
    </w:p>
    <w:p w14:paraId="70465275">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项目内容：安排就业技能培训补助资金6.716万元，按照每人每天40元的标准对参加技能培训的脱贫户、监测户进行误工补助</w:t>
      </w:r>
      <w:r>
        <w:rPr>
          <w:rFonts w:ascii="Arial Narrow" w:hAnsi="Arial Narrow" w:eastAsiaTheme="minorEastAsia"/>
          <w:sz w:val="24"/>
        </w:rPr>
        <w:t>（</w:t>
      </w:r>
      <w:r>
        <w:rPr>
          <w:rFonts w:ascii="Arial Narrow" w:hAnsi="Arial Narrow" w:cs="宋体" w:eastAsiaTheme="minorEastAsia"/>
          <w:kern w:val="0"/>
          <w:sz w:val="24"/>
        </w:rPr>
        <w:t>按实际考勤结算</w:t>
      </w:r>
      <w:r>
        <w:rPr>
          <w:rFonts w:ascii="Arial Narrow" w:hAnsi="Arial Narrow" w:eastAsiaTheme="minorEastAsia"/>
          <w:sz w:val="24"/>
        </w:rPr>
        <w:t>）</w:t>
      </w:r>
      <w:r>
        <w:rPr>
          <w:rFonts w:ascii="Arial Narrow" w:hAnsi="Arial Narrow" w:cs="宋体" w:eastAsiaTheme="minorEastAsia"/>
          <w:kern w:val="0"/>
          <w:sz w:val="24"/>
        </w:rPr>
        <w:t>。由区乡村振兴局组织实施。</w:t>
      </w:r>
    </w:p>
    <w:p w14:paraId="5A678088">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项目资金安排情况：该项目2023年计划投入10万元，调减项目资金3.284万元，调减后项目实际投入资金为6.716万元，均为上级补助资金。</w:t>
      </w:r>
    </w:p>
    <w:p w14:paraId="600B75F3">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4.精准脱贫保风险调节金项目</w:t>
      </w:r>
    </w:p>
    <w:p w14:paraId="4AF17562">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实施单位：重庆市铜梁区乡村振兴局</w:t>
      </w:r>
    </w:p>
    <w:p w14:paraId="707B95B8">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参保对象为在重庆市铜梁区扶贫开发信息系统内所有建档立卡贫困人员（含已脱贫人口，扣除标注为稳定脱贫对象）；参保费用100元/人/年；参保时间2019年1月31日-2021年12月31日。根据重庆市乡村振兴局《关于做好2019年-2020年度“精准脱贫保”及2021年度“巩固脱贫保”风险调节工作的通知》要求，拟安排精准脱贫风险调节金185.79万元，用于2019年-2020年度“精准脱贫保”及2021年度“巩固脱贫保”风险调节工作，由区乡村振兴局组织实施。</w:t>
      </w:r>
    </w:p>
    <w:p w14:paraId="4B1EFF6F">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项目资金安排情况：该项目2023年计划投入185.79万元，实际投入185.79万元，均为上级补助资金。</w:t>
      </w:r>
    </w:p>
    <w:p w14:paraId="5BE30AD1">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5.“渝快保”补助资金项目</w:t>
      </w:r>
    </w:p>
    <w:p w14:paraId="08AA537A">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实施单位：重庆市铜梁区乡村振兴局</w:t>
      </w:r>
    </w:p>
    <w:p w14:paraId="6367C119">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参保对象：对参加重庆市基本医疗保险（包含城镇职工基本医疗保险、城乡居民基本医疗保险）的脱贫人口和监测对象（含已消除风险）参加“重庆渝快保”；参保期：2022年12月20日-2023年1月31日；保障期：2023年1月31日-2023年12月31日；补贴标准：脱贫人口购买“渝快保”普惠款（69元/人）和升级款（169元/人）均按照50元/人标准给予定额补助；监测对象购买升级款（169元/人）的按照150元/人标准给予定额补助，购买普惠款（69元/人）的按照69元/人标准给予全额补助。由区乡村振兴局组织实施。</w:t>
      </w:r>
    </w:p>
    <w:p w14:paraId="587F41DC">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项目资金安排情况：该项目2023年计划投入75万元，调减项目资金6.0965万元，调减后项目实际投入68.9035万元，均为上级补助资金。</w:t>
      </w:r>
    </w:p>
    <w:p w14:paraId="03514A7D">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6.2023年乡村振兴干部培训项目</w:t>
      </w:r>
    </w:p>
    <w:p w14:paraId="5E918628">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实施单位：重庆市铜梁区乡村振兴局</w:t>
      </w:r>
    </w:p>
    <w:p w14:paraId="433DD35B">
      <w:pPr>
        <w:spacing w:line="360" w:lineRule="auto"/>
        <w:ind w:firstLine="480" w:firstLineChars="200"/>
        <w:rPr>
          <w:rFonts w:ascii="Arial Narrow" w:hAnsi="Arial Narrow" w:cs="宋体" w:eastAsiaTheme="minorEastAsia"/>
          <w:kern w:val="0"/>
          <w:sz w:val="24"/>
          <w:highlight w:val="yellow"/>
        </w:rPr>
      </w:pPr>
      <w:r>
        <w:rPr>
          <w:rFonts w:ascii="Arial Narrow" w:hAnsi="Arial Narrow" w:cs="宋体" w:eastAsiaTheme="minorEastAsia"/>
          <w:kern w:val="0"/>
          <w:sz w:val="24"/>
        </w:rPr>
        <w:t>项目内容：根据局机关培训体系的要求，在西南大学、重庆文理学院、长江师范学院、重庆开放大学、石柱县委党校、巫山县委党校、巫溪县委党校、九龙坡英雄湾乡村振兴学院等学校举办：“2023年培训村（社区）党组织书记59期（2022年受疫情影响未举办的33期）”，共计5850人；从2023年2月19日至2023年11月24日，每期培训时间7天，培训人数100人；全市有乡村振兴工作任务的村（社区）党组织书记参加，其中，2021年6月换届以来，已经参加市级乡村振兴专题培训的村（社区）党组织书记不再重复培训；培训费用在2022年12月由市乡村振兴局在第二批市级衔接资金安排下达有关区县，其使用按照《重庆市级机关培训费管理办法的通知》（渝财行〔2017〕49号）文件执行，根据参训情况据实结算。由区乡村振兴局组织实施。</w:t>
      </w:r>
    </w:p>
    <w:p w14:paraId="3E7E5CAE">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项目资金安排情况：该项目2023年计划投入60万元，调减项目资金0.4592万元，调减后项目实际投入59.5408万元，均为上级补助资金。</w:t>
      </w:r>
    </w:p>
    <w:p w14:paraId="057ED3F6">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7.2023年雨露计划项目</w:t>
      </w:r>
    </w:p>
    <w:p w14:paraId="35A24E15">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实施单位：重庆市铜梁区乡村振兴局</w:t>
      </w:r>
    </w:p>
    <w:p w14:paraId="50288288">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内容：2023年脱贫家庭（含监测帮扶对象家庭）中接受中、高等职业教育的学生，并在教育部、人力资源社会保障部的中、高等职业教育学籍管理系统注册正式学籍，可享受每生每学期1500元的雨露计划职业教育补助。由区乡村振兴局组织实施。</w:t>
      </w:r>
    </w:p>
    <w:p w14:paraId="1E7346C9">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项目资金安排情况：该项目计划投入157.95万元（具体金额以实际实施为准），实际投入157.95万元，均为上级补助资金。</w:t>
      </w:r>
    </w:p>
    <w:p w14:paraId="50F6E20D">
      <w:pPr>
        <w:spacing w:line="360" w:lineRule="auto"/>
        <w:ind w:firstLine="482" w:firstLineChars="200"/>
        <w:jc w:val="left"/>
        <w:outlineLvl w:val="0"/>
        <w:rPr>
          <w:rFonts w:ascii="Arial Narrow" w:hAnsi="Arial Narrow" w:eastAsiaTheme="minorEastAsia"/>
          <w:b/>
          <w:sz w:val="24"/>
        </w:rPr>
      </w:pPr>
      <w:bookmarkStart w:id="9" w:name="_Toc171610581"/>
      <w:r>
        <w:rPr>
          <w:rFonts w:ascii="Arial Narrow" w:hAnsi="Arial Narrow" w:eastAsiaTheme="minorEastAsia"/>
          <w:b/>
          <w:sz w:val="24"/>
        </w:rPr>
        <w:t>二、绩效评价工作情况</w:t>
      </w:r>
      <w:bookmarkEnd w:id="9"/>
    </w:p>
    <w:p w14:paraId="45CC5729">
      <w:pPr>
        <w:spacing w:line="360" w:lineRule="auto"/>
        <w:ind w:firstLine="482" w:firstLineChars="200"/>
        <w:jc w:val="left"/>
        <w:outlineLvl w:val="0"/>
        <w:rPr>
          <w:rFonts w:ascii="Arial Narrow" w:hAnsi="Arial Narrow" w:eastAsiaTheme="minorEastAsia"/>
          <w:b/>
          <w:sz w:val="24"/>
        </w:rPr>
      </w:pPr>
      <w:bookmarkStart w:id="10" w:name="_Toc513775099"/>
      <w:bookmarkStart w:id="11" w:name="_Toc171610582"/>
      <w:r>
        <w:rPr>
          <w:rFonts w:ascii="Arial Narrow" w:hAnsi="Arial Narrow" w:eastAsiaTheme="minorEastAsia"/>
          <w:b/>
          <w:sz w:val="24"/>
        </w:rPr>
        <w:t>（一）绩效评价目的</w:t>
      </w:r>
      <w:bookmarkEnd w:id="10"/>
      <w:bookmarkEnd w:id="11"/>
    </w:p>
    <w:p w14:paraId="27A884E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50283FBA">
      <w:pPr>
        <w:spacing w:line="360" w:lineRule="auto"/>
        <w:ind w:firstLine="482" w:firstLineChars="200"/>
        <w:jc w:val="left"/>
        <w:outlineLvl w:val="0"/>
        <w:rPr>
          <w:rFonts w:ascii="Arial Narrow" w:hAnsi="Arial Narrow" w:eastAsiaTheme="minorEastAsia"/>
          <w:b/>
          <w:sz w:val="24"/>
        </w:rPr>
      </w:pPr>
      <w:bookmarkStart w:id="12" w:name="_Toc171610583"/>
      <w:bookmarkStart w:id="13" w:name="_Toc513775100"/>
      <w:r>
        <w:rPr>
          <w:rFonts w:ascii="Arial Narrow" w:hAnsi="Arial Narrow" w:eastAsiaTheme="minorEastAsia"/>
          <w:b/>
          <w:sz w:val="24"/>
        </w:rPr>
        <w:t>（二）绩效评价的基本内容</w:t>
      </w:r>
      <w:bookmarkEnd w:id="12"/>
    </w:p>
    <w:p w14:paraId="2D328B15">
      <w:pPr>
        <w:pStyle w:val="14"/>
        <w:spacing w:line="360" w:lineRule="auto"/>
        <w:ind w:firstLine="480" w:firstLineChars="200"/>
        <w:rPr>
          <w:rFonts w:ascii="Arial Narrow" w:hAnsi="Arial Narrow" w:eastAsiaTheme="minorEastAsia"/>
          <w:color w:val="auto"/>
        </w:rPr>
      </w:pPr>
      <w:bookmarkStart w:id="14" w:name="_Toc166332968"/>
      <w:r>
        <w:rPr>
          <w:rFonts w:ascii="Arial Narrow" w:hAnsi="Arial Narrow" w:eastAsiaTheme="minorEastAsia"/>
          <w:color w:val="auto"/>
        </w:rPr>
        <w:t>1.绩效目标的设定情况；</w:t>
      </w:r>
    </w:p>
    <w:p w14:paraId="1383D07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2.资金投入和使用情况；</w:t>
      </w:r>
    </w:p>
    <w:p w14:paraId="6F1C794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3.为实现绩效目标制定的制度、采取的措施等；</w:t>
      </w:r>
    </w:p>
    <w:p w14:paraId="7BF3DB5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4.绩效目标的实现程度及效果；</w:t>
      </w:r>
    </w:p>
    <w:p w14:paraId="444BACF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5.根据实际情况需要评价的其他内容。</w:t>
      </w:r>
    </w:p>
    <w:p w14:paraId="474E7EC2">
      <w:pPr>
        <w:spacing w:line="360" w:lineRule="auto"/>
        <w:ind w:firstLine="482" w:firstLineChars="200"/>
        <w:jc w:val="left"/>
        <w:outlineLvl w:val="0"/>
        <w:rPr>
          <w:rFonts w:ascii="Arial Narrow" w:hAnsi="Arial Narrow" w:eastAsiaTheme="minorEastAsia"/>
          <w:b/>
          <w:sz w:val="24"/>
        </w:rPr>
      </w:pPr>
      <w:bookmarkStart w:id="15" w:name="_Toc171610584"/>
      <w:r>
        <w:rPr>
          <w:rFonts w:ascii="Arial Narrow" w:hAnsi="Arial Narrow" w:eastAsiaTheme="minorEastAsia"/>
          <w:b/>
          <w:sz w:val="24"/>
        </w:rPr>
        <w:t>（三）绩效评价依据</w:t>
      </w:r>
      <w:bookmarkEnd w:id="13"/>
      <w:bookmarkEnd w:id="14"/>
      <w:bookmarkEnd w:id="15"/>
      <w:bookmarkStart w:id="16" w:name="_Toc335040595"/>
    </w:p>
    <w:bookmarkEnd w:id="16"/>
    <w:p w14:paraId="0C4DD31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1.《重庆市铜梁区财政衔接推进乡村振兴补助资金绩效评价及考核办法》的通知（铜财〔2022〕678号）</w:t>
      </w:r>
    </w:p>
    <w:p w14:paraId="1CAF587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2.《重庆市铜梁区财政局关于开展2023年度项目财政重点绩效评价的通知》（铜财〔2024〕237号）</w:t>
      </w:r>
    </w:p>
    <w:p w14:paraId="7BD50344">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3.《重庆市财政衔接推进乡村振兴补助资金绩效评价及考核办法》（渝财农〔2022〕2号</w:t>
      </w:r>
      <w:r>
        <w:rPr>
          <w:rFonts w:hint="eastAsia" w:ascii="Arial Narrow" w:hAnsi="Arial Narrow" w:eastAsiaTheme="minorEastAsia"/>
          <w:color w:val="auto"/>
          <w:lang w:eastAsia="zh-CN"/>
        </w:rPr>
        <w:t>）</w:t>
      </w:r>
    </w:p>
    <w:p w14:paraId="0083703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4.《铜梁区区级政策和项目预算绩效管理办法(试行)》（铜财〔2022〕41号）</w:t>
      </w:r>
    </w:p>
    <w:p w14:paraId="31F3562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5.《重庆市财政局等6部门关于加强财政衔接推进乡村振兴补助资金使用管理的实施意见》（渝财农〔2022〕73号）</w:t>
      </w:r>
    </w:p>
    <w:p w14:paraId="7FC675F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6.《铜梁区巩固拓展脱贫攻坚成果和衔接乡村振兴项目库建设管理实施细则》（铜乡振〔2021〕7号）</w:t>
      </w:r>
    </w:p>
    <w:p w14:paraId="5364A25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 《铜梁区财政衔接推进乡村振兴补助资金项目公告公示实施办法》（铜委农办〔2021〕19号）</w:t>
      </w:r>
    </w:p>
    <w:p w14:paraId="4CFE3E7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8.《项目支出绩效评价管理办法》（财预〔2020〕10号）</w:t>
      </w:r>
    </w:p>
    <w:p w14:paraId="687AF23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9.《重庆市市级政策和项目预算绩效管理办法》（渝财绩〔2019〕19号）</w:t>
      </w:r>
    </w:p>
    <w:p w14:paraId="76F1400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10.《会计师事务所财政支出绩效评价业务指引》（注协</w:t>
      </w:r>
      <w:bookmarkStart w:id="17" w:name="_Hlk162597612"/>
      <w:r>
        <w:rPr>
          <w:rFonts w:ascii="Arial Narrow" w:hAnsi="Arial Narrow" w:eastAsiaTheme="minorEastAsia"/>
          <w:color w:val="auto"/>
        </w:rPr>
        <w:t>〔2016〕</w:t>
      </w:r>
      <w:bookmarkEnd w:id="17"/>
      <w:r>
        <w:rPr>
          <w:rFonts w:ascii="Arial Narrow" w:hAnsi="Arial Narrow" w:eastAsiaTheme="minorEastAsia"/>
          <w:color w:val="auto"/>
        </w:rPr>
        <w:t>10号）</w:t>
      </w:r>
    </w:p>
    <w:p w14:paraId="5930B9E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 评价工作人员通过现场调查、核实等获得的资料等</w:t>
      </w:r>
    </w:p>
    <w:p w14:paraId="2B64B8D5">
      <w:pPr>
        <w:spacing w:line="360" w:lineRule="auto"/>
        <w:ind w:firstLine="482" w:firstLineChars="200"/>
        <w:jc w:val="left"/>
        <w:outlineLvl w:val="0"/>
        <w:rPr>
          <w:rFonts w:ascii="Arial Narrow" w:hAnsi="Arial Narrow" w:eastAsiaTheme="minorEastAsia"/>
          <w:b/>
          <w:sz w:val="24"/>
        </w:rPr>
      </w:pPr>
      <w:bookmarkStart w:id="18" w:name="_Toc171610585"/>
      <w:r>
        <w:rPr>
          <w:rFonts w:ascii="Arial Narrow" w:hAnsi="Arial Narrow" w:eastAsiaTheme="minorEastAsia"/>
          <w:b/>
          <w:sz w:val="24"/>
        </w:rPr>
        <w:t>（四）绩效评价原则和指标体系</w:t>
      </w:r>
      <w:bookmarkEnd w:id="18"/>
    </w:p>
    <w:p w14:paraId="69FA4E6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1.绩效评价主要遵循以下原则：</w:t>
      </w:r>
    </w:p>
    <w:p w14:paraId="2FC05F6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（1）相关性原则。应当与绩效目标有直接的联系，能够恰当反映目标的实现程度。</w:t>
      </w:r>
    </w:p>
    <w:p w14:paraId="5EFBCC5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（2）重要性原则。应当优先使用最具评价对象代表性、最能反映评价要求的核心指标。</w:t>
      </w:r>
    </w:p>
    <w:p w14:paraId="7C11381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（3）可比性原则。对同类评价对象要设定共性的绩效评价指标，以便于评价结果可以相互比较。</w:t>
      </w:r>
    </w:p>
    <w:p w14:paraId="7A91A25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（4）系统性原则。应当将定量指标与定性指标相结合，系统反映财政支出所产生的社会效益和可持续影响等。</w:t>
      </w:r>
    </w:p>
    <w:p w14:paraId="40FB883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（5）经济性原则。应当通俗易懂、简便易行，数据的获得应当考虑现实条件和可操作性，符合成本效益原则。</w:t>
      </w:r>
    </w:p>
    <w:p w14:paraId="32665DA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2.绩效评价指标体系</w:t>
      </w:r>
    </w:p>
    <w:p w14:paraId="73C98EDA">
      <w:pPr>
        <w:pStyle w:val="14"/>
        <w:spacing w:line="360" w:lineRule="auto"/>
        <w:ind w:firstLine="480" w:firstLineChars="200"/>
        <w:jc w:val="both"/>
        <w:rPr>
          <w:rFonts w:ascii="Arial Narrow" w:hAnsi="Arial Narrow" w:eastAsiaTheme="minorEastAsia"/>
          <w:color w:val="auto"/>
        </w:rPr>
      </w:pPr>
      <w:r>
        <w:rPr>
          <w:rFonts w:ascii="Arial Narrow" w:hAnsi="Arial Narrow" w:eastAsiaTheme="minorEastAsia"/>
          <w:color w:val="auto"/>
        </w:rPr>
        <w:t>根据《重庆市铜梁区财政衔接推进乡村振兴补助资金绩效评价及考核办法》的通知（铜财〔2022〕678号</w:t>
      </w:r>
      <w:r>
        <w:rPr>
          <w:rFonts w:hint="eastAsia" w:ascii="Arial Narrow" w:hAnsi="Arial Narrow" w:eastAsiaTheme="minorEastAsia"/>
          <w:color w:val="auto"/>
          <w:lang w:eastAsia="zh-CN"/>
        </w:rPr>
        <w:t>）</w:t>
      </w:r>
      <w:r>
        <w:rPr>
          <w:rFonts w:ascii="Arial Narrow" w:hAnsi="Arial Narrow" w:eastAsiaTheme="minorEastAsia"/>
          <w:color w:val="auto"/>
        </w:rPr>
        <w:t>，本次绩效评价及考核指标体系如下：</w:t>
      </w:r>
    </w:p>
    <w:p w14:paraId="5AD5A855">
      <w:pPr>
        <w:pStyle w:val="14"/>
        <w:spacing w:line="360" w:lineRule="auto"/>
        <w:ind w:firstLine="482" w:firstLineChars="200"/>
        <w:jc w:val="center"/>
        <w:rPr>
          <w:rFonts w:ascii="Arial Narrow" w:hAnsi="Arial Narrow" w:eastAsiaTheme="minorEastAsia"/>
          <w:b/>
          <w:bCs/>
          <w:color w:val="auto"/>
        </w:rPr>
      </w:pPr>
      <w:r>
        <w:rPr>
          <w:rFonts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02D616ED">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D16B4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57EDBEF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5E4B940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7BBDAFE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4234DAA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664D6E4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评价标准</w:t>
            </w:r>
          </w:p>
        </w:tc>
      </w:tr>
      <w:tr w14:paraId="7EDC2454">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9A60FD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462D3B4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240900C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4428088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3F888D39">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18B7BEB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资金使用方向符合文件规定（2分）。</w:t>
            </w:r>
          </w:p>
        </w:tc>
      </w:tr>
      <w:tr w14:paraId="382C2A94">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D48DCA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210EA0CC">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2CB4CE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04156FB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634EBCE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2A3DCBB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区财政局下达资金文件时间到区级业务主管部门下达项目及资金计划文件时间间隔≤30日（3分）。</w:t>
            </w:r>
          </w:p>
        </w:tc>
      </w:tr>
      <w:tr w14:paraId="6DCFBCC6">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2F4FAB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0FE8BDE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32B47EF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097B592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nil"/>
              <w:right w:val="nil"/>
            </w:tcBorders>
            <w:shd w:val="clear" w:color="auto" w:fill="auto"/>
            <w:vAlign w:val="center"/>
          </w:tcPr>
          <w:p w14:paraId="10007B3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评价落实《铜梁区巩固拓展脱贫攻坚成果和衔接乡村振兴项目库建设管理实施细则》（铜乡振〔2021〕7号）落实情况。根据抽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13AF6A4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1.项目入库及时充分、程序规范、内容完整（3分）；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2.入库项目具备实施条件（2分）；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3.衔接资金用于项目库之外的项目（-5分）。</w:t>
            </w:r>
          </w:p>
        </w:tc>
      </w:tr>
      <w:tr w14:paraId="2E3640A1">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AE6748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7F1856F8">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AFC96B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0239C3D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50AE2E5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5ED3E775">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1.及时制定绩效目标、审核绩效目标（2分）；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2.开展绩效监控不少于1次（2分）；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3.对绩效目标偏离项目采取纠偏措施（2分）；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4.项目实施完毕后立即开展绩效自评，并形成绩效自评报告及绩效自评表。（2分）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5.项目绩效是否达到预期。（2分）</w:t>
            </w:r>
          </w:p>
        </w:tc>
      </w:tr>
      <w:tr w14:paraId="03E73768">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8242AA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7DE770D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F69793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6076F83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419086E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0EF80F0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1.项目实施方法存在变更是否按规定报批；（1分）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2.是否定期对项目实施情况进行监督检查，对检查中发现的问题进行整改；（2分）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3.是否按照项目实施节点按时提交项目报账资料；（1分）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4.日常管理资料是否及时归档整理；（1分）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5.项目完工后是否在规定时间内进行验收。（1分）</w:t>
            </w:r>
          </w:p>
        </w:tc>
      </w:tr>
      <w:tr w14:paraId="14CF6E7D">
        <w:tblPrEx>
          <w:tblCellMar>
            <w:top w:w="0" w:type="dxa"/>
            <w:left w:w="108" w:type="dxa"/>
            <w:bottom w:w="0" w:type="dxa"/>
            <w:right w:w="108" w:type="dxa"/>
          </w:tblCellMar>
        </w:tblPrEx>
        <w:trPr>
          <w:cantSplit/>
          <w:trHeight w:val="405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16047AA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2B243822">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3C9F3DF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预算执行率情况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5A5EB0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62" w:type="dxa"/>
            <w:tcBorders>
              <w:top w:val="single" w:color="auto" w:sz="4" w:space="0"/>
              <w:left w:val="nil"/>
              <w:bottom w:val="single" w:color="auto" w:sz="4" w:space="0"/>
              <w:right w:val="single" w:color="auto" w:sz="4" w:space="0"/>
            </w:tcBorders>
            <w:shd w:val="clear" w:color="auto" w:fill="auto"/>
            <w:vAlign w:val="center"/>
          </w:tcPr>
          <w:p w14:paraId="765C2573">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6270819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主要通过支出进度评价有序推进项目工作和资金支付情况，于7月末、10月中旬定期调度。</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1.7月末支出进度评分4分。资金支出进度达到全区平均进度或者序时进度的，得满分；未达到的按照与序时进度的比例扣分；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2.10月中旬支出进度评分4分。资金支出进度达到全区平均进度或者序时进度的，得满分；未达到的按照与序时进度的比例扣分；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28C9F73D">
        <w:tblPrEx>
          <w:tblCellMar>
            <w:top w:w="0" w:type="dxa"/>
            <w:left w:w="108" w:type="dxa"/>
            <w:bottom w:w="0" w:type="dxa"/>
            <w:right w:w="108" w:type="dxa"/>
          </w:tblCellMar>
        </w:tblPrEx>
        <w:trPr>
          <w:cantSplit/>
          <w:trHeight w:val="2165"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29A7F63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7" w:type="dxa"/>
            <w:vMerge w:val="continue"/>
            <w:tcBorders>
              <w:top w:val="single" w:color="auto" w:sz="4" w:space="0"/>
              <w:left w:val="single" w:color="auto" w:sz="4" w:space="0"/>
              <w:bottom w:val="single" w:color="auto" w:sz="4" w:space="0"/>
              <w:right w:val="single" w:color="auto" w:sz="4" w:space="0"/>
            </w:tcBorders>
            <w:vAlign w:val="center"/>
          </w:tcPr>
          <w:p w14:paraId="61591772">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3999A46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跟踪督促及发现问题整改情况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F52357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62" w:type="dxa"/>
            <w:tcBorders>
              <w:top w:val="single" w:color="auto" w:sz="4" w:space="0"/>
              <w:left w:val="nil"/>
              <w:bottom w:val="single" w:color="auto" w:sz="4" w:space="0"/>
              <w:right w:val="single" w:color="auto" w:sz="4" w:space="0"/>
            </w:tcBorders>
            <w:shd w:val="clear" w:color="auto" w:fill="auto"/>
            <w:vAlign w:val="center"/>
          </w:tcPr>
          <w:p w14:paraId="623DB10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315B1B3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1.定期开展项目实施和资金支出进度等跟踪督促情况，落实到位的得2分，未完全落实到位的酌情扣分；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2.跟踪督促及各类检查发现问题整改到位情况，满分5分，根据未整改问题比例扣减；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3.全国12317防止返贫监测和乡村振兴咨询服务平台（简称12317平台）反馈问题处理情况，满分1分。</w:t>
            </w:r>
          </w:p>
        </w:tc>
      </w:tr>
      <w:tr w14:paraId="74A34CB9">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8A9864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01F471FA">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2C63BF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46A64A5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5FDA2FE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1BBF107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1.财务处理是否规范，原始凭证是否齐全，建成资产是否及时转固、收益管理是否合规；（4分）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2.档案管理是否完整、合规、真实。（1分）</w:t>
            </w:r>
          </w:p>
        </w:tc>
      </w:tr>
      <w:tr w14:paraId="42C3AB2D">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B10ED6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7D3C7DED">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4351517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24E27E9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7095218F">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评价区级、镇级、村级落实《铜梁区财政衔接推进乡村振兴补助资金项目公告公示实施办法》（铜委农办〔2021〕19号）文件要求情况。根据抽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3A48D6B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1.抽查区级公示公开情况，满分3分，未完整公开酌情扣分；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2.抽查镇级公示公开情况，满分3分，未完整公开酌情扣分；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3.抽查村级公示公开情况，满分3分，未完整公开酌情扣分。</w:t>
            </w:r>
          </w:p>
        </w:tc>
      </w:tr>
      <w:tr w14:paraId="58DC0872">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B14383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4E5A09FE">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2276D12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528F599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16ADB0C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情况赋分。</w:t>
            </w:r>
          </w:p>
        </w:tc>
        <w:tc>
          <w:tcPr>
            <w:tcW w:w="3591" w:type="dxa"/>
            <w:tcBorders>
              <w:top w:val="nil"/>
              <w:left w:val="nil"/>
              <w:bottom w:val="single" w:color="auto" w:sz="4" w:space="0"/>
              <w:right w:val="single" w:color="auto" w:sz="4" w:space="0"/>
            </w:tcBorders>
            <w:shd w:val="clear" w:color="auto" w:fill="auto"/>
            <w:vAlign w:val="center"/>
          </w:tcPr>
          <w:p w14:paraId="46FA801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满分35分，根据抽</w:t>
            </w:r>
            <w:r>
              <w:rPr>
                <w:rFonts w:hint="eastAsia" w:ascii="Arial Narrow" w:hAnsi="Arial Narrow" w:cs="宋体" w:eastAsiaTheme="minorEastAsia"/>
                <w:kern w:val="0"/>
                <w:sz w:val="16"/>
                <w:szCs w:val="16"/>
                <w:lang w:val="en-US" w:eastAsia="zh-CN"/>
              </w:rPr>
              <w:t>查</w:t>
            </w:r>
            <w:r>
              <w:rPr>
                <w:rFonts w:ascii="Arial Narrow" w:hAnsi="Arial Narrow" w:cs="宋体" w:eastAsiaTheme="minorEastAsia"/>
                <w:kern w:val="0"/>
                <w:sz w:val="16"/>
                <w:szCs w:val="16"/>
              </w:rPr>
              <w:t>项目情况赋分。项目管理各环节，每存在一例不符合相关规定的，扣0.5分，扣完为止。</w:t>
            </w:r>
          </w:p>
        </w:tc>
      </w:tr>
      <w:tr w14:paraId="3A6776E1">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0D8187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6C0D744C">
            <w:pPr>
              <w:widowControl/>
              <w:jc w:val="left"/>
              <w:rPr>
                <w:rFonts w:ascii="Arial Narrow" w:hAnsi="Arial Narrow" w:cs="宋体" w:eastAsiaTheme="minorEastAsia"/>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4FDE78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567885C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16E8879A">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081DB5FC">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58226ED0">
        <w:tblPrEx>
          <w:tblCellMar>
            <w:top w:w="0" w:type="dxa"/>
            <w:left w:w="108" w:type="dxa"/>
            <w:bottom w:w="0" w:type="dxa"/>
            <w:right w:w="108" w:type="dxa"/>
          </w:tblCellMar>
        </w:tblPrEx>
        <w:trPr>
          <w:cantSplit/>
          <w:trHeight w:val="1348"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539952B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F3BEB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加减分指标</w:t>
            </w:r>
          </w:p>
        </w:tc>
        <w:tc>
          <w:tcPr>
            <w:tcW w:w="1049" w:type="dxa"/>
            <w:tcBorders>
              <w:top w:val="single" w:color="auto" w:sz="4" w:space="0"/>
              <w:left w:val="nil"/>
              <w:bottom w:val="single" w:color="auto" w:sz="4" w:space="0"/>
              <w:right w:val="single" w:color="auto" w:sz="4" w:space="0"/>
            </w:tcBorders>
            <w:shd w:val="clear" w:color="auto" w:fill="auto"/>
            <w:vAlign w:val="center"/>
          </w:tcPr>
          <w:p w14:paraId="36FE805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加分项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7A95A1D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62" w:type="dxa"/>
            <w:tcBorders>
              <w:top w:val="single" w:color="auto" w:sz="4" w:space="0"/>
              <w:left w:val="nil"/>
              <w:bottom w:val="single" w:color="auto" w:sz="4" w:space="0"/>
              <w:right w:val="single" w:color="auto" w:sz="4" w:space="0"/>
            </w:tcBorders>
            <w:shd w:val="clear" w:color="auto" w:fill="auto"/>
            <w:vAlign w:val="center"/>
          </w:tcPr>
          <w:p w14:paraId="70932201">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评价机制创新情况。最高加5分。</w:t>
            </w:r>
          </w:p>
        </w:tc>
        <w:tc>
          <w:tcPr>
            <w:tcW w:w="3591" w:type="dxa"/>
            <w:tcBorders>
              <w:top w:val="single" w:color="auto" w:sz="4" w:space="0"/>
              <w:left w:val="nil"/>
              <w:bottom w:val="single" w:color="auto" w:sz="4" w:space="0"/>
              <w:right w:val="single" w:color="auto" w:sz="4" w:space="0"/>
            </w:tcBorders>
            <w:shd w:val="clear" w:color="auto" w:fill="auto"/>
            <w:vAlign w:val="center"/>
          </w:tcPr>
          <w:p w14:paraId="55B12FD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1.在财政衔接资金分配、使用、监管等方面存在机制创新；（2分）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2.国家、市级对我区财政衔接资金绩效评价中，被财政部、国家乡村振兴局及其第三方总结经验做法，并调研推广的。（3分）</w:t>
            </w:r>
          </w:p>
        </w:tc>
      </w:tr>
      <w:tr w14:paraId="780BB18D">
        <w:tblPrEx>
          <w:tblCellMar>
            <w:top w:w="0" w:type="dxa"/>
            <w:left w:w="108" w:type="dxa"/>
            <w:bottom w:w="0" w:type="dxa"/>
            <w:right w:w="108" w:type="dxa"/>
          </w:tblCellMar>
        </w:tblPrEx>
        <w:trPr>
          <w:cantSplit/>
          <w:trHeight w:val="816"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274697C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7" w:type="dxa"/>
            <w:vMerge w:val="continue"/>
            <w:tcBorders>
              <w:top w:val="single" w:color="auto" w:sz="4" w:space="0"/>
              <w:left w:val="single" w:color="auto" w:sz="4" w:space="0"/>
              <w:bottom w:val="single" w:color="000000" w:sz="4" w:space="0"/>
              <w:right w:val="single" w:color="auto" w:sz="4" w:space="0"/>
            </w:tcBorders>
            <w:vAlign w:val="center"/>
          </w:tcPr>
          <w:p w14:paraId="45554950">
            <w:pPr>
              <w:widowControl/>
              <w:jc w:val="left"/>
              <w:rPr>
                <w:rFonts w:ascii="Arial Narrow" w:hAnsi="Arial Narrow" w:cs="宋体" w:eastAsiaTheme="minorEastAsia"/>
                <w:kern w:val="0"/>
                <w:sz w:val="16"/>
                <w:szCs w:val="16"/>
              </w:rPr>
            </w:pPr>
          </w:p>
        </w:tc>
        <w:tc>
          <w:tcPr>
            <w:tcW w:w="1049" w:type="dxa"/>
            <w:tcBorders>
              <w:top w:val="single" w:color="auto" w:sz="4" w:space="0"/>
              <w:left w:val="nil"/>
              <w:bottom w:val="single" w:color="auto" w:sz="4" w:space="0"/>
              <w:right w:val="single" w:color="auto" w:sz="4" w:space="0"/>
            </w:tcBorders>
            <w:shd w:val="clear" w:color="auto" w:fill="auto"/>
            <w:vAlign w:val="center"/>
          </w:tcPr>
          <w:p w14:paraId="3B34AEE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扣分项</w:t>
            </w:r>
          </w:p>
        </w:tc>
        <w:tc>
          <w:tcPr>
            <w:tcW w:w="536" w:type="dxa"/>
            <w:tcBorders>
              <w:top w:val="single" w:color="auto" w:sz="4" w:space="0"/>
              <w:left w:val="nil"/>
              <w:bottom w:val="single" w:color="auto" w:sz="4" w:space="0"/>
              <w:right w:val="single" w:color="auto" w:sz="4" w:space="0"/>
            </w:tcBorders>
            <w:shd w:val="clear" w:color="auto" w:fill="auto"/>
            <w:vAlign w:val="center"/>
          </w:tcPr>
          <w:p w14:paraId="635EEAA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598D305E">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反映提供材料的真实性，有效性以及相关工作合法合规情况。（用于负面清单事项）</w:t>
            </w:r>
          </w:p>
        </w:tc>
        <w:tc>
          <w:tcPr>
            <w:tcW w:w="3591" w:type="dxa"/>
            <w:tcBorders>
              <w:top w:val="single" w:color="auto" w:sz="4" w:space="0"/>
              <w:left w:val="nil"/>
              <w:bottom w:val="single" w:color="auto" w:sz="4" w:space="0"/>
              <w:right w:val="single" w:color="auto" w:sz="4" w:space="0"/>
            </w:tcBorders>
            <w:shd w:val="clear" w:color="auto" w:fill="auto"/>
            <w:vAlign w:val="center"/>
          </w:tcPr>
          <w:p w14:paraId="6E176362">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考核材料、数据中存在虚假信息的，或经有关部门监督检查发现问题的，视情节严重程度扣1-10分。</w:t>
            </w:r>
          </w:p>
        </w:tc>
      </w:tr>
    </w:tbl>
    <w:p w14:paraId="26FA1F42">
      <w:pPr>
        <w:spacing w:before="120" w:beforeLines="50" w:line="360" w:lineRule="auto"/>
        <w:ind w:firstLine="482" w:firstLineChars="200"/>
        <w:jc w:val="left"/>
        <w:outlineLvl w:val="0"/>
        <w:rPr>
          <w:rFonts w:ascii="Arial Narrow" w:hAnsi="Arial Narrow" w:eastAsiaTheme="minorEastAsia"/>
          <w:b/>
          <w:sz w:val="24"/>
        </w:rPr>
      </w:pPr>
      <w:bookmarkStart w:id="19" w:name="_Toc171610586"/>
      <w:r>
        <w:rPr>
          <w:rFonts w:ascii="Arial Narrow" w:hAnsi="Arial Narrow" w:eastAsiaTheme="minorEastAsia"/>
          <w:b/>
          <w:sz w:val="24"/>
        </w:rPr>
        <w:t>（五）绩效评价标准和评价方法</w:t>
      </w:r>
      <w:bookmarkEnd w:id="19"/>
    </w:p>
    <w:p w14:paraId="2DE4EE9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1.绩效评价标准</w:t>
      </w:r>
    </w:p>
    <w:p w14:paraId="5D86E3F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绩效评价标准采用定量评分，满分为100分。指标分值我们是根据确定的指标内容及项目实施的具体情况综合分析确定的，详见附件。</w:t>
      </w:r>
    </w:p>
    <w:p w14:paraId="31DF244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绩效评价结果分为优（得分</w:t>
      </w:r>
      <w:bookmarkStart w:id="20" w:name="_Hlk162596803"/>
      <w:r>
        <w:rPr>
          <w:rFonts w:ascii="Arial Narrow" w:hAnsi="Arial Narrow" w:eastAsiaTheme="minorEastAsia"/>
          <w:color w:val="auto"/>
        </w:rPr>
        <w:t>≥90</w:t>
      </w:r>
      <w:bookmarkEnd w:id="20"/>
      <w:r>
        <w:rPr>
          <w:rFonts w:ascii="Arial Narrow" w:hAnsi="Arial Narrow" w:eastAsiaTheme="minorEastAsia"/>
          <w:color w:val="auto"/>
        </w:rPr>
        <w:t>）、良</w:t>
      </w:r>
      <w:bookmarkStart w:id="21" w:name="_Hlk168473502"/>
      <w:r>
        <w:rPr>
          <w:rFonts w:ascii="Arial Narrow" w:hAnsi="Arial Narrow" w:eastAsiaTheme="minorEastAsia"/>
          <w:color w:val="auto"/>
        </w:rPr>
        <w:t>（90＞得分≥80）</w:t>
      </w:r>
      <w:bookmarkEnd w:id="21"/>
      <w:r>
        <w:rPr>
          <w:rFonts w:ascii="Arial Narrow" w:hAnsi="Arial Narrow" w:eastAsiaTheme="minorEastAsia"/>
          <w:color w:val="auto"/>
        </w:rPr>
        <w:t>、中（80＞得分≥60）、差（得分＜60）四个等级，按百分制综合得分高低按分值划段确定。</w:t>
      </w:r>
    </w:p>
    <w:p w14:paraId="3C0C429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2.绩效评价方法</w:t>
      </w:r>
    </w:p>
    <w:p w14:paraId="4044EC1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绩效评价技术方法主要有成本效益分析法、比较法、因素分析法、最低成本法、公众评判法等。</w:t>
      </w:r>
    </w:p>
    <w:p w14:paraId="0B962D3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成本效益分析法。是指将一定时期内的支出与效益进行对比分析，以评价绩效目标的实现程度。</w:t>
      </w:r>
    </w:p>
    <w:p w14:paraId="13C0D39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比较法。是指通过对绩效目标与实施效果、历史与当期情况、不同部门和地区同类支出的比较，综合分析绩效目标实现程度。</w:t>
      </w:r>
    </w:p>
    <w:p w14:paraId="3B4B25A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因素分析法。是指通过综合分析影响绩效目标实现、实施效果的内外因素，评价绩效目标实现程度。</w:t>
      </w:r>
    </w:p>
    <w:p w14:paraId="383D149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最低成本法。是指对效益确定却不易计量的多个同类对象的实施成本进行比较，评价绩效目标实现程度。</w:t>
      </w:r>
    </w:p>
    <w:p w14:paraId="0F2E759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公众评判法。是指通过专家评估、公众问卷及抽样调查等对预算支出效果进行评判，评价绩效目标实现程度。</w:t>
      </w:r>
    </w:p>
    <w:p w14:paraId="2FC5A4C5">
      <w:pPr>
        <w:spacing w:line="360" w:lineRule="auto"/>
        <w:ind w:firstLine="482" w:firstLineChars="200"/>
        <w:jc w:val="left"/>
        <w:outlineLvl w:val="0"/>
        <w:rPr>
          <w:rFonts w:ascii="Arial Narrow" w:hAnsi="Arial Narrow" w:eastAsiaTheme="minorEastAsia"/>
          <w:b/>
          <w:sz w:val="24"/>
        </w:rPr>
      </w:pPr>
      <w:bookmarkStart w:id="22" w:name="_Toc437528932"/>
      <w:bookmarkStart w:id="23" w:name="_Toc171610587"/>
      <w:r>
        <w:rPr>
          <w:rFonts w:ascii="Arial Narrow" w:hAnsi="Arial Narrow" w:eastAsiaTheme="minorEastAsia"/>
          <w:b/>
          <w:sz w:val="24"/>
        </w:rPr>
        <w:t>（六）绩效评价</w:t>
      </w:r>
      <w:bookmarkEnd w:id="22"/>
      <w:r>
        <w:rPr>
          <w:rFonts w:ascii="Arial Narrow" w:hAnsi="Arial Narrow" w:eastAsiaTheme="minorEastAsia"/>
          <w:b/>
          <w:sz w:val="24"/>
        </w:rPr>
        <w:t>工作过程</w:t>
      </w:r>
      <w:bookmarkEnd w:id="23"/>
    </w:p>
    <w:p w14:paraId="50A778AE">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1.经铜梁区财政局确定为</w:t>
      </w:r>
      <w:r>
        <w:rPr>
          <w:rFonts w:hint="eastAsia" w:ascii="仿宋" w:hAnsi="仿宋" w:eastAsia="仿宋" w:cs="仿宋"/>
          <w:color w:val="auto"/>
        </w:rPr>
        <w:t>“</w:t>
      </w:r>
      <w:r>
        <w:rPr>
          <w:rFonts w:ascii="Arial Narrow" w:hAnsi="Arial Narrow" w:eastAsiaTheme="minorEastAsia"/>
          <w:color w:val="auto"/>
        </w:rPr>
        <w:t>2023年财政专项衔接资金项目</w:t>
      </w:r>
      <w:r>
        <w:rPr>
          <w:rFonts w:hint="eastAsia" w:ascii="仿宋" w:hAnsi="仿宋" w:eastAsia="仿宋" w:cs="仿宋"/>
          <w:color w:val="auto"/>
        </w:rPr>
        <w:t>”</w:t>
      </w:r>
      <w:r>
        <w:rPr>
          <w:rFonts w:ascii="Arial Narrow" w:hAnsi="Arial Narrow" w:eastAsiaTheme="minorEastAsia"/>
          <w:color w:val="auto"/>
        </w:rPr>
        <w:t>项目绩效评价服务单位后我所成立了绩效评价工作小组。</w:t>
      </w:r>
    </w:p>
    <w:p w14:paraId="76FDCACB">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2.根据项目实际情况收集项目基础资料及数据深入了解项目整体情况。</w:t>
      </w:r>
    </w:p>
    <w:p w14:paraId="655DD9B4">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3.组织实施现场调查、检查、走访等具体工作</w:t>
      </w:r>
      <w:r>
        <w:rPr>
          <w:rFonts w:hint="eastAsia" w:ascii="Arial Narrow" w:hAnsi="Arial Narrow" w:eastAsiaTheme="minorEastAsia"/>
          <w:color w:val="auto"/>
          <w:lang w:eastAsia="zh-CN"/>
        </w:rPr>
        <w:t>。</w:t>
      </w:r>
    </w:p>
    <w:p w14:paraId="06BA1E27">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4.依据收集到的项目相关资料和数据，比照经贵单位审定的评价指标体系的评分标准，分别对项目评价打分，汇总后加权平均形成综合评价得分，并对该项目的绩效评价等级进行确认。</w:t>
      </w:r>
    </w:p>
    <w:p w14:paraId="3F802853">
      <w:pPr>
        <w:spacing w:line="360" w:lineRule="auto"/>
        <w:ind w:firstLine="482" w:firstLineChars="200"/>
        <w:jc w:val="left"/>
        <w:outlineLvl w:val="0"/>
        <w:rPr>
          <w:rFonts w:ascii="Arial Narrow" w:hAnsi="Arial Narrow" w:eastAsiaTheme="minorEastAsia"/>
          <w:b/>
          <w:sz w:val="24"/>
        </w:rPr>
      </w:pPr>
      <w:bookmarkStart w:id="24" w:name="_Toc437528933"/>
      <w:bookmarkStart w:id="25" w:name="_Toc171610588"/>
      <w:r>
        <w:rPr>
          <w:rFonts w:ascii="Arial Narrow" w:hAnsi="Arial Narrow" w:eastAsiaTheme="minorEastAsia"/>
          <w:b/>
          <w:sz w:val="24"/>
        </w:rPr>
        <w:t>三、项目评价</w:t>
      </w:r>
      <w:bookmarkEnd w:id="24"/>
      <w:r>
        <w:rPr>
          <w:rFonts w:ascii="Arial Narrow" w:hAnsi="Arial Narrow" w:eastAsiaTheme="minorEastAsia"/>
          <w:b/>
          <w:sz w:val="24"/>
        </w:rPr>
        <w:t>结论</w:t>
      </w:r>
      <w:bookmarkEnd w:id="25"/>
    </w:p>
    <w:p w14:paraId="37B4F5AC">
      <w:pPr>
        <w:spacing w:line="360" w:lineRule="auto"/>
        <w:ind w:left="420" w:leftChars="200"/>
        <w:jc w:val="left"/>
        <w:rPr>
          <w:rFonts w:ascii="Arial Narrow" w:hAnsi="Arial Narrow" w:cs="宋体" w:eastAsiaTheme="minorEastAsia"/>
          <w:kern w:val="0"/>
          <w:sz w:val="24"/>
        </w:rPr>
      </w:pPr>
      <w:r>
        <w:rPr>
          <w:rFonts w:hint="eastAsia" w:ascii="仿宋" w:hAnsi="仿宋" w:eastAsia="仿宋" w:cs="仿宋"/>
          <w:kern w:val="0"/>
          <w:sz w:val="24"/>
        </w:rPr>
        <w:t>“</w:t>
      </w:r>
      <w:r>
        <w:rPr>
          <w:rFonts w:ascii="Arial Narrow" w:hAnsi="Arial Narrow" w:cs="宋体" w:eastAsiaTheme="minorEastAsia"/>
          <w:kern w:val="0"/>
          <w:sz w:val="24"/>
        </w:rPr>
        <w:t>渝快助农贷</w:t>
      </w:r>
      <w:r>
        <w:rPr>
          <w:rFonts w:hint="eastAsia" w:ascii="仿宋" w:hAnsi="仿宋" w:eastAsia="仿宋" w:cs="仿宋"/>
          <w:kern w:val="0"/>
          <w:sz w:val="24"/>
        </w:rPr>
        <w:t>”</w:t>
      </w:r>
      <w:r>
        <w:rPr>
          <w:rFonts w:ascii="Arial Narrow" w:hAnsi="Arial Narrow" w:cs="宋体" w:eastAsiaTheme="minorEastAsia"/>
          <w:kern w:val="0"/>
          <w:sz w:val="24"/>
        </w:rPr>
        <w:t>风险补偿金项目绩效评价得分100.00分，绩效评价等级为：优；</w:t>
      </w:r>
    </w:p>
    <w:p w14:paraId="43B9741C">
      <w:pPr>
        <w:spacing w:line="360" w:lineRule="auto"/>
        <w:ind w:firstLine="480" w:firstLineChars="200"/>
        <w:jc w:val="left"/>
        <w:rPr>
          <w:rFonts w:ascii="Arial Narrow" w:hAnsi="Arial Narrow" w:eastAsiaTheme="minorEastAsia"/>
          <w:sz w:val="24"/>
        </w:rPr>
      </w:pPr>
      <w:r>
        <w:rPr>
          <w:rFonts w:ascii="Arial Narrow" w:hAnsi="Arial Narrow" w:eastAsiaTheme="minorEastAsia"/>
          <w:sz w:val="24"/>
        </w:rPr>
        <w:t>2023年就业帮扶车间建设补助项目绩效评价得分99.00分，绩效评价等级为：优；</w:t>
      </w:r>
    </w:p>
    <w:p w14:paraId="3D3928E9">
      <w:pPr>
        <w:spacing w:line="360" w:lineRule="auto"/>
        <w:ind w:firstLine="480" w:firstLineChars="200"/>
        <w:jc w:val="left"/>
        <w:rPr>
          <w:rFonts w:ascii="Arial Narrow" w:hAnsi="Arial Narrow" w:eastAsiaTheme="minorEastAsia"/>
          <w:sz w:val="24"/>
        </w:rPr>
      </w:pPr>
      <w:r>
        <w:rPr>
          <w:rFonts w:ascii="Arial Narrow" w:hAnsi="Arial Narrow" w:eastAsiaTheme="minorEastAsia"/>
          <w:sz w:val="24"/>
        </w:rPr>
        <w:t>2023年就业技能培训补助项目绩效评价得分98.50分，绩效评价等级为：优</w:t>
      </w:r>
      <w:r>
        <w:rPr>
          <w:rFonts w:ascii="Arial Narrow" w:hAnsi="Arial Narrow" w:cs="宋体" w:eastAsiaTheme="minorEastAsia"/>
          <w:kern w:val="0"/>
          <w:sz w:val="24"/>
        </w:rPr>
        <w:t>；</w:t>
      </w:r>
    </w:p>
    <w:p w14:paraId="1A9C897A">
      <w:pPr>
        <w:spacing w:line="360" w:lineRule="auto"/>
        <w:ind w:firstLine="480" w:firstLineChars="200"/>
        <w:jc w:val="left"/>
        <w:rPr>
          <w:rFonts w:ascii="Arial Narrow" w:hAnsi="Arial Narrow" w:eastAsiaTheme="minorEastAsia"/>
          <w:sz w:val="24"/>
        </w:rPr>
      </w:pPr>
      <w:r>
        <w:rPr>
          <w:rFonts w:ascii="Arial Narrow" w:hAnsi="Arial Narrow" w:eastAsiaTheme="minorEastAsia"/>
          <w:sz w:val="24"/>
        </w:rPr>
        <w:t>精准脱贫保风险调节金项目绩效评价得分98.50分，绩效评价等级为：优；</w:t>
      </w:r>
    </w:p>
    <w:p w14:paraId="58CDAD78">
      <w:pPr>
        <w:spacing w:line="360" w:lineRule="auto"/>
        <w:ind w:firstLine="480" w:firstLineChars="200"/>
        <w:jc w:val="left"/>
        <w:rPr>
          <w:rFonts w:ascii="Arial Narrow" w:hAnsi="Arial Narrow" w:eastAsiaTheme="minorEastAsia"/>
          <w:sz w:val="24"/>
        </w:rPr>
      </w:pPr>
      <w:r>
        <w:rPr>
          <w:rFonts w:hint="eastAsia" w:ascii="仿宋" w:hAnsi="仿宋" w:eastAsia="仿宋" w:cs="仿宋"/>
          <w:sz w:val="24"/>
        </w:rPr>
        <w:t>“</w:t>
      </w:r>
      <w:r>
        <w:rPr>
          <w:rFonts w:ascii="Arial Narrow" w:hAnsi="Arial Narrow" w:eastAsiaTheme="minorEastAsia"/>
          <w:sz w:val="24"/>
        </w:rPr>
        <w:t>渝快保</w:t>
      </w:r>
      <w:r>
        <w:rPr>
          <w:rFonts w:hint="eastAsia" w:ascii="仿宋" w:hAnsi="仿宋" w:eastAsia="仿宋" w:cs="仿宋"/>
          <w:sz w:val="24"/>
        </w:rPr>
        <w:t>”</w:t>
      </w:r>
      <w:r>
        <w:rPr>
          <w:rFonts w:ascii="Arial Narrow" w:hAnsi="Arial Narrow" w:eastAsiaTheme="minorEastAsia"/>
          <w:sz w:val="24"/>
        </w:rPr>
        <w:t>补助资金项目绩效评价得分98.50分，绩效评价等级为：优；</w:t>
      </w:r>
    </w:p>
    <w:p w14:paraId="5BA846D9">
      <w:pPr>
        <w:spacing w:line="360" w:lineRule="auto"/>
        <w:ind w:firstLine="480" w:firstLineChars="200"/>
        <w:jc w:val="left"/>
        <w:rPr>
          <w:rFonts w:ascii="Arial Narrow" w:hAnsi="Arial Narrow" w:eastAsiaTheme="minorEastAsia"/>
          <w:sz w:val="24"/>
        </w:rPr>
      </w:pPr>
      <w:r>
        <w:rPr>
          <w:rFonts w:ascii="Arial Narrow" w:hAnsi="Arial Narrow" w:eastAsiaTheme="minorEastAsia"/>
          <w:sz w:val="24"/>
        </w:rPr>
        <w:t>2023年乡村振兴干部培训项目绩效评价得分98.50分，绩效评价等级为：优；</w:t>
      </w:r>
    </w:p>
    <w:p w14:paraId="425E1216">
      <w:pPr>
        <w:spacing w:line="360" w:lineRule="auto"/>
        <w:ind w:firstLine="480" w:firstLineChars="200"/>
        <w:jc w:val="left"/>
        <w:rPr>
          <w:rFonts w:ascii="Arial Narrow" w:hAnsi="Arial Narrow" w:eastAsiaTheme="minorEastAsia"/>
          <w:sz w:val="24"/>
        </w:rPr>
      </w:pPr>
      <w:r>
        <w:rPr>
          <w:rFonts w:ascii="Arial Narrow" w:hAnsi="Arial Narrow" w:eastAsiaTheme="minorEastAsia"/>
          <w:sz w:val="24"/>
        </w:rPr>
        <w:t>2023年雨露计划项目绩效评价得分97.50分，绩效评价等级为：优。</w:t>
      </w:r>
    </w:p>
    <w:p w14:paraId="5EEF0DBA">
      <w:pPr>
        <w:spacing w:line="360" w:lineRule="auto"/>
        <w:ind w:firstLine="482" w:firstLineChars="200"/>
        <w:outlineLvl w:val="0"/>
        <w:rPr>
          <w:rFonts w:ascii="Arial Narrow" w:hAnsi="Arial Narrow" w:eastAsiaTheme="minorEastAsia"/>
          <w:b/>
          <w:sz w:val="24"/>
        </w:rPr>
      </w:pPr>
      <w:bookmarkStart w:id="26" w:name="_Toc171610589"/>
      <w:r>
        <w:rPr>
          <w:rFonts w:ascii="Arial Narrow" w:hAnsi="Arial Narrow" w:eastAsiaTheme="minorEastAsia"/>
          <w:b/>
          <w:sz w:val="24"/>
        </w:rPr>
        <w:t>四、综合评价情况</w:t>
      </w:r>
      <w:bookmarkEnd w:id="26"/>
    </w:p>
    <w:p w14:paraId="3357DCA0">
      <w:pPr>
        <w:spacing w:line="360" w:lineRule="auto"/>
        <w:ind w:firstLine="482" w:firstLineChars="200"/>
        <w:jc w:val="left"/>
        <w:outlineLvl w:val="0"/>
        <w:rPr>
          <w:rFonts w:ascii="Arial Narrow" w:hAnsi="Arial Narrow" w:eastAsiaTheme="minorEastAsia"/>
          <w:b/>
          <w:sz w:val="24"/>
        </w:rPr>
      </w:pPr>
      <w:bookmarkStart w:id="27" w:name="_Toc171610590"/>
      <w:r>
        <w:rPr>
          <w:rFonts w:ascii="Arial Narrow" w:hAnsi="Arial Narrow" w:eastAsiaTheme="minorEastAsia"/>
          <w:b/>
          <w:sz w:val="24"/>
        </w:rPr>
        <w:t>（一）资金管理</w:t>
      </w:r>
      <w:bookmarkEnd w:id="27"/>
    </w:p>
    <w:p w14:paraId="48B84AC7">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1.财政衔接资金安排情况</w:t>
      </w:r>
    </w:p>
    <w:p w14:paraId="5E2B7EE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329EC21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2.资金分解下达进度</w:t>
      </w:r>
    </w:p>
    <w:p w14:paraId="64F224E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以上7个项目资金从区财政局下达资金文件时间到区级业务主管部门下达项目及资金计划文件时间间隔小于30天。</w:t>
      </w:r>
    </w:p>
    <w:p w14:paraId="3C2F7391">
      <w:pPr>
        <w:spacing w:line="360" w:lineRule="auto"/>
        <w:ind w:firstLine="482" w:firstLineChars="200"/>
        <w:jc w:val="left"/>
        <w:outlineLvl w:val="0"/>
        <w:rPr>
          <w:rFonts w:ascii="Arial Narrow" w:hAnsi="Arial Narrow" w:eastAsiaTheme="minorEastAsia"/>
          <w:b/>
          <w:sz w:val="24"/>
        </w:rPr>
      </w:pPr>
      <w:bookmarkStart w:id="28" w:name="_Toc171610591"/>
      <w:r>
        <w:rPr>
          <w:rFonts w:ascii="Arial Narrow" w:hAnsi="Arial Narrow" w:eastAsiaTheme="minorEastAsia"/>
          <w:b/>
          <w:sz w:val="24"/>
        </w:rPr>
        <w:t>（二）项目管理</w:t>
      </w:r>
      <w:bookmarkEnd w:id="28"/>
    </w:p>
    <w:p w14:paraId="1E4C68E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1.项目库建设管理情况</w:t>
      </w:r>
    </w:p>
    <w:p w14:paraId="1DA08F7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项目入库及时充分、程序规范、内容完整，制定</w:t>
      </w:r>
      <w:r>
        <w:rPr>
          <w:rFonts w:hint="eastAsia" w:ascii="Arial Narrow" w:hAnsi="Arial Narrow" w:eastAsiaTheme="minorEastAsia"/>
          <w:sz w:val="24"/>
        </w:rPr>
        <w:t>了</w:t>
      </w:r>
      <w:r>
        <w:rPr>
          <w:rFonts w:ascii="Arial Narrow" w:hAnsi="Arial Narrow" w:eastAsiaTheme="minorEastAsia"/>
          <w:sz w:val="24"/>
        </w:rPr>
        <w:t>切合实际的实施方案，具备实施条件，衔接资金未用于项目库之外的项目。</w:t>
      </w:r>
    </w:p>
    <w:p w14:paraId="79A6230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2.项目绩效管理情况</w:t>
      </w:r>
    </w:p>
    <w:p w14:paraId="2AE0841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w:t>
      </w:r>
      <w:r>
        <w:rPr>
          <w:rFonts w:ascii="Arial Narrow" w:hAnsi="Arial Narrow" w:cs="宋体" w:eastAsiaTheme="minorEastAsia"/>
          <w:kern w:val="0"/>
          <w:sz w:val="24"/>
        </w:rPr>
        <w:t>及时制定了明确的绩效目标，实施过程中对绩效目标进行监控，对绩效目标偏离项目采取纠偏措施。在项目实施完毕后开展了绩效自评，并形成绩效自评表，项目绩效基本达到预期，项目实施完毕后及时形成自评报告。2023年就业技能培训补助项目绩效目标申报表未盖章；精准脱贫保风险调节金项目绩效申报表、绩效自评表、绩效监控表未见盖章；2023年</w:t>
      </w:r>
      <w:r>
        <w:rPr>
          <w:rFonts w:ascii="Arial Narrow" w:hAnsi="Arial Narrow" w:eastAsiaTheme="minorEastAsia"/>
          <w:sz w:val="24"/>
        </w:rPr>
        <w:t>雨露计划项目绩效目标自评表未见盖章。</w:t>
      </w:r>
    </w:p>
    <w:p w14:paraId="04790EF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3.项目建设管理情况</w:t>
      </w:r>
    </w:p>
    <w:p w14:paraId="555E726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项目实施方案不存在变更情况，实施</w:t>
      </w:r>
      <w:r>
        <w:rPr>
          <w:rFonts w:hint="eastAsia" w:ascii="Arial Narrow" w:hAnsi="Arial Narrow" w:eastAsiaTheme="minorEastAsia"/>
          <w:sz w:val="24"/>
          <w:lang w:val="en-US" w:eastAsia="zh-CN"/>
        </w:rPr>
        <w:t>过程</w:t>
      </w:r>
      <w:r>
        <w:rPr>
          <w:rFonts w:ascii="Arial Narrow" w:hAnsi="Arial Narrow" w:eastAsiaTheme="minorEastAsia"/>
          <w:sz w:val="24"/>
        </w:rPr>
        <w:t>中由重庆市铜梁区乡村振兴局进行监督检查，检查中未发现重大问题，项目按照实施节点按时提交项目报账资料，项目资料归档整理及时。2023年乡村振兴干部培训项目归档资料中未见对项目实施情况进行监督检查的资料，</w:t>
      </w:r>
      <w:r>
        <w:rPr>
          <w:rFonts w:hint="eastAsia" w:ascii="仿宋" w:hAnsi="仿宋" w:eastAsia="仿宋" w:cs="仿宋"/>
          <w:sz w:val="24"/>
        </w:rPr>
        <w:t>“</w:t>
      </w:r>
      <w:r>
        <w:rPr>
          <w:rFonts w:ascii="Arial Narrow" w:hAnsi="Arial Narrow" w:eastAsiaTheme="minorEastAsia"/>
          <w:sz w:val="24"/>
        </w:rPr>
        <w:t>渝快保</w:t>
      </w:r>
      <w:r>
        <w:rPr>
          <w:rFonts w:hint="eastAsia" w:ascii="仿宋" w:hAnsi="仿宋" w:eastAsia="仿宋" w:cs="仿宋"/>
          <w:sz w:val="24"/>
        </w:rPr>
        <w:t>”</w:t>
      </w:r>
      <w:r>
        <w:rPr>
          <w:rFonts w:ascii="Arial Narrow" w:hAnsi="Arial Narrow" w:eastAsiaTheme="minorEastAsia"/>
          <w:sz w:val="24"/>
        </w:rPr>
        <w:t>补助资金项目纸质资料中缺部分村的公示资料。</w:t>
      </w:r>
    </w:p>
    <w:p w14:paraId="6252B9D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4.预算执行率情况</w:t>
      </w:r>
    </w:p>
    <w:p w14:paraId="70FADE5E">
      <w:pPr>
        <w:adjustRightInd w:val="0"/>
        <w:snapToGrid w:val="0"/>
        <w:spacing w:line="360" w:lineRule="auto"/>
        <w:ind w:firstLine="480" w:firstLineChars="200"/>
        <w:rPr>
          <w:rFonts w:ascii="Arial Narrow" w:hAnsi="Arial Narrow" w:eastAsiaTheme="minorEastAsia"/>
          <w:sz w:val="24"/>
        </w:rPr>
      </w:pPr>
      <w:r>
        <w:rPr>
          <w:rFonts w:hint="eastAsia" w:ascii="仿宋" w:hAnsi="仿宋" w:eastAsia="仿宋" w:cs="仿宋"/>
          <w:sz w:val="24"/>
        </w:rPr>
        <w:t>“</w:t>
      </w:r>
      <w:r>
        <w:rPr>
          <w:rFonts w:ascii="Arial Narrow" w:hAnsi="Arial Narrow" w:eastAsiaTheme="minorEastAsia"/>
          <w:sz w:val="24"/>
        </w:rPr>
        <w:t>渝快助农贷</w:t>
      </w:r>
      <w:r>
        <w:rPr>
          <w:rFonts w:hint="eastAsia" w:ascii="仿宋" w:hAnsi="仿宋" w:eastAsia="仿宋" w:cs="仿宋"/>
          <w:sz w:val="24"/>
        </w:rPr>
        <w:t>”</w:t>
      </w:r>
      <w:r>
        <w:rPr>
          <w:rFonts w:ascii="Arial Narrow" w:hAnsi="Arial Narrow" w:eastAsiaTheme="minorEastAsia"/>
          <w:sz w:val="24"/>
        </w:rPr>
        <w:t>风险补偿金、2023年就业帮扶车间建设奖补助、精准脱贫保风险调节金项目、</w:t>
      </w:r>
      <w:r>
        <w:rPr>
          <w:rFonts w:hint="eastAsia" w:ascii="仿宋" w:hAnsi="仿宋" w:eastAsia="仿宋" w:cs="仿宋"/>
          <w:sz w:val="24"/>
        </w:rPr>
        <w:t>“</w:t>
      </w:r>
      <w:r>
        <w:rPr>
          <w:rFonts w:ascii="Arial Narrow" w:hAnsi="Arial Narrow" w:eastAsiaTheme="minorEastAsia"/>
          <w:sz w:val="24"/>
        </w:rPr>
        <w:t>渝快保</w:t>
      </w:r>
      <w:r>
        <w:rPr>
          <w:rFonts w:hint="eastAsia" w:ascii="仿宋" w:hAnsi="仿宋" w:eastAsia="仿宋" w:cs="仿宋"/>
          <w:sz w:val="24"/>
        </w:rPr>
        <w:t>”</w:t>
      </w:r>
      <w:r>
        <w:rPr>
          <w:rFonts w:ascii="Arial Narrow" w:hAnsi="Arial Narrow" w:eastAsiaTheme="minorEastAsia"/>
          <w:sz w:val="24"/>
        </w:rPr>
        <w:t>补助资金项目七月末、十月末资金支出进度均超过全区平均水平，十二月中旬的资金预算执行率达到100%。</w:t>
      </w:r>
    </w:p>
    <w:p w14:paraId="6D90A033">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2023年乡村振兴干部培训项目七月末资金支出进度均超过全区平均水平，九月末的资金预算执行率达到100%。</w:t>
      </w:r>
    </w:p>
    <w:p w14:paraId="5E57D440">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2023年就业技能培训补助项目七月末、十月末资金支出进度均超过全区平均水平，十月中旬的资金预算执行率达到100%。</w:t>
      </w:r>
    </w:p>
    <w:p w14:paraId="0998DB8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2023年雨露计划项目七月末、十月末资金支出进度均超过全区平均水平，十一月末的资金预算执行率达到100%。</w:t>
      </w:r>
    </w:p>
    <w:p w14:paraId="56A7C94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5.跟踪督促及发现问题整改情况</w:t>
      </w:r>
    </w:p>
    <w:p w14:paraId="55A5186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通过实施单位提供的监控表、自评表等资料显示，项目实施单位定期开展项目实施和资金支出进度等跟踪督促，跟踪督促及各类检查发现问题整改到位。</w:t>
      </w:r>
    </w:p>
    <w:p w14:paraId="1AAE2E8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6.账务处理及档案管理等情况</w:t>
      </w:r>
    </w:p>
    <w:p w14:paraId="23AC823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项目实施单位对该项目账务处理规范，档案管理完整。</w:t>
      </w:r>
    </w:p>
    <w:p w14:paraId="6455D0E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7.信息公开和公告公示制度落实情况</w:t>
      </w:r>
    </w:p>
    <w:p w14:paraId="27938CE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重庆市铜梁区乡村振兴局对以上7个项目入库情况、资金计划完成情况等进行了公告公示。</w:t>
      </w:r>
    </w:p>
    <w:p w14:paraId="221CB36E">
      <w:pPr>
        <w:spacing w:line="360" w:lineRule="auto"/>
        <w:ind w:firstLine="482" w:firstLineChars="200"/>
        <w:jc w:val="left"/>
        <w:outlineLvl w:val="0"/>
        <w:rPr>
          <w:rFonts w:ascii="Arial Narrow" w:hAnsi="Arial Narrow" w:eastAsiaTheme="minorEastAsia"/>
          <w:b/>
          <w:sz w:val="24"/>
        </w:rPr>
      </w:pPr>
      <w:bookmarkStart w:id="29" w:name="_Toc171610592"/>
      <w:r>
        <w:rPr>
          <w:rFonts w:ascii="Arial Narrow" w:hAnsi="Arial Narrow" w:eastAsiaTheme="minorEastAsia"/>
          <w:b/>
          <w:sz w:val="24"/>
        </w:rPr>
        <w:t>（三）使用成效及通报情况</w:t>
      </w:r>
      <w:bookmarkEnd w:id="29"/>
    </w:p>
    <w:p w14:paraId="32304F5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1.资金使用效益</w:t>
      </w:r>
    </w:p>
    <w:p w14:paraId="46D8983D">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项目总体资金均专款专用，项目完成进度和及时性达到计划预期目的。完成项目的质量能够达标，完成进行了自评、项目资金完整。</w:t>
      </w:r>
    </w:p>
    <w:p w14:paraId="2E2CA956">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2.通报情况</w:t>
      </w:r>
    </w:p>
    <w:p w14:paraId="749E37D7">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2023年就业帮扶车间建设补助项目和2023年雨露计划项目因进度滞后被乡村振兴局（铜乡振〔2023〕19号）通报一次，其余项目实施管理日常表现良好，未被通报和问题反馈情况 。</w:t>
      </w:r>
    </w:p>
    <w:p w14:paraId="500F21E2">
      <w:pPr>
        <w:spacing w:line="360" w:lineRule="auto"/>
        <w:ind w:firstLine="482" w:firstLineChars="200"/>
        <w:outlineLvl w:val="0"/>
        <w:rPr>
          <w:rFonts w:ascii="Arial Narrow" w:hAnsi="Arial Narrow" w:eastAsiaTheme="minorEastAsia"/>
          <w:b/>
          <w:sz w:val="24"/>
        </w:rPr>
      </w:pPr>
      <w:bookmarkStart w:id="30" w:name="_Toc171610593"/>
      <w:r>
        <w:rPr>
          <w:rFonts w:ascii="Arial Narrow" w:hAnsi="Arial Narrow" w:eastAsiaTheme="minorEastAsia"/>
          <w:b/>
          <w:sz w:val="24"/>
        </w:rPr>
        <w:t>五、存在的问题和建议</w:t>
      </w:r>
      <w:bookmarkEnd w:id="30"/>
    </w:p>
    <w:p w14:paraId="3BC73A9F">
      <w:pPr>
        <w:spacing w:line="360" w:lineRule="auto"/>
        <w:ind w:firstLine="482" w:firstLineChars="200"/>
        <w:jc w:val="left"/>
        <w:outlineLvl w:val="0"/>
        <w:rPr>
          <w:rFonts w:ascii="Arial Narrow" w:hAnsi="Arial Narrow" w:eastAsiaTheme="minorEastAsia"/>
          <w:b/>
          <w:sz w:val="24"/>
        </w:rPr>
      </w:pPr>
      <w:bookmarkStart w:id="31" w:name="_Toc171610594"/>
      <w:r>
        <w:rPr>
          <w:rFonts w:ascii="Arial Narrow" w:hAnsi="Arial Narrow" w:eastAsiaTheme="minorEastAsia"/>
          <w:b/>
          <w:sz w:val="24"/>
        </w:rPr>
        <w:t>（一）存在问题</w:t>
      </w:r>
      <w:bookmarkEnd w:id="31"/>
    </w:p>
    <w:p w14:paraId="7DBFDD4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资料归档不及时，装订成册的归档资料中缺部分村镇的公示资料；档案管理中部分资料未见盖章。</w:t>
      </w:r>
    </w:p>
    <w:p w14:paraId="27985CB2">
      <w:pPr>
        <w:spacing w:line="360" w:lineRule="auto"/>
        <w:ind w:firstLine="482" w:firstLineChars="200"/>
        <w:jc w:val="left"/>
        <w:outlineLvl w:val="0"/>
        <w:rPr>
          <w:rFonts w:ascii="Arial Narrow" w:hAnsi="Arial Narrow" w:eastAsiaTheme="minorEastAsia"/>
          <w:b/>
          <w:sz w:val="24"/>
        </w:rPr>
      </w:pPr>
      <w:bookmarkStart w:id="32" w:name="_Toc171610595"/>
      <w:r>
        <w:rPr>
          <w:rFonts w:ascii="Arial Narrow" w:hAnsi="Arial Narrow" w:eastAsiaTheme="minorEastAsia"/>
          <w:b/>
          <w:sz w:val="24"/>
        </w:rPr>
        <w:t>（二）建议</w:t>
      </w:r>
      <w:bookmarkEnd w:id="32"/>
    </w:p>
    <w:p w14:paraId="3497A1F9">
      <w:pPr>
        <w:adjustRightInd w:val="0"/>
        <w:snapToGrid w:val="0"/>
        <w:spacing w:line="360" w:lineRule="auto"/>
        <w:ind w:firstLine="480" w:firstLineChars="200"/>
        <w:rPr>
          <w:rStyle w:val="11"/>
          <w:rFonts w:ascii="Arial Narrow" w:hAnsi="Arial Narrow" w:eastAsiaTheme="minorEastAsia"/>
          <w:color w:val="auto"/>
          <w:sz w:val="24"/>
          <w:u w:val="none"/>
        </w:rPr>
      </w:pPr>
      <w:r>
        <w:rPr>
          <w:rFonts w:ascii="Arial Narrow" w:hAnsi="Arial Narrow" w:eastAsiaTheme="minorEastAsia"/>
          <w:sz w:val="24"/>
        </w:rPr>
        <w:t>建立健全资料管理制度，及时检查归档资料是否完备，确保</w:t>
      </w:r>
      <w:r>
        <w:rPr>
          <w:rStyle w:val="11"/>
          <w:rFonts w:ascii="Arial Narrow" w:hAnsi="Arial Narrow" w:eastAsiaTheme="minorEastAsia"/>
          <w:color w:val="auto"/>
          <w:sz w:val="24"/>
          <w:u w:val="none"/>
        </w:rPr>
        <w:t>资料的完整性，避免造成资料的缺失遗漏。</w:t>
      </w:r>
    </w:p>
    <w:p w14:paraId="31589BCC">
      <w:pPr>
        <w:adjustRightInd w:val="0"/>
        <w:snapToGrid w:val="0"/>
        <w:spacing w:line="360" w:lineRule="auto"/>
        <w:ind w:firstLine="480" w:firstLineChars="200"/>
        <w:rPr>
          <w:rStyle w:val="11"/>
          <w:rFonts w:ascii="Arial Narrow" w:hAnsi="Arial Narrow" w:eastAsiaTheme="minorEastAsia"/>
          <w:color w:val="auto"/>
          <w:sz w:val="24"/>
          <w:u w:val="none"/>
        </w:rPr>
      </w:pPr>
    </w:p>
    <w:p w14:paraId="6CEEAD72">
      <w:pPr>
        <w:adjustRightInd w:val="0"/>
        <w:snapToGrid w:val="0"/>
        <w:spacing w:line="360" w:lineRule="auto"/>
        <w:ind w:firstLine="480" w:firstLineChars="200"/>
        <w:rPr>
          <w:rStyle w:val="11"/>
          <w:rFonts w:ascii="Arial Narrow" w:hAnsi="Arial Narrow" w:eastAsiaTheme="minorEastAsia"/>
          <w:color w:val="auto"/>
          <w:sz w:val="24"/>
          <w:u w:val="none"/>
        </w:rPr>
      </w:pPr>
    </w:p>
    <w:p w14:paraId="1B12A508">
      <w:pPr>
        <w:adjustRightInd w:val="0"/>
        <w:snapToGrid w:val="0"/>
        <w:spacing w:line="360" w:lineRule="auto"/>
        <w:ind w:firstLine="420" w:firstLineChars="200"/>
        <w:rPr>
          <w:rStyle w:val="11"/>
          <w:rFonts w:ascii="Arial Narrow" w:hAnsi="Arial Narrow" w:eastAsiaTheme="minorEastAsia"/>
          <w:color w:val="auto"/>
          <w:u w:val="none"/>
        </w:rPr>
      </w:pPr>
    </w:p>
    <w:p w14:paraId="4C0F24D5">
      <w:pPr>
        <w:adjustRightInd w:val="0"/>
        <w:snapToGrid w:val="0"/>
        <w:spacing w:line="360" w:lineRule="auto"/>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附件：1</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铜梁区衔接资金项目绩效评价及考核指标评分表；</w:t>
      </w:r>
    </w:p>
    <w:p w14:paraId="618CCE8D">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ascii="Arial Narrow" w:hAnsi="Arial Narrow" w:eastAsiaTheme="minorEastAsia"/>
          <w:color w:val="auto"/>
          <w:sz w:val="24"/>
          <w:u w:val="none"/>
        </w:rPr>
        <w:t>会计师事务所营业执照和资质复印件。</w:t>
      </w:r>
    </w:p>
    <w:p w14:paraId="6D28FE99">
      <w:pPr>
        <w:adjustRightInd w:val="0"/>
        <w:snapToGrid w:val="0"/>
        <w:spacing w:line="360" w:lineRule="auto"/>
        <w:ind w:firstLine="720" w:firstLineChars="300"/>
        <w:rPr>
          <w:rStyle w:val="11"/>
          <w:rFonts w:ascii="Arial Narrow" w:hAnsi="Arial Narrow" w:eastAsiaTheme="minorEastAsia"/>
          <w:color w:val="auto"/>
          <w:sz w:val="24"/>
          <w:u w:val="none"/>
        </w:rPr>
      </w:pPr>
    </w:p>
    <w:p w14:paraId="2BE974EB">
      <w:pPr>
        <w:adjustRightInd w:val="0"/>
        <w:snapToGrid w:val="0"/>
        <w:spacing w:line="360" w:lineRule="auto"/>
        <w:ind w:firstLine="720" w:firstLineChars="300"/>
        <w:rPr>
          <w:rStyle w:val="11"/>
          <w:rFonts w:ascii="Arial Narrow" w:hAnsi="Arial Narrow" w:eastAsiaTheme="minorEastAsia"/>
          <w:color w:val="auto"/>
          <w:sz w:val="24"/>
          <w:u w:val="none"/>
        </w:rPr>
      </w:pPr>
    </w:p>
    <w:p w14:paraId="4D2E0DD3">
      <w:pPr>
        <w:adjustRightInd w:val="0"/>
        <w:snapToGrid w:val="0"/>
        <w:spacing w:line="360" w:lineRule="auto"/>
        <w:ind w:firstLine="720" w:firstLineChars="300"/>
        <w:rPr>
          <w:rStyle w:val="11"/>
          <w:rFonts w:ascii="Arial Narrow" w:hAnsi="Arial Narrow" w:eastAsiaTheme="minorEastAsia"/>
          <w:color w:val="auto"/>
          <w:sz w:val="24"/>
          <w:u w:val="none"/>
        </w:rPr>
      </w:pPr>
    </w:p>
    <w:p w14:paraId="5C5A81D8">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 xml:space="preserve"> 重庆铭鸿金全会计师事务所有限责任公司</w:t>
      </w:r>
    </w:p>
    <w:p w14:paraId="77DB3A05">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r>
        <w:rPr>
          <w:rStyle w:val="11"/>
          <w:rFonts w:ascii="Arial Narrow" w:hAnsi="Arial Narrow" w:eastAsiaTheme="minorEastAsia"/>
          <w:color w:val="auto"/>
          <w:sz w:val="24"/>
          <w:u w:val="none"/>
        </w:rPr>
        <w:t>二四年六月三十日</w:t>
      </w:r>
    </w:p>
    <w:sectPr>
      <w:headerReference r:id="rId4" w:type="default"/>
      <w:footerReference r:id="rId5" w:type="default"/>
      <w:pgSz w:w="11906" w:h="16838"/>
      <w:pgMar w:top="1418" w:right="1418" w:bottom="1134" w:left="1134" w:header="851" w:footer="851"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FFED9">
    <w:pPr>
      <w:pStyle w:val="5"/>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CEB7B">
    <w:pPr>
      <w:pStyle w:val="5"/>
      <w:jc w:val="center"/>
      <w:rPr>
        <w:rFonts w:hint="eastAsia" w:ascii="宋体" w:hAnsi="宋体"/>
      </w:rPr>
    </w:pPr>
    <w:r>
      <mc:AlternateContent>
        <mc:Choice Requires="wps">
          <w:drawing>
            <wp:anchor distT="0" distB="0" distL="114300" distR="114300" simplePos="0" relativeHeight="251659264" behindDoc="0" locked="0" layoutInCell="1" allowOverlap="1">
              <wp:simplePos x="0" y="0"/>
              <wp:positionH relativeFrom="margin">
                <wp:posOffset>2937510</wp:posOffset>
              </wp:positionH>
              <wp:positionV relativeFrom="paragraph">
                <wp:posOffset>-2540</wp:posOffset>
              </wp:positionV>
              <wp:extent cx="165735" cy="1828800"/>
              <wp:effectExtent l="0" t="0" r="5715" b="0"/>
              <wp:wrapNone/>
              <wp:docPr id="1" name="文本框 1"/>
              <wp:cNvGraphicFramePr/>
              <a:graphic xmlns:a="http://schemas.openxmlformats.org/drawingml/2006/main">
                <a:graphicData uri="http://schemas.microsoft.com/office/word/2010/wordprocessingShape">
                  <wps:wsp>
                    <wps:cNvSpPr txBox="1"/>
                    <wps:spPr>
                      <a:xfrm>
                        <a:off x="0" y="0"/>
                        <a:ext cx="16573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205D4">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31.3pt;margin-top:-0.2pt;height:144pt;width:13.05pt;mso-position-horizontal-relative:margin;z-index:251659264;mso-width-relative:page;mso-height-relative:page;" filled="f" stroked="f" coordsize="21600,21600" o:gfxdata="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rrsOg2AAAAAkBAAAPAAAAAAAAAAEAIAAAACIAAABkcnMvZG93bnJldi54bWxQ&#10;SwECFAAUAAAACACHTuJALNIjATACAABWBAAADgAAAAAAAAABACAAAAAnAQAAZHJzL2Uyb0RvYy54&#10;bWxQSwUGAAAAAAYABgBZAQAAyQUAAAAA&#10;">
              <v:fill on="f" focussize="0,0"/>
              <v:stroke on="f" weight="0.5pt"/>
              <v:imagedata o:title=""/>
              <o:lock v:ext="edit" aspectratio="f"/>
              <v:textbox inset="0mm,0mm,0mm,0mm" style="mso-fit-shape-to-text:t;">
                <w:txbxContent>
                  <w:p w14:paraId="744205D4">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C120C">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03CC9"/>
    <w:rsid w:val="00007A67"/>
    <w:rsid w:val="000102E9"/>
    <w:rsid w:val="00023EC4"/>
    <w:rsid w:val="000343D6"/>
    <w:rsid w:val="00035034"/>
    <w:rsid w:val="000525EA"/>
    <w:rsid w:val="000538F1"/>
    <w:rsid w:val="00053DC0"/>
    <w:rsid w:val="00060BD2"/>
    <w:rsid w:val="000637E7"/>
    <w:rsid w:val="00063E0B"/>
    <w:rsid w:val="00066A05"/>
    <w:rsid w:val="000769EE"/>
    <w:rsid w:val="0008236A"/>
    <w:rsid w:val="00085B2C"/>
    <w:rsid w:val="00085C47"/>
    <w:rsid w:val="00086903"/>
    <w:rsid w:val="00096EF3"/>
    <w:rsid w:val="000A2A9C"/>
    <w:rsid w:val="000B69A7"/>
    <w:rsid w:val="000D1A3B"/>
    <w:rsid w:val="000E0D13"/>
    <w:rsid w:val="000E4529"/>
    <w:rsid w:val="000E6A52"/>
    <w:rsid w:val="000F103D"/>
    <w:rsid w:val="000F2B58"/>
    <w:rsid w:val="000F48F5"/>
    <w:rsid w:val="0010003E"/>
    <w:rsid w:val="00104568"/>
    <w:rsid w:val="00125922"/>
    <w:rsid w:val="00125E65"/>
    <w:rsid w:val="0013351F"/>
    <w:rsid w:val="00134388"/>
    <w:rsid w:val="00143A99"/>
    <w:rsid w:val="001468F7"/>
    <w:rsid w:val="00152152"/>
    <w:rsid w:val="00164C87"/>
    <w:rsid w:val="001819DF"/>
    <w:rsid w:val="001A42EB"/>
    <w:rsid w:val="001A5651"/>
    <w:rsid w:val="001C6F32"/>
    <w:rsid w:val="001E0132"/>
    <w:rsid w:val="001F1B30"/>
    <w:rsid w:val="001F3624"/>
    <w:rsid w:val="001F43AE"/>
    <w:rsid w:val="0020106A"/>
    <w:rsid w:val="00204413"/>
    <w:rsid w:val="00216472"/>
    <w:rsid w:val="0022213D"/>
    <w:rsid w:val="0022287F"/>
    <w:rsid w:val="00224D96"/>
    <w:rsid w:val="00226E7E"/>
    <w:rsid w:val="00234390"/>
    <w:rsid w:val="002347ED"/>
    <w:rsid w:val="002360A5"/>
    <w:rsid w:val="00242748"/>
    <w:rsid w:val="00245725"/>
    <w:rsid w:val="002547B9"/>
    <w:rsid w:val="00254FC8"/>
    <w:rsid w:val="00256E35"/>
    <w:rsid w:val="002663D6"/>
    <w:rsid w:val="00276D1C"/>
    <w:rsid w:val="002773F4"/>
    <w:rsid w:val="00282997"/>
    <w:rsid w:val="002914F2"/>
    <w:rsid w:val="00291F3B"/>
    <w:rsid w:val="00294F41"/>
    <w:rsid w:val="002A72C8"/>
    <w:rsid w:val="002B1561"/>
    <w:rsid w:val="002C083D"/>
    <w:rsid w:val="002C36AE"/>
    <w:rsid w:val="002C4BF0"/>
    <w:rsid w:val="002C5020"/>
    <w:rsid w:val="002C7A92"/>
    <w:rsid w:val="002C7EFA"/>
    <w:rsid w:val="002E038F"/>
    <w:rsid w:val="002E09F1"/>
    <w:rsid w:val="002F5600"/>
    <w:rsid w:val="002F7B43"/>
    <w:rsid w:val="00314819"/>
    <w:rsid w:val="00314D84"/>
    <w:rsid w:val="00316D3C"/>
    <w:rsid w:val="00320459"/>
    <w:rsid w:val="00324E2F"/>
    <w:rsid w:val="00325548"/>
    <w:rsid w:val="00325FCC"/>
    <w:rsid w:val="00331DC5"/>
    <w:rsid w:val="003403BC"/>
    <w:rsid w:val="003416DD"/>
    <w:rsid w:val="003550A2"/>
    <w:rsid w:val="00362EF1"/>
    <w:rsid w:val="00364CA3"/>
    <w:rsid w:val="003659EC"/>
    <w:rsid w:val="0037066E"/>
    <w:rsid w:val="00373186"/>
    <w:rsid w:val="00384C3C"/>
    <w:rsid w:val="003879CE"/>
    <w:rsid w:val="00397659"/>
    <w:rsid w:val="003A00D8"/>
    <w:rsid w:val="003A1ECE"/>
    <w:rsid w:val="003B42BF"/>
    <w:rsid w:val="003C31C4"/>
    <w:rsid w:val="003D02E2"/>
    <w:rsid w:val="003D10AB"/>
    <w:rsid w:val="003D2793"/>
    <w:rsid w:val="003F4B1E"/>
    <w:rsid w:val="003F7E7A"/>
    <w:rsid w:val="004077FE"/>
    <w:rsid w:val="00407CD7"/>
    <w:rsid w:val="00414A58"/>
    <w:rsid w:val="004200C2"/>
    <w:rsid w:val="00420AA7"/>
    <w:rsid w:val="00421311"/>
    <w:rsid w:val="00421C71"/>
    <w:rsid w:val="00431937"/>
    <w:rsid w:val="00460CCA"/>
    <w:rsid w:val="00470930"/>
    <w:rsid w:val="00477B31"/>
    <w:rsid w:val="00493E40"/>
    <w:rsid w:val="004941C5"/>
    <w:rsid w:val="004A7B95"/>
    <w:rsid w:val="004C1F3A"/>
    <w:rsid w:val="004C38B4"/>
    <w:rsid w:val="004D1145"/>
    <w:rsid w:val="004D2A6E"/>
    <w:rsid w:val="004E6833"/>
    <w:rsid w:val="004F367F"/>
    <w:rsid w:val="004F7A0F"/>
    <w:rsid w:val="00501A64"/>
    <w:rsid w:val="00506BB1"/>
    <w:rsid w:val="00536985"/>
    <w:rsid w:val="00565296"/>
    <w:rsid w:val="00572DD6"/>
    <w:rsid w:val="00577297"/>
    <w:rsid w:val="005A427D"/>
    <w:rsid w:val="005E133F"/>
    <w:rsid w:val="005E4847"/>
    <w:rsid w:val="005F01BA"/>
    <w:rsid w:val="005F317A"/>
    <w:rsid w:val="005F3C4E"/>
    <w:rsid w:val="00602DD7"/>
    <w:rsid w:val="0060606D"/>
    <w:rsid w:val="0061001E"/>
    <w:rsid w:val="00613DCA"/>
    <w:rsid w:val="0061417A"/>
    <w:rsid w:val="006329B8"/>
    <w:rsid w:val="006553BC"/>
    <w:rsid w:val="00655510"/>
    <w:rsid w:val="00662ED7"/>
    <w:rsid w:val="00663B5C"/>
    <w:rsid w:val="006769DF"/>
    <w:rsid w:val="0068522F"/>
    <w:rsid w:val="00695D82"/>
    <w:rsid w:val="0069678B"/>
    <w:rsid w:val="006A58E0"/>
    <w:rsid w:val="006D14F7"/>
    <w:rsid w:val="006E3588"/>
    <w:rsid w:val="006E75D6"/>
    <w:rsid w:val="006E7DA1"/>
    <w:rsid w:val="006F2C56"/>
    <w:rsid w:val="006F7CBD"/>
    <w:rsid w:val="007065FE"/>
    <w:rsid w:val="00717B7E"/>
    <w:rsid w:val="0072082C"/>
    <w:rsid w:val="0073019B"/>
    <w:rsid w:val="00730A8E"/>
    <w:rsid w:val="00740E9D"/>
    <w:rsid w:val="00741402"/>
    <w:rsid w:val="007545D5"/>
    <w:rsid w:val="0077715B"/>
    <w:rsid w:val="00786924"/>
    <w:rsid w:val="007963CF"/>
    <w:rsid w:val="007A65B4"/>
    <w:rsid w:val="007A6BE6"/>
    <w:rsid w:val="007C585D"/>
    <w:rsid w:val="007C7E06"/>
    <w:rsid w:val="007D0A35"/>
    <w:rsid w:val="00806089"/>
    <w:rsid w:val="00824435"/>
    <w:rsid w:val="00827385"/>
    <w:rsid w:val="00842151"/>
    <w:rsid w:val="00856815"/>
    <w:rsid w:val="00866999"/>
    <w:rsid w:val="00873DB9"/>
    <w:rsid w:val="008952B1"/>
    <w:rsid w:val="008A044B"/>
    <w:rsid w:val="008A1CEB"/>
    <w:rsid w:val="008A3E89"/>
    <w:rsid w:val="008B3050"/>
    <w:rsid w:val="008D0C1C"/>
    <w:rsid w:val="008D200A"/>
    <w:rsid w:val="008D4F7C"/>
    <w:rsid w:val="008E609D"/>
    <w:rsid w:val="0090729E"/>
    <w:rsid w:val="00911EE0"/>
    <w:rsid w:val="009226C1"/>
    <w:rsid w:val="00926AF3"/>
    <w:rsid w:val="009309C0"/>
    <w:rsid w:val="00931593"/>
    <w:rsid w:val="0093667D"/>
    <w:rsid w:val="00954F75"/>
    <w:rsid w:val="00973421"/>
    <w:rsid w:val="0097685B"/>
    <w:rsid w:val="00983CB7"/>
    <w:rsid w:val="0099506C"/>
    <w:rsid w:val="009957B8"/>
    <w:rsid w:val="0099666C"/>
    <w:rsid w:val="009B4F6B"/>
    <w:rsid w:val="009C0564"/>
    <w:rsid w:val="009D2E4D"/>
    <w:rsid w:val="009D673D"/>
    <w:rsid w:val="009E4A98"/>
    <w:rsid w:val="009E6908"/>
    <w:rsid w:val="009F1C42"/>
    <w:rsid w:val="00A066D6"/>
    <w:rsid w:val="00A14650"/>
    <w:rsid w:val="00A352D4"/>
    <w:rsid w:val="00A554AB"/>
    <w:rsid w:val="00A619C6"/>
    <w:rsid w:val="00A7381B"/>
    <w:rsid w:val="00A76C4D"/>
    <w:rsid w:val="00A9067F"/>
    <w:rsid w:val="00A922C5"/>
    <w:rsid w:val="00A95CA5"/>
    <w:rsid w:val="00AB0136"/>
    <w:rsid w:val="00AC3880"/>
    <w:rsid w:val="00AC3BB8"/>
    <w:rsid w:val="00AD0284"/>
    <w:rsid w:val="00AE470F"/>
    <w:rsid w:val="00AF58DD"/>
    <w:rsid w:val="00B011A7"/>
    <w:rsid w:val="00B134A6"/>
    <w:rsid w:val="00B156DF"/>
    <w:rsid w:val="00B25A79"/>
    <w:rsid w:val="00B274B1"/>
    <w:rsid w:val="00B37BAB"/>
    <w:rsid w:val="00B7289F"/>
    <w:rsid w:val="00B779A4"/>
    <w:rsid w:val="00B977FA"/>
    <w:rsid w:val="00BA142A"/>
    <w:rsid w:val="00BA212E"/>
    <w:rsid w:val="00BA76D7"/>
    <w:rsid w:val="00BB3674"/>
    <w:rsid w:val="00BC2692"/>
    <w:rsid w:val="00BC7BED"/>
    <w:rsid w:val="00BD6FFD"/>
    <w:rsid w:val="00BD75F7"/>
    <w:rsid w:val="00BE6C05"/>
    <w:rsid w:val="00BF4A94"/>
    <w:rsid w:val="00C01E0F"/>
    <w:rsid w:val="00C02FB6"/>
    <w:rsid w:val="00C107C7"/>
    <w:rsid w:val="00C121A7"/>
    <w:rsid w:val="00C12443"/>
    <w:rsid w:val="00C1679A"/>
    <w:rsid w:val="00C35442"/>
    <w:rsid w:val="00C36A73"/>
    <w:rsid w:val="00C40338"/>
    <w:rsid w:val="00C4217A"/>
    <w:rsid w:val="00C43388"/>
    <w:rsid w:val="00C53C46"/>
    <w:rsid w:val="00C60A62"/>
    <w:rsid w:val="00C80377"/>
    <w:rsid w:val="00C8677E"/>
    <w:rsid w:val="00C87D50"/>
    <w:rsid w:val="00CA3922"/>
    <w:rsid w:val="00CB22FF"/>
    <w:rsid w:val="00CB54FB"/>
    <w:rsid w:val="00CC769D"/>
    <w:rsid w:val="00CD46B4"/>
    <w:rsid w:val="00CE181A"/>
    <w:rsid w:val="00CF0681"/>
    <w:rsid w:val="00CF0849"/>
    <w:rsid w:val="00D1562E"/>
    <w:rsid w:val="00D254D3"/>
    <w:rsid w:val="00D26E16"/>
    <w:rsid w:val="00D415D5"/>
    <w:rsid w:val="00D61E0C"/>
    <w:rsid w:val="00D61F80"/>
    <w:rsid w:val="00D87042"/>
    <w:rsid w:val="00DA49CA"/>
    <w:rsid w:val="00DB3B16"/>
    <w:rsid w:val="00DB55F0"/>
    <w:rsid w:val="00DD1941"/>
    <w:rsid w:val="00DD1B8C"/>
    <w:rsid w:val="00DD1DF2"/>
    <w:rsid w:val="00DF504E"/>
    <w:rsid w:val="00E035A0"/>
    <w:rsid w:val="00E065AA"/>
    <w:rsid w:val="00E1143D"/>
    <w:rsid w:val="00E21C27"/>
    <w:rsid w:val="00E23D6E"/>
    <w:rsid w:val="00E27A95"/>
    <w:rsid w:val="00E458BD"/>
    <w:rsid w:val="00E53B0A"/>
    <w:rsid w:val="00E66C12"/>
    <w:rsid w:val="00E67B82"/>
    <w:rsid w:val="00E709E2"/>
    <w:rsid w:val="00E80BDA"/>
    <w:rsid w:val="00E872F3"/>
    <w:rsid w:val="00E91097"/>
    <w:rsid w:val="00E91C95"/>
    <w:rsid w:val="00EA195F"/>
    <w:rsid w:val="00EA1C10"/>
    <w:rsid w:val="00EA30BF"/>
    <w:rsid w:val="00EB474C"/>
    <w:rsid w:val="00EB52C5"/>
    <w:rsid w:val="00ED0A8C"/>
    <w:rsid w:val="00EE279E"/>
    <w:rsid w:val="00EF1860"/>
    <w:rsid w:val="00F07984"/>
    <w:rsid w:val="00F167DA"/>
    <w:rsid w:val="00F229BD"/>
    <w:rsid w:val="00F30DC3"/>
    <w:rsid w:val="00F31057"/>
    <w:rsid w:val="00F36680"/>
    <w:rsid w:val="00F40157"/>
    <w:rsid w:val="00F4160A"/>
    <w:rsid w:val="00F45323"/>
    <w:rsid w:val="00F50927"/>
    <w:rsid w:val="00F51277"/>
    <w:rsid w:val="00F54C3F"/>
    <w:rsid w:val="00F612AC"/>
    <w:rsid w:val="00F61D28"/>
    <w:rsid w:val="00F64D50"/>
    <w:rsid w:val="00F6551E"/>
    <w:rsid w:val="00F84DF0"/>
    <w:rsid w:val="00F85329"/>
    <w:rsid w:val="00F85A77"/>
    <w:rsid w:val="00F91D4D"/>
    <w:rsid w:val="00F95C96"/>
    <w:rsid w:val="00F96185"/>
    <w:rsid w:val="00FA6718"/>
    <w:rsid w:val="00FD1A79"/>
    <w:rsid w:val="00FD5F18"/>
    <w:rsid w:val="00FE0FA0"/>
    <w:rsid w:val="00FE1E65"/>
    <w:rsid w:val="00FE5705"/>
    <w:rsid w:val="00FF09B7"/>
    <w:rsid w:val="00FF2EB8"/>
    <w:rsid w:val="00FF5AA5"/>
    <w:rsid w:val="02717C9D"/>
    <w:rsid w:val="05E83F8E"/>
    <w:rsid w:val="08CD1328"/>
    <w:rsid w:val="091B3023"/>
    <w:rsid w:val="0C955D75"/>
    <w:rsid w:val="10FD0312"/>
    <w:rsid w:val="120E6874"/>
    <w:rsid w:val="14C66C34"/>
    <w:rsid w:val="1D3F37DA"/>
    <w:rsid w:val="247E276B"/>
    <w:rsid w:val="270731DD"/>
    <w:rsid w:val="357129F4"/>
    <w:rsid w:val="36701DDD"/>
    <w:rsid w:val="371050B8"/>
    <w:rsid w:val="45947F31"/>
    <w:rsid w:val="49492712"/>
    <w:rsid w:val="4DF1278B"/>
    <w:rsid w:val="52D47D21"/>
    <w:rsid w:val="5D9055F3"/>
    <w:rsid w:val="60087B46"/>
    <w:rsid w:val="629B4EDD"/>
    <w:rsid w:val="658C1130"/>
    <w:rsid w:val="6C0B491D"/>
    <w:rsid w:val="70821F56"/>
    <w:rsid w:val="77404B9B"/>
    <w:rsid w:val="78E42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8"/>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character" w:customStyle="1" w:styleId="18">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7612</Words>
  <Characters>8212</Characters>
  <Lines>68</Lines>
  <Paragraphs>19</Paragraphs>
  <TotalTime>919</TotalTime>
  <ScaleCrop>false</ScaleCrop>
  <LinksUpToDate>false</LinksUpToDate>
  <CharactersWithSpaces>8243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2024-07-29T09:41:00Z</cp:lastPrinted>
  <dcterms:modified xsi:type="dcterms:W3CDTF">2024-11-20T02:39:55Z</dcterms:modified>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BF1CBDFF4CEC4D50B6A3ABDF09AE593A_13</vt:lpwstr>
  </property>
</Properties>
</file>