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F3291">
      <w:pPr>
        <w:spacing w:line="360" w:lineRule="auto"/>
        <w:jc w:val="center"/>
        <w:rPr>
          <w:rFonts w:ascii="Arial Narrow" w:hAnsi="Arial Narrow"/>
          <w:b/>
          <w:bCs/>
          <w:sz w:val="36"/>
          <w:szCs w:val="36"/>
        </w:rPr>
      </w:pPr>
    </w:p>
    <w:p w14:paraId="2E324D97">
      <w:pPr>
        <w:spacing w:line="360" w:lineRule="auto"/>
        <w:jc w:val="center"/>
        <w:rPr>
          <w:rFonts w:ascii="Arial Narrow" w:hAnsi="Arial Narrow"/>
          <w:b/>
          <w:bCs/>
          <w:sz w:val="36"/>
          <w:szCs w:val="36"/>
        </w:rPr>
      </w:pPr>
    </w:p>
    <w:p w14:paraId="451A8562">
      <w:pPr>
        <w:spacing w:line="360" w:lineRule="auto"/>
        <w:jc w:val="center"/>
        <w:rPr>
          <w:rFonts w:ascii="Arial Narrow" w:hAnsi="Arial Narrow"/>
          <w:b/>
          <w:bCs/>
          <w:sz w:val="36"/>
          <w:szCs w:val="36"/>
        </w:rPr>
      </w:pPr>
    </w:p>
    <w:p w14:paraId="0CF7E7B7">
      <w:pPr>
        <w:spacing w:line="360" w:lineRule="auto"/>
        <w:jc w:val="center"/>
        <w:rPr>
          <w:rFonts w:ascii="Arial Narrow" w:hAnsi="Arial Narrow"/>
          <w:b/>
          <w:bCs/>
          <w:sz w:val="36"/>
          <w:szCs w:val="36"/>
        </w:rPr>
      </w:pPr>
    </w:p>
    <w:p w14:paraId="5EE987E6">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重庆市铜梁区乡村振兴局小额信贷贴息项目等5个项目</w:t>
      </w:r>
    </w:p>
    <w:p w14:paraId="2FEFACBC">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5179435E">
      <w:pPr>
        <w:adjustRightInd w:val="0"/>
        <w:snapToGrid w:val="0"/>
        <w:spacing w:line="360" w:lineRule="auto"/>
        <w:jc w:val="center"/>
        <w:rPr>
          <w:rFonts w:ascii="Arial Narrow" w:hAnsi="Arial Narrow"/>
          <w:b/>
          <w:sz w:val="36"/>
          <w:szCs w:val="36"/>
        </w:rPr>
      </w:pPr>
    </w:p>
    <w:p w14:paraId="05F78D03">
      <w:pPr>
        <w:adjustRightInd w:val="0"/>
        <w:snapToGrid w:val="0"/>
        <w:spacing w:line="360" w:lineRule="auto"/>
        <w:jc w:val="center"/>
        <w:rPr>
          <w:rFonts w:ascii="Arial Narrow" w:hAnsi="Arial Narrow"/>
          <w:b/>
          <w:spacing w:val="100"/>
          <w:sz w:val="32"/>
          <w:szCs w:val="32"/>
        </w:rPr>
      </w:pPr>
    </w:p>
    <w:p w14:paraId="28ADB87B">
      <w:pPr>
        <w:adjustRightInd w:val="0"/>
        <w:snapToGrid w:val="0"/>
        <w:spacing w:line="360" w:lineRule="auto"/>
        <w:jc w:val="center"/>
        <w:rPr>
          <w:rFonts w:ascii="Arial Narrow" w:hAnsi="Arial Narrow"/>
          <w:b/>
          <w:spacing w:val="100"/>
          <w:sz w:val="32"/>
          <w:szCs w:val="32"/>
        </w:rPr>
      </w:pPr>
    </w:p>
    <w:p w14:paraId="1A1D7132">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0CD21713">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056</w:t>
      </w:r>
      <w:r>
        <w:rPr>
          <w:rFonts w:ascii="Arial Narrow" w:hAnsi="Arial Narrow" w:eastAsia="仿宋"/>
          <w:bCs/>
          <w:sz w:val="32"/>
          <w:szCs w:val="32"/>
        </w:rPr>
        <w:t>号</w:t>
      </w:r>
    </w:p>
    <w:p w14:paraId="1117A6DF">
      <w:pPr>
        <w:adjustRightInd w:val="0"/>
        <w:snapToGrid w:val="0"/>
        <w:spacing w:line="360" w:lineRule="auto"/>
        <w:jc w:val="center"/>
        <w:rPr>
          <w:rFonts w:ascii="Arial Narrow" w:hAnsi="Arial Narrow"/>
          <w:b/>
          <w:spacing w:val="100"/>
          <w:sz w:val="32"/>
          <w:szCs w:val="32"/>
        </w:rPr>
      </w:pPr>
    </w:p>
    <w:p w14:paraId="45727319">
      <w:pPr>
        <w:adjustRightInd w:val="0"/>
        <w:snapToGrid w:val="0"/>
        <w:spacing w:line="360" w:lineRule="auto"/>
        <w:jc w:val="center"/>
        <w:rPr>
          <w:rFonts w:ascii="Arial Narrow" w:hAnsi="Arial Narrow"/>
          <w:b/>
          <w:spacing w:val="100"/>
          <w:sz w:val="32"/>
          <w:szCs w:val="32"/>
        </w:rPr>
      </w:pPr>
    </w:p>
    <w:p w14:paraId="77AF3DCF">
      <w:pPr>
        <w:adjustRightInd w:val="0"/>
        <w:snapToGrid w:val="0"/>
        <w:spacing w:line="360" w:lineRule="auto"/>
        <w:jc w:val="center"/>
        <w:rPr>
          <w:rFonts w:ascii="Arial Narrow" w:hAnsi="Arial Narrow"/>
          <w:b/>
          <w:spacing w:val="100"/>
          <w:sz w:val="32"/>
          <w:szCs w:val="32"/>
        </w:rPr>
      </w:pPr>
    </w:p>
    <w:p w14:paraId="6C87E845">
      <w:pPr>
        <w:adjustRightInd w:val="0"/>
        <w:snapToGrid w:val="0"/>
        <w:spacing w:line="360" w:lineRule="auto"/>
        <w:jc w:val="center"/>
        <w:rPr>
          <w:rFonts w:ascii="Arial Narrow" w:hAnsi="Arial Narrow"/>
          <w:b/>
          <w:spacing w:val="100"/>
          <w:sz w:val="32"/>
          <w:szCs w:val="32"/>
        </w:rPr>
      </w:pPr>
    </w:p>
    <w:p w14:paraId="70E222F7">
      <w:pPr>
        <w:adjustRightInd w:val="0"/>
        <w:snapToGrid w:val="0"/>
        <w:spacing w:line="360" w:lineRule="auto"/>
        <w:jc w:val="center"/>
        <w:rPr>
          <w:rFonts w:ascii="Arial Narrow" w:hAnsi="Arial Narrow"/>
          <w:b/>
          <w:spacing w:val="100"/>
          <w:sz w:val="32"/>
          <w:szCs w:val="32"/>
        </w:rPr>
      </w:pPr>
    </w:p>
    <w:p w14:paraId="5A4D9C8F">
      <w:pPr>
        <w:adjustRightInd w:val="0"/>
        <w:snapToGrid w:val="0"/>
        <w:spacing w:line="360" w:lineRule="auto"/>
        <w:jc w:val="center"/>
        <w:rPr>
          <w:rFonts w:ascii="Arial Narrow" w:hAnsi="Arial Narrow"/>
          <w:b/>
          <w:spacing w:val="100"/>
          <w:sz w:val="32"/>
          <w:szCs w:val="32"/>
        </w:rPr>
      </w:pPr>
    </w:p>
    <w:p w14:paraId="1FE76719">
      <w:pPr>
        <w:adjustRightInd w:val="0"/>
        <w:snapToGrid w:val="0"/>
        <w:spacing w:line="360" w:lineRule="auto"/>
        <w:jc w:val="center"/>
        <w:rPr>
          <w:rFonts w:ascii="Arial Narrow" w:hAnsi="Arial Narrow"/>
          <w:b/>
          <w:spacing w:val="100"/>
          <w:sz w:val="32"/>
          <w:szCs w:val="32"/>
        </w:rPr>
      </w:pPr>
    </w:p>
    <w:p w14:paraId="1D7D126C">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41CCC2A4">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68871D29">
      <w:pPr>
        <w:spacing w:line="360" w:lineRule="auto"/>
        <w:jc w:val="center"/>
        <w:rPr>
          <w:rFonts w:ascii="Arial Narrow" w:hAnsi="Arial Narrow"/>
          <w:sz w:val="24"/>
        </w:rPr>
      </w:pPr>
    </w:p>
    <w:p w14:paraId="6348F2C7">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_Toc6928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_Toc6928 \h </w:instrText>
      </w:r>
      <w:r>
        <w:fldChar w:fldCharType="separate"/>
      </w:r>
      <w:r>
        <w:t>1</w:t>
      </w:r>
      <w:r>
        <w:fldChar w:fldCharType="end"/>
      </w:r>
      <w:r>
        <w:rPr>
          <w:rFonts w:ascii="仿宋" w:hAnsi="仿宋" w:eastAsia="仿宋"/>
          <w:bCs w:val="0"/>
          <w:color w:val="auto"/>
          <w:szCs w:val="21"/>
          <w:u w:val="none"/>
        </w:rPr>
        <w:fldChar w:fldCharType="end"/>
      </w:r>
    </w:p>
    <w:p w14:paraId="19E616F2">
      <w:pPr>
        <w:pStyle w:val="6"/>
        <w:tabs>
          <w:tab w:val="right" w:leader="dot" w:pos="8788"/>
          <w:tab w:val="clear" w:pos="8778"/>
        </w:tabs>
      </w:pPr>
      <w:r>
        <w:rPr>
          <w:color w:val="auto"/>
          <w:szCs w:val="21"/>
          <w:u w:val="none"/>
        </w:rPr>
        <w:fldChar w:fldCharType="begin"/>
      </w:r>
      <w:r>
        <w:rPr>
          <w:szCs w:val="21"/>
        </w:rPr>
        <w:instrText xml:space="preserve"> HYPERLINK \l _Toc5075 </w:instrText>
      </w:r>
      <w:r>
        <w:rPr>
          <w:szCs w:val="21"/>
        </w:rPr>
        <w:fldChar w:fldCharType="separate"/>
      </w:r>
      <w:r>
        <w:rPr>
          <w:rFonts w:hint="eastAsia" w:ascii="Arial Narrow" w:hAnsi="Arial Narrow" w:eastAsia="仿宋" w:cs="宋体"/>
          <w:bCs/>
          <w:kern w:val="0"/>
          <w:szCs w:val="24"/>
        </w:rPr>
        <w:t>（一）项目情况</w:t>
      </w:r>
      <w:r>
        <w:tab/>
      </w:r>
      <w:r>
        <w:fldChar w:fldCharType="begin"/>
      </w:r>
      <w:r>
        <w:instrText xml:space="preserve"> PAGEREF _Toc5075 \h </w:instrText>
      </w:r>
      <w:r>
        <w:fldChar w:fldCharType="separate"/>
      </w:r>
      <w:r>
        <w:t>1</w:t>
      </w:r>
      <w:r>
        <w:fldChar w:fldCharType="end"/>
      </w:r>
      <w:r>
        <w:rPr>
          <w:color w:val="auto"/>
          <w:szCs w:val="21"/>
          <w:u w:val="none"/>
        </w:rPr>
        <w:fldChar w:fldCharType="end"/>
      </w:r>
    </w:p>
    <w:p w14:paraId="5518B23D">
      <w:pPr>
        <w:pStyle w:val="6"/>
        <w:tabs>
          <w:tab w:val="right" w:leader="dot" w:pos="8788"/>
          <w:tab w:val="clear" w:pos="8778"/>
        </w:tabs>
      </w:pPr>
      <w:r>
        <w:rPr>
          <w:color w:val="auto"/>
          <w:szCs w:val="21"/>
          <w:u w:val="none"/>
        </w:rPr>
        <w:fldChar w:fldCharType="begin"/>
      </w:r>
      <w:r>
        <w:rPr>
          <w:szCs w:val="21"/>
        </w:rPr>
        <w:instrText xml:space="preserve"> HYPERLINK \l _Toc11411 </w:instrText>
      </w:r>
      <w:r>
        <w:rPr>
          <w:szCs w:val="21"/>
        </w:rPr>
        <w:fldChar w:fldCharType="separate"/>
      </w:r>
      <w:r>
        <w:rPr>
          <w:rFonts w:ascii="Arial Narrow" w:hAnsi="Arial Narrow" w:eastAsia="仿宋_GB2312"/>
          <w:szCs w:val="24"/>
        </w:rPr>
        <w:t>二、绩效评价工作情况</w:t>
      </w:r>
      <w:r>
        <w:tab/>
      </w:r>
      <w:r>
        <w:fldChar w:fldCharType="begin"/>
      </w:r>
      <w:r>
        <w:instrText xml:space="preserve"> PAGEREF _Toc11411 \h </w:instrText>
      </w:r>
      <w:r>
        <w:fldChar w:fldCharType="separate"/>
      </w:r>
      <w:r>
        <w:t>2</w:t>
      </w:r>
      <w:r>
        <w:fldChar w:fldCharType="end"/>
      </w:r>
      <w:r>
        <w:rPr>
          <w:color w:val="auto"/>
          <w:szCs w:val="21"/>
          <w:u w:val="none"/>
        </w:rPr>
        <w:fldChar w:fldCharType="end"/>
      </w:r>
    </w:p>
    <w:p w14:paraId="53640F28">
      <w:pPr>
        <w:pStyle w:val="6"/>
        <w:tabs>
          <w:tab w:val="right" w:leader="dot" w:pos="8788"/>
          <w:tab w:val="clear" w:pos="8778"/>
        </w:tabs>
      </w:pPr>
      <w:r>
        <w:rPr>
          <w:color w:val="auto"/>
          <w:szCs w:val="21"/>
          <w:u w:val="none"/>
        </w:rPr>
        <w:fldChar w:fldCharType="begin"/>
      </w:r>
      <w:r>
        <w:rPr>
          <w:szCs w:val="21"/>
        </w:rPr>
        <w:instrText xml:space="preserve"> HYPERLINK \l _Toc8999 </w:instrText>
      </w:r>
      <w:r>
        <w:rPr>
          <w:szCs w:val="21"/>
        </w:rPr>
        <w:fldChar w:fldCharType="separate"/>
      </w:r>
      <w:r>
        <w:rPr>
          <w:rFonts w:ascii="Arial Narrow" w:hAnsi="Arial Narrow" w:eastAsia="仿宋_GB2312"/>
          <w:szCs w:val="24"/>
        </w:rPr>
        <w:t>（一）绩效评价目的</w:t>
      </w:r>
      <w:r>
        <w:tab/>
      </w:r>
      <w:r>
        <w:fldChar w:fldCharType="begin"/>
      </w:r>
      <w:r>
        <w:instrText xml:space="preserve"> PAGEREF _Toc8999 \h </w:instrText>
      </w:r>
      <w:r>
        <w:fldChar w:fldCharType="separate"/>
      </w:r>
      <w:r>
        <w:t>2</w:t>
      </w:r>
      <w:r>
        <w:fldChar w:fldCharType="end"/>
      </w:r>
      <w:r>
        <w:rPr>
          <w:color w:val="auto"/>
          <w:szCs w:val="21"/>
          <w:u w:val="none"/>
        </w:rPr>
        <w:fldChar w:fldCharType="end"/>
      </w:r>
    </w:p>
    <w:p w14:paraId="5FE18157">
      <w:pPr>
        <w:pStyle w:val="6"/>
        <w:tabs>
          <w:tab w:val="right" w:leader="dot" w:pos="8788"/>
          <w:tab w:val="clear" w:pos="8778"/>
        </w:tabs>
      </w:pPr>
      <w:r>
        <w:rPr>
          <w:color w:val="auto"/>
          <w:szCs w:val="21"/>
          <w:u w:val="none"/>
        </w:rPr>
        <w:fldChar w:fldCharType="begin"/>
      </w:r>
      <w:r>
        <w:rPr>
          <w:szCs w:val="21"/>
        </w:rPr>
        <w:instrText xml:space="preserve"> HYPERLINK \l _Toc24355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_Toc24355 \h </w:instrText>
      </w:r>
      <w:r>
        <w:fldChar w:fldCharType="separate"/>
      </w:r>
      <w:r>
        <w:t>2</w:t>
      </w:r>
      <w:r>
        <w:fldChar w:fldCharType="end"/>
      </w:r>
      <w:r>
        <w:rPr>
          <w:color w:val="auto"/>
          <w:szCs w:val="21"/>
          <w:u w:val="none"/>
        </w:rPr>
        <w:fldChar w:fldCharType="end"/>
      </w:r>
    </w:p>
    <w:p w14:paraId="7959A67C">
      <w:pPr>
        <w:pStyle w:val="6"/>
        <w:tabs>
          <w:tab w:val="right" w:leader="dot" w:pos="8788"/>
          <w:tab w:val="clear" w:pos="8778"/>
        </w:tabs>
      </w:pPr>
      <w:r>
        <w:rPr>
          <w:color w:val="auto"/>
          <w:szCs w:val="21"/>
          <w:u w:val="none"/>
        </w:rPr>
        <w:fldChar w:fldCharType="begin"/>
      </w:r>
      <w:r>
        <w:rPr>
          <w:szCs w:val="21"/>
        </w:rPr>
        <w:instrText xml:space="preserve"> HYPERLINK \l _Toc25977 </w:instrText>
      </w:r>
      <w:r>
        <w:rPr>
          <w:szCs w:val="21"/>
        </w:rPr>
        <w:fldChar w:fldCharType="separate"/>
      </w:r>
      <w:r>
        <w:rPr>
          <w:rFonts w:ascii="Arial Narrow" w:hAnsi="Arial Narrow" w:eastAsia="仿宋_GB2312"/>
        </w:rPr>
        <w:t>（三）绩效评价依据</w:t>
      </w:r>
      <w:r>
        <w:tab/>
      </w:r>
      <w:r>
        <w:fldChar w:fldCharType="begin"/>
      </w:r>
      <w:r>
        <w:instrText xml:space="preserve"> PAGEREF _Toc25977 \h </w:instrText>
      </w:r>
      <w:r>
        <w:fldChar w:fldCharType="separate"/>
      </w:r>
      <w:r>
        <w:t>3</w:t>
      </w:r>
      <w:r>
        <w:fldChar w:fldCharType="end"/>
      </w:r>
      <w:r>
        <w:rPr>
          <w:color w:val="auto"/>
          <w:szCs w:val="21"/>
          <w:u w:val="none"/>
        </w:rPr>
        <w:fldChar w:fldCharType="end"/>
      </w:r>
    </w:p>
    <w:p w14:paraId="2CC2734C">
      <w:pPr>
        <w:pStyle w:val="6"/>
        <w:tabs>
          <w:tab w:val="right" w:leader="dot" w:pos="8788"/>
          <w:tab w:val="clear" w:pos="8778"/>
        </w:tabs>
      </w:pPr>
      <w:r>
        <w:rPr>
          <w:color w:val="auto"/>
          <w:szCs w:val="21"/>
          <w:u w:val="none"/>
        </w:rPr>
        <w:fldChar w:fldCharType="begin"/>
      </w:r>
      <w:r>
        <w:rPr>
          <w:szCs w:val="21"/>
        </w:rPr>
        <w:instrText xml:space="preserve"> HYPERLINK \l _Toc5964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_Toc5964 \h </w:instrText>
      </w:r>
      <w:r>
        <w:fldChar w:fldCharType="separate"/>
      </w:r>
      <w:r>
        <w:t>3</w:t>
      </w:r>
      <w:r>
        <w:fldChar w:fldCharType="end"/>
      </w:r>
      <w:r>
        <w:rPr>
          <w:color w:val="auto"/>
          <w:szCs w:val="21"/>
          <w:u w:val="none"/>
        </w:rPr>
        <w:fldChar w:fldCharType="end"/>
      </w:r>
    </w:p>
    <w:p w14:paraId="7687F0EF">
      <w:pPr>
        <w:pStyle w:val="6"/>
        <w:tabs>
          <w:tab w:val="right" w:leader="dot" w:pos="8788"/>
          <w:tab w:val="clear" w:pos="8778"/>
        </w:tabs>
      </w:pPr>
      <w:r>
        <w:rPr>
          <w:color w:val="auto"/>
          <w:szCs w:val="21"/>
          <w:u w:val="none"/>
        </w:rPr>
        <w:fldChar w:fldCharType="begin"/>
      </w:r>
      <w:r>
        <w:rPr>
          <w:szCs w:val="21"/>
        </w:rPr>
        <w:instrText xml:space="preserve"> HYPERLINK \l _Toc6213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_Toc6213 \h </w:instrText>
      </w:r>
      <w:r>
        <w:fldChar w:fldCharType="separate"/>
      </w:r>
      <w:r>
        <w:t>6</w:t>
      </w:r>
      <w:r>
        <w:fldChar w:fldCharType="end"/>
      </w:r>
      <w:r>
        <w:rPr>
          <w:color w:val="auto"/>
          <w:szCs w:val="21"/>
          <w:u w:val="none"/>
        </w:rPr>
        <w:fldChar w:fldCharType="end"/>
      </w:r>
    </w:p>
    <w:p w14:paraId="28E3E06C">
      <w:pPr>
        <w:pStyle w:val="6"/>
        <w:tabs>
          <w:tab w:val="right" w:leader="dot" w:pos="8788"/>
          <w:tab w:val="clear" w:pos="8778"/>
        </w:tabs>
      </w:pPr>
      <w:r>
        <w:rPr>
          <w:color w:val="auto"/>
          <w:szCs w:val="21"/>
          <w:u w:val="none"/>
        </w:rPr>
        <w:fldChar w:fldCharType="begin"/>
      </w:r>
      <w:r>
        <w:rPr>
          <w:szCs w:val="21"/>
        </w:rPr>
        <w:instrText xml:space="preserve"> HYPERLINK \l _Toc25393 </w:instrText>
      </w:r>
      <w:r>
        <w:rPr>
          <w:szCs w:val="21"/>
        </w:rPr>
        <w:fldChar w:fldCharType="separate"/>
      </w:r>
      <w:r>
        <w:rPr>
          <w:rFonts w:ascii="Arial Narrow" w:hAnsi="Arial Narrow" w:eastAsia="仿宋_GB2312"/>
        </w:rPr>
        <w:t>（六）绩效评价工作过程</w:t>
      </w:r>
      <w:r>
        <w:tab/>
      </w:r>
      <w:r>
        <w:fldChar w:fldCharType="begin"/>
      </w:r>
      <w:r>
        <w:instrText xml:space="preserve"> PAGEREF _Toc25393 \h </w:instrText>
      </w:r>
      <w:r>
        <w:fldChar w:fldCharType="separate"/>
      </w:r>
      <w:r>
        <w:t>6</w:t>
      </w:r>
      <w:r>
        <w:fldChar w:fldCharType="end"/>
      </w:r>
      <w:r>
        <w:rPr>
          <w:color w:val="auto"/>
          <w:szCs w:val="21"/>
          <w:u w:val="none"/>
        </w:rPr>
        <w:fldChar w:fldCharType="end"/>
      </w:r>
    </w:p>
    <w:p w14:paraId="64EF2E3E">
      <w:pPr>
        <w:pStyle w:val="6"/>
        <w:tabs>
          <w:tab w:val="right" w:leader="dot" w:pos="8788"/>
          <w:tab w:val="clear" w:pos="8778"/>
        </w:tabs>
      </w:pPr>
      <w:r>
        <w:rPr>
          <w:color w:val="auto"/>
          <w:szCs w:val="21"/>
          <w:u w:val="none"/>
        </w:rPr>
        <w:fldChar w:fldCharType="begin"/>
      </w:r>
      <w:r>
        <w:rPr>
          <w:szCs w:val="21"/>
        </w:rPr>
        <w:instrText xml:space="preserve"> HYPERLINK \l _Toc9556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_Toc9556 \h </w:instrText>
      </w:r>
      <w:r>
        <w:fldChar w:fldCharType="separate"/>
      </w:r>
      <w:r>
        <w:t>7</w:t>
      </w:r>
      <w:r>
        <w:fldChar w:fldCharType="end"/>
      </w:r>
      <w:r>
        <w:rPr>
          <w:color w:val="auto"/>
          <w:szCs w:val="21"/>
          <w:u w:val="none"/>
        </w:rPr>
        <w:fldChar w:fldCharType="end"/>
      </w:r>
    </w:p>
    <w:p w14:paraId="48C39D8D">
      <w:pPr>
        <w:pStyle w:val="6"/>
        <w:tabs>
          <w:tab w:val="right" w:leader="dot" w:pos="8788"/>
          <w:tab w:val="clear" w:pos="8778"/>
        </w:tabs>
      </w:pPr>
      <w:r>
        <w:rPr>
          <w:color w:val="auto"/>
          <w:szCs w:val="21"/>
          <w:u w:val="none"/>
        </w:rPr>
        <w:fldChar w:fldCharType="begin"/>
      </w:r>
      <w:r>
        <w:rPr>
          <w:szCs w:val="21"/>
        </w:rPr>
        <w:instrText xml:space="preserve"> HYPERLINK \l _Toc4325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_Toc4325 \h </w:instrText>
      </w:r>
      <w:r>
        <w:fldChar w:fldCharType="separate"/>
      </w:r>
      <w:r>
        <w:t>7</w:t>
      </w:r>
      <w:r>
        <w:fldChar w:fldCharType="end"/>
      </w:r>
      <w:r>
        <w:rPr>
          <w:color w:val="auto"/>
          <w:szCs w:val="21"/>
          <w:u w:val="none"/>
        </w:rPr>
        <w:fldChar w:fldCharType="end"/>
      </w:r>
    </w:p>
    <w:p w14:paraId="1BFDFFFA">
      <w:pPr>
        <w:pStyle w:val="6"/>
        <w:tabs>
          <w:tab w:val="right" w:leader="dot" w:pos="8788"/>
          <w:tab w:val="clear" w:pos="8778"/>
        </w:tabs>
      </w:pPr>
      <w:r>
        <w:rPr>
          <w:color w:val="auto"/>
          <w:szCs w:val="21"/>
          <w:u w:val="none"/>
        </w:rPr>
        <w:fldChar w:fldCharType="begin"/>
      </w:r>
      <w:r>
        <w:rPr>
          <w:szCs w:val="21"/>
        </w:rPr>
        <w:instrText xml:space="preserve"> HYPERLINK \l _Toc10289 </w:instrText>
      </w:r>
      <w:r>
        <w:rPr>
          <w:szCs w:val="21"/>
        </w:rPr>
        <w:fldChar w:fldCharType="separate"/>
      </w:r>
      <w:r>
        <w:rPr>
          <w:rFonts w:hint="eastAsia" w:ascii="仿宋_GB2312" w:eastAsia="仿宋_GB2312"/>
        </w:rPr>
        <w:t>（一）资金管理</w:t>
      </w:r>
      <w:r>
        <w:tab/>
      </w:r>
      <w:r>
        <w:fldChar w:fldCharType="begin"/>
      </w:r>
      <w:r>
        <w:instrText xml:space="preserve"> PAGEREF _Toc10289 \h </w:instrText>
      </w:r>
      <w:r>
        <w:fldChar w:fldCharType="separate"/>
      </w:r>
      <w:r>
        <w:t>7</w:t>
      </w:r>
      <w:r>
        <w:fldChar w:fldCharType="end"/>
      </w:r>
      <w:r>
        <w:rPr>
          <w:color w:val="auto"/>
          <w:szCs w:val="21"/>
          <w:u w:val="none"/>
        </w:rPr>
        <w:fldChar w:fldCharType="end"/>
      </w:r>
    </w:p>
    <w:p w14:paraId="34C67EB3">
      <w:pPr>
        <w:pStyle w:val="6"/>
        <w:tabs>
          <w:tab w:val="right" w:leader="dot" w:pos="8788"/>
          <w:tab w:val="clear" w:pos="8778"/>
        </w:tabs>
      </w:pPr>
      <w:r>
        <w:rPr>
          <w:color w:val="auto"/>
          <w:szCs w:val="21"/>
          <w:u w:val="none"/>
        </w:rPr>
        <w:fldChar w:fldCharType="begin"/>
      </w:r>
      <w:r>
        <w:rPr>
          <w:szCs w:val="21"/>
        </w:rPr>
        <w:instrText xml:space="preserve"> HYPERLINK \l _Toc17539 </w:instrText>
      </w:r>
      <w:r>
        <w:rPr>
          <w:szCs w:val="21"/>
        </w:rPr>
        <w:fldChar w:fldCharType="separate"/>
      </w:r>
      <w:r>
        <w:rPr>
          <w:rFonts w:hint="eastAsia" w:ascii="仿宋_GB2312" w:eastAsia="仿宋_GB2312"/>
        </w:rPr>
        <w:t>（二）项目管理</w:t>
      </w:r>
      <w:r>
        <w:tab/>
      </w:r>
      <w:r>
        <w:fldChar w:fldCharType="begin"/>
      </w:r>
      <w:r>
        <w:instrText xml:space="preserve"> PAGEREF _Toc17539 \h </w:instrText>
      </w:r>
      <w:r>
        <w:fldChar w:fldCharType="separate"/>
      </w:r>
      <w:r>
        <w:t>7</w:t>
      </w:r>
      <w:r>
        <w:fldChar w:fldCharType="end"/>
      </w:r>
      <w:r>
        <w:rPr>
          <w:color w:val="auto"/>
          <w:szCs w:val="21"/>
          <w:u w:val="none"/>
        </w:rPr>
        <w:fldChar w:fldCharType="end"/>
      </w:r>
    </w:p>
    <w:p w14:paraId="077AFF27">
      <w:pPr>
        <w:pStyle w:val="6"/>
        <w:tabs>
          <w:tab w:val="right" w:leader="dot" w:pos="8788"/>
          <w:tab w:val="clear" w:pos="8778"/>
        </w:tabs>
      </w:pPr>
      <w:r>
        <w:rPr>
          <w:color w:val="auto"/>
          <w:szCs w:val="21"/>
          <w:u w:val="none"/>
        </w:rPr>
        <w:fldChar w:fldCharType="begin"/>
      </w:r>
      <w:r>
        <w:rPr>
          <w:szCs w:val="21"/>
        </w:rPr>
        <w:instrText xml:space="preserve"> HYPERLINK \l _Toc14428 </w:instrText>
      </w:r>
      <w:r>
        <w:rPr>
          <w:szCs w:val="21"/>
        </w:rPr>
        <w:fldChar w:fldCharType="separate"/>
      </w:r>
      <w:r>
        <w:rPr>
          <w:rFonts w:hint="eastAsia" w:ascii="仿宋_GB2312" w:eastAsia="仿宋_GB2312"/>
        </w:rPr>
        <w:t>（三）使用成效及通报情况</w:t>
      </w:r>
      <w:r>
        <w:tab/>
      </w:r>
      <w:r>
        <w:fldChar w:fldCharType="begin"/>
      </w:r>
      <w:r>
        <w:instrText xml:space="preserve"> PAGEREF _Toc14428 \h </w:instrText>
      </w:r>
      <w:r>
        <w:fldChar w:fldCharType="separate"/>
      </w:r>
      <w:r>
        <w:t>8</w:t>
      </w:r>
      <w:r>
        <w:fldChar w:fldCharType="end"/>
      </w:r>
      <w:r>
        <w:rPr>
          <w:color w:val="auto"/>
          <w:szCs w:val="21"/>
          <w:u w:val="none"/>
        </w:rPr>
        <w:fldChar w:fldCharType="end"/>
      </w:r>
    </w:p>
    <w:p w14:paraId="34189D7F">
      <w:pPr>
        <w:pStyle w:val="6"/>
        <w:tabs>
          <w:tab w:val="right" w:leader="dot" w:pos="8788"/>
          <w:tab w:val="clear" w:pos="8778"/>
        </w:tabs>
      </w:pPr>
      <w:r>
        <w:rPr>
          <w:color w:val="auto"/>
          <w:szCs w:val="21"/>
          <w:u w:val="none"/>
        </w:rPr>
        <w:fldChar w:fldCharType="begin"/>
      </w:r>
      <w:r>
        <w:rPr>
          <w:szCs w:val="21"/>
        </w:rPr>
        <w:instrText xml:space="preserve"> HYPERLINK \l _Toc29713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_Toc29713 \h </w:instrText>
      </w:r>
      <w:r>
        <w:fldChar w:fldCharType="separate"/>
      </w:r>
      <w:r>
        <w:t>9</w:t>
      </w:r>
      <w:r>
        <w:fldChar w:fldCharType="end"/>
      </w:r>
      <w:r>
        <w:rPr>
          <w:color w:val="auto"/>
          <w:szCs w:val="21"/>
          <w:u w:val="none"/>
        </w:rPr>
        <w:fldChar w:fldCharType="end"/>
      </w:r>
    </w:p>
    <w:p w14:paraId="6E2223FE">
      <w:pPr>
        <w:pStyle w:val="6"/>
        <w:tabs>
          <w:tab w:val="right" w:leader="dot" w:pos="8788"/>
          <w:tab w:val="clear" w:pos="8778"/>
        </w:tabs>
      </w:pPr>
      <w:r>
        <w:rPr>
          <w:color w:val="auto"/>
          <w:szCs w:val="21"/>
          <w:u w:val="none"/>
        </w:rPr>
        <w:fldChar w:fldCharType="begin"/>
      </w:r>
      <w:r>
        <w:rPr>
          <w:szCs w:val="21"/>
        </w:rPr>
        <w:instrText xml:space="preserve"> HYPERLINK \l _Toc26152 </w:instrText>
      </w:r>
      <w:r>
        <w:rPr>
          <w:szCs w:val="21"/>
        </w:rPr>
        <w:fldChar w:fldCharType="separate"/>
      </w:r>
      <w:r>
        <w:rPr>
          <w:rFonts w:hint="eastAsia" w:ascii="仿宋_GB2312" w:eastAsia="仿宋_GB2312"/>
        </w:rPr>
        <w:t>（一）存在问题</w:t>
      </w:r>
      <w:r>
        <w:tab/>
      </w:r>
      <w:r>
        <w:fldChar w:fldCharType="begin"/>
      </w:r>
      <w:r>
        <w:instrText xml:space="preserve"> PAGEREF _Toc26152 \h </w:instrText>
      </w:r>
      <w:r>
        <w:fldChar w:fldCharType="separate"/>
      </w:r>
      <w:r>
        <w:t>9</w:t>
      </w:r>
      <w:r>
        <w:fldChar w:fldCharType="end"/>
      </w:r>
      <w:r>
        <w:rPr>
          <w:color w:val="auto"/>
          <w:szCs w:val="21"/>
          <w:u w:val="none"/>
        </w:rPr>
        <w:fldChar w:fldCharType="end"/>
      </w:r>
    </w:p>
    <w:p w14:paraId="35748FEC">
      <w:pPr>
        <w:pStyle w:val="6"/>
        <w:tabs>
          <w:tab w:val="right" w:leader="dot" w:pos="8788"/>
          <w:tab w:val="clear" w:pos="8778"/>
        </w:tabs>
      </w:pPr>
      <w:r>
        <w:rPr>
          <w:color w:val="auto"/>
          <w:szCs w:val="21"/>
          <w:u w:val="none"/>
        </w:rPr>
        <w:fldChar w:fldCharType="begin"/>
      </w:r>
      <w:r>
        <w:rPr>
          <w:szCs w:val="21"/>
        </w:rPr>
        <w:instrText xml:space="preserve"> HYPERLINK \l _Toc8048 </w:instrText>
      </w:r>
      <w:r>
        <w:rPr>
          <w:szCs w:val="21"/>
        </w:rPr>
        <w:fldChar w:fldCharType="separate"/>
      </w:r>
      <w:r>
        <w:rPr>
          <w:rFonts w:hint="eastAsia" w:ascii="仿宋_GB2312" w:eastAsia="仿宋_GB2312"/>
        </w:rPr>
        <w:t>（二）建议</w:t>
      </w:r>
      <w:r>
        <w:tab/>
      </w:r>
      <w:r>
        <w:fldChar w:fldCharType="begin"/>
      </w:r>
      <w:r>
        <w:instrText xml:space="preserve"> PAGEREF _Toc8048 \h </w:instrText>
      </w:r>
      <w:r>
        <w:fldChar w:fldCharType="separate"/>
      </w:r>
      <w:r>
        <w:t>9</w:t>
      </w:r>
      <w:r>
        <w:fldChar w:fldCharType="end"/>
      </w:r>
      <w:r>
        <w:rPr>
          <w:color w:val="auto"/>
          <w:szCs w:val="21"/>
          <w:u w:val="none"/>
        </w:rPr>
        <w:fldChar w:fldCharType="end"/>
      </w:r>
    </w:p>
    <w:p w14:paraId="6979B19B">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0B3CFD46">
      <w:pPr>
        <w:spacing w:line="360" w:lineRule="auto"/>
        <w:jc w:val="right"/>
        <w:rPr>
          <w:rFonts w:ascii="Arial Narrow" w:hAnsi="Arial Narrow"/>
          <w:bCs/>
          <w:w w:val="80"/>
          <w:sz w:val="28"/>
          <w:szCs w:val="28"/>
        </w:rPr>
      </w:pPr>
    </w:p>
    <w:p w14:paraId="0212CDDB">
      <w:pPr>
        <w:spacing w:line="360" w:lineRule="auto"/>
        <w:jc w:val="right"/>
        <w:rPr>
          <w:rFonts w:ascii="Arial Narrow" w:hAnsi="Arial Narrow"/>
          <w:bCs/>
          <w:w w:val="80"/>
          <w:sz w:val="28"/>
          <w:szCs w:val="28"/>
        </w:rPr>
      </w:pPr>
    </w:p>
    <w:p w14:paraId="0B08BEA9">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7C9E8C38">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4C79D23D">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056</w:t>
      </w:r>
      <w:r>
        <w:rPr>
          <w:rFonts w:hint="eastAsia" w:ascii="Arial Narrow" w:hAnsi="Arial Narrow" w:eastAsia="仿宋_GB2312"/>
          <w:sz w:val="28"/>
          <w:szCs w:val="28"/>
        </w:rPr>
        <w:t>号</w:t>
      </w:r>
    </w:p>
    <w:p w14:paraId="7ED6C91A">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33B0F6FD">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重庆市铜梁区乡村振兴局小额信贷贴息项目等5个项目</w:t>
      </w:r>
    </w:p>
    <w:p w14:paraId="4952A03B">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4B3A1B03">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重庆市铜梁区乡村振兴局（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振兴局</w:t>
      </w:r>
      <w:r>
        <w:rPr>
          <w:rFonts w:hint="eastAsia" w:ascii="Arial Narrow" w:hAnsi="Arial Narrow" w:eastAsia="仿宋_GB2312"/>
          <w:color w:val="auto"/>
          <w:lang w:eastAsia="zh-CN"/>
        </w:rPr>
        <w:t>”</w:t>
      </w:r>
      <w:r>
        <w:rPr>
          <w:rFonts w:hint="eastAsia" w:ascii="Arial Narrow" w:hAnsi="Arial Narrow" w:eastAsia="仿宋_GB2312"/>
          <w:color w:val="auto"/>
        </w:rPr>
        <w:t>）小额信贷贴息项目等5个项目</w:t>
      </w:r>
      <w:r>
        <w:rPr>
          <w:rFonts w:ascii="Arial Narrow" w:hAnsi="Arial Narrow" w:eastAsia="仿宋_GB2312"/>
          <w:color w:val="auto"/>
        </w:rPr>
        <w:t>进行绩效评价，现将评价情况报告如下：</w:t>
      </w:r>
    </w:p>
    <w:p w14:paraId="46FD6383">
      <w:pPr>
        <w:spacing w:before="240" w:beforeLines="100" w:line="360" w:lineRule="auto"/>
        <w:ind w:firstLine="482" w:firstLineChars="200"/>
        <w:jc w:val="left"/>
        <w:outlineLvl w:val="0"/>
        <w:rPr>
          <w:rFonts w:ascii="Arial Narrow" w:hAnsi="Arial Narrow" w:eastAsia="仿宋_GB2312"/>
          <w:b/>
          <w:sz w:val="24"/>
        </w:rPr>
      </w:pPr>
      <w:bookmarkStart w:id="3" w:name="_Toc6928"/>
      <w:r>
        <w:rPr>
          <w:rFonts w:ascii="Arial Narrow" w:hAnsi="Arial Narrow" w:eastAsia="仿宋_GB2312"/>
          <w:b/>
          <w:sz w:val="24"/>
        </w:rPr>
        <w:t>一、基本情况</w:t>
      </w:r>
      <w:bookmarkEnd w:id="3"/>
    </w:p>
    <w:p w14:paraId="7F530D00">
      <w:pPr>
        <w:spacing w:before="120" w:beforeLines="50" w:line="360" w:lineRule="auto"/>
        <w:ind w:firstLine="482" w:firstLineChars="200"/>
        <w:jc w:val="left"/>
        <w:outlineLvl w:val="0"/>
        <w:rPr>
          <w:rFonts w:ascii="Arial Narrow" w:hAnsi="Arial Narrow" w:eastAsia="仿宋" w:cs="宋体"/>
          <w:b/>
          <w:bCs/>
          <w:kern w:val="0"/>
          <w:sz w:val="24"/>
          <w:szCs w:val="24"/>
        </w:rPr>
      </w:pPr>
      <w:bookmarkStart w:id="4" w:name="_Toc5075"/>
      <w:r>
        <w:rPr>
          <w:rFonts w:hint="eastAsia" w:ascii="Arial Narrow" w:hAnsi="Arial Narrow" w:eastAsia="仿宋" w:cs="宋体"/>
          <w:b/>
          <w:bCs/>
          <w:kern w:val="0"/>
          <w:sz w:val="24"/>
          <w:szCs w:val="24"/>
        </w:rPr>
        <w:t>（一）项目情况</w:t>
      </w:r>
      <w:bookmarkEnd w:id="4"/>
    </w:p>
    <w:p w14:paraId="7643A75B">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1、小额信贷贴息项目</w:t>
      </w:r>
    </w:p>
    <w:p w14:paraId="5951E7BC">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实施单位：重庆市铜梁区乡村振兴局</w:t>
      </w:r>
    </w:p>
    <w:p w14:paraId="0E589A7E">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项目内容：对在重庆市铜梁区各银行贷款的脱贫人口进行贴息。</w:t>
      </w:r>
    </w:p>
    <w:p w14:paraId="508F84E9">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项目资金安排情况：该项目2023年计划投入47.21万元，追加投入11.25万元，实际投入58.46万元，均为上级补助资金。</w:t>
      </w:r>
    </w:p>
    <w:p w14:paraId="327B97B2">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2、数商兴农项目</w:t>
      </w:r>
    </w:p>
    <w:p w14:paraId="476364EB">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实施单位：</w:t>
      </w:r>
      <w:r>
        <w:rPr>
          <w:rFonts w:hint="eastAsia" w:ascii="Arial Narrow" w:hAnsi="Arial Narrow" w:eastAsia="仿宋_GB2312"/>
          <w:sz w:val="24"/>
          <w:szCs w:val="24"/>
        </w:rPr>
        <w:t>重庆市铜梁区乡村振兴局</w:t>
      </w:r>
    </w:p>
    <w:p w14:paraId="3976F7BF">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项目内容：建设数字乡村服务系统及乡村产业服务系统。数字乡村服务包括视频监控系统1套、乡村综合治理服务1套、乡村政务服务软硬一体化系统1套、乡村就业培训服务系统1套，乡村产业服务包括农业物联网服务1套、乡村振兴特色产品公共服务系统1套、乡村产业数据一张图系统1套。</w:t>
      </w:r>
    </w:p>
    <w:p w14:paraId="44815A93">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rPr>
        <w:t>项目资金安</w:t>
      </w:r>
      <w:r>
        <w:rPr>
          <w:rFonts w:hint="eastAsia" w:ascii="Arial Narrow" w:hAnsi="Arial Narrow" w:eastAsia="仿宋_GB2312" w:cs="宋体"/>
          <w:kern w:val="0"/>
          <w:sz w:val="24"/>
          <w:szCs w:val="24"/>
        </w:rPr>
        <w:t>排情况：该项目2023年计划投入50.00万元，调减投入40.71万元，实际投入9.29万元，均为上级补助资金。</w:t>
      </w:r>
    </w:p>
    <w:p w14:paraId="1F1E6825">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3、大学生学费资助项目</w:t>
      </w:r>
    </w:p>
    <w:p w14:paraId="0DD64768">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实施单位：</w:t>
      </w:r>
      <w:r>
        <w:rPr>
          <w:rFonts w:hint="eastAsia" w:ascii="Arial Narrow" w:hAnsi="Arial Narrow" w:eastAsia="仿宋_GB2312"/>
          <w:sz w:val="24"/>
          <w:szCs w:val="24"/>
        </w:rPr>
        <w:t>重庆市铜梁区乡村振兴局</w:t>
      </w:r>
    </w:p>
    <w:p w14:paraId="4152BDC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szCs w:val="24"/>
        </w:rPr>
        <w:t>项目内容：</w:t>
      </w:r>
      <w:r>
        <w:rPr>
          <w:rFonts w:ascii="Arial Narrow" w:hAnsi="Arial Narrow" w:eastAsia="仿宋_GB2312" w:cs="宋体"/>
          <w:kern w:val="0"/>
          <w:sz w:val="24"/>
          <w:szCs w:val="24"/>
        </w:rPr>
        <w:t>按照《关于印发重庆籍建档立卡贫困家庭大学生学费资助资金管理办法（修订）的通知》（渝财教〔2019〕99 号）规定，</w:t>
      </w:r>
      <w:r>
        <w:rPr>
          <w:rFonts w:ascii="Arial Narrow" w:hAnsi="Arial Narrow" w:eastAsia="仿宋_GB2312" w:cs="宋体"/>
          <w:kern w:val="0"/>
          <w:sz w:val="24"/>
        </w:rPr>
        <w:t>重庆籍建档立卡贫困家庭大学生学费资助资金由市级教育资金承担25%、扶贫专项资金承担37.5%、区县财政承担37.5%。</w:t>
      </w:r>
    </w:p>
    <w:p w14:paraId="104FFCCD">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rPr>
        <w:t>项目资金安排情况：该项目2023年计划投入20.00万元，调减投入6.93万元，实际投入13.07万元，均为</w:t>
      </w:r>
      <w:r>
        <w:rPr>
          <w:rFonts w:hint="eastAsia" w:ascii="Arial Narrow" w:hAnsi="Arial Narrow" w:eastAsia="仿宋_GB2312" w:cs="宋体"/>
          <w:kern w:val="0"/>
          <w:sz w:val="24"/>
          <w:szCs w:val="24"/>
        </w:rPr>
        <w:t>上级补助资金。</w:t>
      </w:r>
    </w:p>
    <w:p w14:paraId="6DD9BCE5">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4、致富带头人培育项目</w:t>
      </w:r>
    </w:p>
    <w:p w14:paraId="381B3E8D">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实施单位：</w:t>
      </w:r>
      <w:r>
        <w:rPr>
          <w:rFonts w:hint="eastAsia" w:ascii="Arial Narrow" w:hAnsi="Arial Narrow" w:eastAsia="仿宋_GB2312"/>
          <w:sz w:val="24"/>
          <w:szCs w:val="24"/>
        </w:rPr>
        <w:t>重庆市铜梁区乡村振兴局</w:t>
      </w:r>
    </w:p>
    <w:p w14:paraId="16F7B421">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项目内容：根据中共重庆市铜梁区委农村工作暨实施乡村振兴战略领导小组办公室关于印发《重庆市铜梁区农村致富带头人培养实施方案</w:t>
      </w:r>
      <w:r>
        <w:rPr>
          <w:rFonts w:hint="eastAsia" w:ascii="Arial Narrow" w:hAnsi="Arial Narrow" w:eastAsia="仿宋_GB2312" w:cs="宋体"/>
          <w:kern w:val="0"/>
          <w:sz w:val="24"/>
          <w:szCs w:val="24"/>
          <w:lang w:eastAsia="zh-CN"/>
        </w:rPr>
        <w:t>（</w:t>
      </w:r>
      <w:r>
        <w:rPr>
          <w:rFonts w:hint="eastAsia" w:ascii="Arial Narrow" w:hAnsi="Arial Narrow" w:eastAsia="仿宋_GB2312" w:cs="宋体"/>
          <w:kern w:val="0"/>
          <w:sz w:val="24"/>
          <w:szCs w:val="24"/>
        </w:rPr>
        <w:t>2021-2025年</w:t>
      </w:r>
      <w:r>
        <w:rPr>
          <w:rFonts w:hint="eastAsia" w:ascii="Arial Narrow" w:hAnsi="Arial Narrow" w:eastAsia="仿宋_GB2312" w:cs="宋体"/>
          <w:kern w:val="0"/>
          <w:sz w:val="24"/>
          <w:szCs w:val="24"/>
          <w:lang w:eastAsia="zh-CN"/>
        </w:rPr>
        <w:t>）</w:t>
      </w:r>
      <w:r>
        <w:rPr>
          <w:rFonts w:hint="eastAsia" w:ascii="Arial Narrow" w:hAnsi="Arial Narrow" w:eastAsia="仿宋_GB2312" w:cs="宋体"/>
          <w:kern w:val="0"/>
          <w:sz w:val="24"/>
          <w:szCs w:val="24"/>
        </w:rPr>
        <w:t>》的通知</w:t>
      </w:r>
      <w:r>
        <w:rPr>
          <w:rFonts w:hint="eastAsia" w:ascii="Arial Narrow" w:hAnsi="Arial Narrow" w:eastAsia="仿宋_GB2312" w:cs="宋体"/>
          <w:kern w:val="0"/>
          <w:sz w:val="24"/>
          <w:szCs w:val="24"/>
          <w:lang w:eastAsia="zh-CN"/>
        </w:rPr>
        <w:t>（</w:t>
      </w:r>
      <w:r>
        <w:rPr>
          <w:rFonts w:hint="eastAsia" w:ascii="Arial Narrow" w:hAnsi="Arial Narrow" w:eastAsia="仿宋_GB2312" w:cs="宋体"/>
          <w:kern w:val="0"/>
          <w:sz w:val="24"/>
          <w:szCs w:val="24"/>
        </w:rPr>
        <w:t>铜委农办〔2022〕1号</w:t>
      </w:r>
      <w:r>
        <w:rPr>
          <w:rFonts w:hint="eastAsia" w:ascii="Arial Narrow" w:hAnsi="Arial Narrow" w:eastAsia="仿宋_GB2312" w:cs="宋体"/>
          <w:kern w:val="0"/>
          <w:sz w:val="24"/>
          <w:szCs w:val="24"/>
          <w:lang w:eastAsia="zh-CN"/>
        </w:rPr>
        <w:t>）</w:t>
      </w:r>
      <w:r>
        <w:rPr>
          <w:rFonts w:hint="eastAsia" w:ascii="Arial Narrow" w:hAnsi="Arial Narrow" w:eastAsia="仿宋_GB2312" w:cs="宋体"/>
          <w:kern w:val="0"/>
          <w:sz w:val="24"/>
          <w:szCs w:val="24"/>
        </w:rPr>
        <w:t>要求，通过公开申报，自愿申报，专家综合评审，刘自斌、李小兰等90人符合铜梁区农村致富带头人要求，认定为2023年铜梁区农村致富带头人。按照1万元/人的标准对重庆铜梁区致富带头人进行一次性补助。</w:t>
      </w:r>
    </w:p>
    <w:p w14:paraId="6C8ADD0B">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项目资金安排情况：该项目2023年计划投入80.00万元，调增投入10.00万元，实际投入90.00万元，均为上级补助资金。</w:t>
      </w:r>
    </w:p>
    <w:p w14:paraId="4DD9C40C">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5、项目管理费</w:t>
      </w:r>
    </w:p>
    <w:p w14:paraId="53877218">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实施单位：</w:t>
      </w:r>
      <w:r>
        <w:rPr>
          <w:rFonts w:hint="eastAsia" w:ascii="Arial Narrow" w:hAnsi="Arial Narrow" w:eastAsia="仿宋_GB2312"/>
          <w:sz w:val="24"/>
          <w:szCs w:val="24"/>
        </w:rPr>
        <w:t>重庆市铜梁区乡村振兴局</w:t>
      </w:r>
    </w:p>
    <w:p w14:paraId="569D221B">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项目内容：用于对全区项目的预算、结算、验收等支出，以确保项目</w:t>
      </w:r>
      <w:r>
        <w:rPr>
          <w:rFonts w:hint="eastAsia" w:ascii="Arial Narrow" w:hAnsi="Arial Narrow" w:eastAsia="仿宋_GB2312" w:cs="宋体"/>
          <w:kern w:val="0"/>
          <w:sz w:val="24"/>
          <w:szCs w:val="24"/>
          <w:lang w:eastAsia="zh-CN"/>
        </w:rPr>
        <w:t>保质保量地完成</w:t>
      </w:r>
      <w:r>
        <w:rPr>
          <w:rFonts w:hint="eastAsia" w:ascii="Arial Narrow" w:hAnsi="Arial Narrow" w:eastAsia="仿宋_GB2312" w:cs="宋体"/>
          <w:kern w:val="0"/>
          <w:sz w:val="24"/>
          <w:szCs w:val="24"/>
        </w:rPr>
        <w:t>。</w:t>
      </w:r>
    </w:p>
    <w:p w14:paraId="181BEA5A">
      <w:pPr>
        <w:spacing w:line="360" w:lineRule="auto"/>
        <w:ind w:firstLine="480" w:firstLineChars="200"/>
        <w:rPr>
          <w:rFonts w:ascii="Arial Narrow" w:hAnsi="Arial Narrow" w:eastAsia="仿宋_GB2312" w:cs="宋体"/>
          <w:kern w:val="0"/>
          <w:sz w:val="24"/>
          <w:szCs w:val="24"/>
        </w:rPr>
      </w:pPr>
      <w:r>
        <w:rPr>
          <w:rFonts w:hint="eastAsia" w:ascii="Arial Narrow" w:hAnsi="Arial Narrow" w:eastAsia="仿宋_GB2312" w:cs="宋体"/>
          <w:kern w:val="0"/>
          <w:sz w:val="24"/>
          <w:szCs w:val="24"/>
        </w:rPr>
        <w:t>项目资金安排情况：该项目2023年计划投入10.59万元，调增投入9.01万元，实际投入19.60万元，均为上级补助资金。</w:t>
      </w:r>
    </w:p>
    <w:p w14:paraId="32BFE2F9">
      <w:pPr>
        <w:spacing w:line="360" w:lineRule="auto"/>
        <w:ind w:firstLine="482" w:firstLineChars="200"/>
        <w:jc w:val="left"/>
        <w:outlineLvl w:val="0"/>
        <w:rPr>
          <w:rFonts w:ascii="Arial Narrow" w:hAnsi="Arial Narrow" w:eastAsia="仿宋_GB2312"/>
          <w:b/>
          <w:sz w:val="24"/>
          <w:szCs w:val="24"/>
        </w:rPr>
      </w:pPr>
      <w:bookmarkStart w:id="5" w:name="_Toc11411"/>
      <w:r>
        <w:rPr>
          <w:rFonts w:ascii="Arial Narrow" w:hAnsi="Arial Narrow" w:eastAsia="仿宋_GB2312"/>
          <w:b/>
          <w:sz w:val="24"/>
          <w:szCs w:val="24"/>
        </w:rPr>
        <w:t>二、绩效评价工作情况</w:t>
      </w:r>
      <w:bookmarkEnd w:id="5"/>
    </w:p>
    <w:p w14:paraId="42718264">
      <w:pPr>
        <w:spacing w:line="360" w:lineRule="auto"/>
        <w:ind w:firstLine="482" w:firstLineChars="200"/>
        <w:jc w:val="left"/>
        <w:outlineLvl w:val="0"/>
        <w:rPr>
          <w:rFonts w:ascii="Arial Narrow" w:hAnsi="Arial Narrow" w:eastAsia="仿宋_GB2312"/>
          <w:b/>
          <w:sz w:val="24"/>
          <w:szCs w:val="24"/>
        </w:rPr>
      </w:pPr>
      <w:bookmarkStart w:id="6" w:name="_Toc8999"/>
      <w:bookmarkStart w:id="7" w:name="_Toc513775099"/>
      <w:r>
        <w:rPr>
          <w:rFonts w:ascii="Arial Narrow" w:hAnsi="Arial Narrow" w:eastAsia="仿宋_GB2312"/>
          <w:b/>
          <w:sz w:val="24"/>
          <w:szCs w:val="24"/>
        </w:rPr>
        <w:t>（一）绩效评价目的</w:t>
      </w:r>
      <w:bookmarkEnd w:id="6"/>
      <w:bookmarkEnd w:id="7"/>
    </w:p>
    <w:p w14:paraId="7AEA2A8D">
      <w:pPr>
        <w:pStyle w:val="13"/>
        <w:spacing w:line="360" w:lineRule="auto"/>
        <w:ind w:firstLine="480" w:firstLineChars="200"/>
        <w:rPr>
          <w:rFonts w:ascii="Arial Narrow" w:hAnsi="Arial Narrow" w:eastAsia="仿宋_GB2312"/>
          <w:color w:val="auto"/>
          <w:sz w:val="24"/>
          <w:szCs w:val="24"/>
        </w:rPr>
      </w:pPr>
      <w:r>
        <w:rPr>
          <w:rFonts w:hint="eastAsia" w:ascii="Arial Narrow" w:hAnsi="Arial Narrow" w:eastAsia="仿宋_GB2312"/>
          <w:color w:val="auto"/>
          <w:sz w:val="24"/>
          <w:szCs w:val="24"/>
        </w:rPr>
        <w:t>通过实施财政重点绩效评价，总结项目实施主要成效，分析影响项目绩效的主要问题及成因，为进一步加强财政资金管理、提高资金使用效益提供依据。</w:t>
      </w:r>
    </w:p>
    <w:p w14:paraId="10184BE7">
      <w:pPr>
        <w:spacing w:line="360" w:lineRule="auto"/>
        <w:ind w:firstLine="482" w:firstLineChars="200"/>
        <w:jc w:val="left"/>
        <w:outlineLvl w:val="0"/>
        <w:rPr>
          <w:rFonts w:ascii="Arial Narrow" w:hAnsi="Arial Narrow" w:eastAsia="仿宋_GB2312"/>
          <w:b/>
          <w:sz w:val="24"/>
        </w:rPr>
      </w:pPr>
      <w:bookmarkStart w:id="8" w:name="_Toc24355"/>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103FCB7D">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77D0267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1B41A66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4A0A68F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7A16B9C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7F6AB350">
      <w:pPr>
        <w:spacing w:line="360" w:lineRule="auto"/>
        <w:ind w:firstLine="482" w:firstLineChars="200"/>
        <w:jc w:val="left"/>
        <w:outlineLvl w:val="0"/>
        <w:rPr>
          <w:rFonts w:ascii="Arial Narrow" w:hAnsi="Arial Narrow" w:eastAsia="仿宋_GB2312"/>
          <w:b/>
          <w:sz w:val="24"/>
        </w:rPr>
      </w:pPr>
      <w:bookmarkStart w:id="11" w:name="_Toc25977"/>
      <w:r>
        <w:rPr>
          <w:rFonts w:ascii="Arial Narrow" w:hAnsi="Arial Narrow" w:eastAsia="仿宋_GB2312"/>
          <w:b/>
          <w:sz w:val="24"/>
        </w:rPr>
        <w:t>（三）绩效评价依据</w:t>
      </w:r>
      <w:bookmarkEnd w:id="9"/>
      <w:bookmarkEnd w:id="10"/>
      <w:bookmarkEnd w:id="11"/>
      <w:bookmarkStart w:id="12" w:name="_Toc335040595"/>
    </w:p>
    <w:bookmarkEnd w:id="12"/>
    <w:p w14:paraId="5BC0E2D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2A4759F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72E30D4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r>
        <w:rPr>
          <w:rFonts w:ascii="Arial Narrow" w:hAnsi="Arial Narrow" w:eastAsia="仿宋_GB2312"/>
          <w:color w:val="auto"/>
        </w:rPr>
        <w:t xml:space="preserve"> </w:t>
      </w:r>
    </w:p>
    <w:p w14:paraId="29A1388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38E00DC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4D9FFA4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54CA5C4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2CC9683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14035E4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07C6900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775B779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521B3E7F">
      <w:pPr>
        <w:spacing w:line="360" w:lineRule="auto"/>
        <w:ind w:firstLine="482" w:firstLineChars="200"/>
        <w:jc w:val="left"/>
        <w:outlineLvl w:val="0"/>
        <w:rPr>
          <w:rFonts w:ascii="Arial Narrow" w:hAnsi="Arial Narrow" w:eastAsia="仿宋_GB2312"/>
          <w:b/>
          <w:sz w:val="24"/>
        </w:rPr>
      </w:pPr>
      <w:bookmarkStart w:id="14" w:name="_Toc5964"/>
      <w:r>
        <w:rPr>
          <w:rFonts w:ascii="Arial Narrow" w:hAnsi="Arial Narrow" w:eastAsia="仿宋_GB2312"/>
          <w:b/>
          <w:sz w:val="24"/>
        </w:rPr>
        <w:t>（四）绩效评价原则和指标体系</w:t>
      </w:r>
      <w:bookmarkEnd w:id="14"/>
    </w:p>
    <w:p w14:paraId="3563D91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7BA805A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4016D37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（2）重要性原则</w:t>
      </w:r>
      <w:r>
        <w:rPr>
          <w:rFonts w:ascii="Arial Narrow" w:hAnsi="Arial Narrow" w:eastAsia="仿宋_GB2312"/>
          <w:color w:val="auto"/>
        </w:rPr>
        <w:t>。</w:t>
      </w:r>
      <w:r>
        <w:rPr>
          <w:rFonts w:hint="eastAsia" w:ascii="Arial Narrow" w:hAnsi="Arial Narrow" w:eastAsia="仿宋_GB2312"/>
          <w:color w:val="auto"/>
        </w:rPr>
        <w:t>应当优先使用最具评价对象代表性最能反映评价要求的核心指标</w:t>
      </w:r>
      <w:r>
        <w:rPr>
          <w:rFonts w:ascii="Arial Narrow" w:hAnsi="Arial Narrow" w:eastAsia="仿宋_GB2312"/>
          <w:color w:val="auto"/>
        </w:rPr>
        <w:t>。</w:t>
      </w:r>
    </w:p>
    <w:p w14:paraId="52C03D3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055D687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15B34FF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w:t>
      </w:r>
    </w:p>
    <w:p w14:paraId="240BB72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性，符合成本效益原则。</w:t>
      </w:r>
    </w:p>
    <w:p w14:paraId="4FAD983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5DE05998">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01678039">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8"/>
        <w:gridCol w:w="536"/>
        <w:gridCol w:w="2758"/>
        <w:gridCol w:w="3596"/>
      </w:tblGrid>
      <w:tr w14:paraId="74571095">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77291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1184DF8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2EC23AA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C1DF5D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分值</w:t>
            </w:r>
          </w:p>
        </w:tc>
        <w:tc>
          <w:tcPr>
            <w:tcW w:w="2758" w:type="dxa"/>
            <w:tcBorders>
              <w:top w:val="single" w:color="auto" w:sz="4" w:space="0"/>
              <w:left w:val="nil"/>
              <w:bottom w:val="single" w:color="auto" w:sz="4" w:space="0"/>
              <w:right w:val="single" w:color="auto" w:sz="4" w:space="0"/>
            </w:tcBorders>
            <w:shd w:val="clear" w:color="auto" w:fill="auto"/>
            <w:noWrap/>
            <w:vAlign w:val="center"/>
          </w:tcPr>
          <w:p w14:paraId="57CE1C7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601C4D7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评价标准</w:t>
            </w:r>
          </w:p>
        </w:tc>
      </w:tr>
      <w:tr w14:paraId="2D1BD774">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CEA647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7EF65F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048D035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22BA200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2758" w:type="dxa"/>
            <w:tcBorders>
              <w:top w:val="nil"/>
              <w:left w:val="nil"/>
              <w:bottom w:val="single" w:color="auto" w:sz="4" w:space="0"/>
              <w:right w:val="single" w:color="auto" w:sz="4" w:space="0"/>
            </w:tcBorders>
            <w:shd w:val="clear" w:color="auto" w:fill="auto"/>
            <w:vAlign w:val="center"/>
          </w:tcPr>
          <w:p w14:paraId="1B85CB4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47BA14E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资金使用方向符合文件规定（2分）。</w:t>
            </w:r>
          </w:p>
        </w:tc>
      </w:tr>
      <w:tr w14:paraId="18CE4873">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67607D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2AE35448">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6FF0D5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3FDD38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2758" w:type="dxa"/>
            <w:tcBorders>
              <w:top w:val="nil"/>
              <w:left w:val="nil"/>
              <w:bottom w:val="single" w:color="auto" w:sz="4" w:space="0"/>
              <w:right w:val="single" w:color="auto" w:sz="4" w:space="0"/>
            </w:tcBorders>
            <w:shd w:val="clear" w:color="auto" w:fill="auto"/>
            <w:vAlign w:val="center"/>
          </w:tcPr>
          <w:p w14:paraId="773FC27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45BAB81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区财政局下达资金文件时间到区级业务主管部门下达项目及资金计划文件时间间隔≤30日（3分）。</w:t>
            </w:r>
          </w:p>
        </w:tc>
      </w:tr>
      <w:tr w14:paraId="1447B15F">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93A062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349AF67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63A97BA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3F5A8F4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nil"/>
              <w:right w:val="nil"/>
            </w:tcBorders>
            <w:shd w:val="clear" w:color="auto" w:fill="auto"/>
            <w:vAlign w:val="center"/>
          </w:tcPr>
          <w:p w14:paraId="6BC05FD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评价落实《铜梁区巩固拓展脱贫攻坚成果和衔接乡村振兴项目库建设管理实施细则》（铜乡振〔2021〕7号）落实情况。根据抽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26E0177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1.项目入库及时充分、程序规范、内容完整（3分）；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2.入库项目具备实施条件（2分）；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3.衔接资金用于项目库之外的项目（-5分）。</w:t>
            </w:r>
          </w:p>
        </w:tc>
      </w:tr>
      <w:tr w14:paraId="2C121FAA">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EC1BA8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45B06FA4">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2DA2CC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0359E02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0F29A06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评价具体项目实施方案明确绩效目标情况、开展跟踪监督绩效监控情况、事后评价情况等。根据抽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A406FF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1.及时制定绩效目标、审核绩效目标（2分）；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2.开展绩效监控不少于1次（2分）；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3.对绩效目标偏离项目采取纠偏措施（2分）；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4.项目实施完毕后立即开展绩效自评，并形成绩效自评报告及绩效自评表。（2分）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5.项目绩效是否达到预期。（2分）</w:t>
            </w:r>
          </w:p>
        </w:tc>
      </w:tr>
      <w:tr w14:paraId="4ABF377B">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CE8D3D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460E6F77">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9E4DEC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192082F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2758" w:type="dxa"/>
            <w:tcBorders>
              <w:top w:val="nil"/>
              <w:left w:val="nil"/>
              <w:bottom w:val="single" w:color="auto" w:sz="4" w:space="0"/>
              <w:right w:val="single" w:color="auto" w:sz="4" w:space="0"/>
            </w:tcBorders>
            <w:shd w:val="clear" w:color="auto" w:fill="auto"/>
            <w:vAlign w:val="center"/>
          </w:tcPr>
          <w:p w14:paraId="2202CF8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评价有序推进项目前期工作、组织实施、项目验收、资料报送等情况。根据抽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12B2F5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1.项目实施方法存在变更是否按规定报批；（1分）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2.是否定期对项目实施情况进行监督检查，对检查中发现的问题进行整改；（2分）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3.是否按照项目实施节点按时提交项目报账资料；（1分）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4.日常管理资料是否及时归档整理；（1分）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5.项目完工后是否在规定时间内进行验收。（1分）</w:t>
            </w:r>
          </w:p>
        </w:tc>
      </w:tr>
      <w:tr w14:paraId="75E116EE">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9DC00F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5D94E58D">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994A0F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3E72B58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2758" w:type="dxa"/>
            <w:tcBorders>
              <w:top w:val="nil"/>
              <w:left w:val="nil"/>
              <w:bottom w:val="single" w:color="auto" w:sz="4" w:space="0"/>
              <w:right w:val="single" w:color="auto" w:sz="4" w:space="0"/>
            </w:tcBorders>
            <w:shd w:val="clear" w:color="auto" w:fill="auto"/>
            <w:vAlign w:val="center"/>
          </w:tcPr>
          <w:p w14:paraId="1B01841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评价有序推进项目工作和资金支付情况。根据抽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D1BFCF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主要通过支出进度评价有序推进项目工作和资金支付情况，于7月末、10月中旬定期调度。</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1.7月末支出进度评分4分。资金支出进度达到全区平均进度或者序时进度的，得满分；未达到的按照与序时进度的比例扣分；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2.10月中旬支出进度评分4分。资金支出进度达到全区平均进度或者序时进度的，得满分；未达到的按照与序时进度的比例扣分；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724CFAC8">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54DEC5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5B4EB61">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69387B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1302D38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2758" w:type="dxa"/>
            <w:tcBorders>
              <w:top w:val="nil"/>
              <w:left w:val="nil"/>
              <w:bottom w:val="single" w:color="auto" w:sz="4" w:space="0"/>
              <w:right w:val="single" w:color="auto" w:sz="4" w:space="0"/>
            </w:tcBorders>
            <w:shd w:val="clear" w:color="auto" w:fill="auto"/>
            <w:vAlign w:val="center"/>
          </w:tcPr>
          <w:p w14:paraId="7955AD2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评价定期开展监督检查情况、发现问题整改情况。根据未处理问题比例扣减。根据抽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37FD10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1.定期开展项目实施和资金支出进度等跟踪督促情况，落实到位的得2分，未完全落实到位的酌情扣分；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2.跟踪督促及各类检查发现问题整改到位情况，满分5分，根据未整改问题比例扣减；</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3.全国12317防止返贫监测和乡村振兴咨询服务平台（简称12317平台）反馈问题处理情况，满分1分。</w:t>
            </w:r>
          </w:p>
        </w:tc>
      </w:tr>
      <w:tr w14:paraId="2AA98A85">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6D1B64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65045FA2">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30210B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2B151C4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5EE8C42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评价账务处理，资产转固，收益管理、档案管理等情况。根据抽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C8C08D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1.财务处理是否规范，原始凭证是否齐全，建成资产是否及时转固、收益管理是否合规；（4分）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2.档案管理是否完整、合规、真实。（1分）</w:t>
            </w:r>
          </w:p>
        </w:tc>
      </w:tr>
      <w:tr w14:paraId="0C0BEFA4">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6D3CA7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288D2901">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540BF3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6777954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2758" w:type="dxa"/>
            <w:tcBorders>
              <w:top w:val="nil"/>
              <w:left w:val="nil"/>
              <w:bottom w:val="single" w:color="auto" w:sz="4" w:space="0"/>
              <w:right w:val="single" w:color="auto" w:sz="4" w:space="0"/>
            </w:tcBorders>
            <w:shd w:val="clear" w:color="auto" w:fill="auto"/>
            <w:vAlign w:val="center"/>
          </w:tcPr>
          <w:p w14:paraId="033302E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评价区级、镇级、村级落实《铜梁区财政衔接推进乡村振兴补助资金项目公告公示实施办法》（铜委农办〔2021〕19号）文件要求情况。根据抽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5A06E3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分区级、镇级、村级进行评价。</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1.抽查区级公示公开情况，满分3分，未完整公开酌情扣分；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2.抽查镇级公示公开情况，满分3分，未完整公开酌情扣分；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3.抽查村级公示公开情况，满分3分，未完整公开酌情扣分。</w:t>
            </w:r>
          </w:p>
        </w:tc>
      </w:tr>
      <w:tr w14:paraId="684FE8AC">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0DA9D8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232FDE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1D8EE55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391DD99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35</w:t>
            </w:r>
          </w:p>
        </w:tc>
        <w:tc>
          <w:tcPr>
            <w:tcW w:w="2758" w:type="dxa"/>
            <w:tcBorders>
              <w:top w:val="nil"/>
              <w:left w:val="nil"/>
              <w:bottom w:val="single" w:color="auto" w:sz="4" w:space="0"/>
              <w:right w:val="single" w:color="auto" w:sz="4" w:space="0"/>
            </w:tcBorders>
            <w:shd w:val="clear" w:color="auto" w:fill="auto"/>
            <w:vAlign w:val="center"/>
          </w:tcPr>
          <w:p w14:paraId="0BA3A26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评价项目是否达到预期成效，后续管护是否存在问题等。根据抽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7F699FA">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两不愁三保障</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和饮水安全、兜底保障等成果巩固情况；其他项目是否实现预期目标。</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满分35分，根据抽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项目情况赋分。项目管理各环节，每存在一例不符合相关规定的，扣0.5分，扣完为止。</w:t>
            </w:r>
          </w:p>
        </w:tc>
      </w:tr>
      <w:tr w14:paraId="7E203B92">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FE08CD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6E4032DE">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530882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63967BD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67C1AD8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6123E93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52BA2135">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419714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314639E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1441198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23482A2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4EC1B37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63E1A2B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1.在财政衔接资金分配、使用、监管等方面存在机制创新；（2分）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2.国家、市级对我区财政衔接资金绩效评价中，被财政部、国家乡村振兴局及其第三方总结经验做法，并调研推广的。（3分）</w:t>
            </w:r>
          </w:p>
        </w:tc>
      </w:tr>
      <w:tr w14:paraId="7F0B28A6">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282D29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05E40BAA">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9C163B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7792D1F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nil"/>
              <w:left w:val="nil"/>
              <w:bottom w:val="single" w:color="auto" w:sz="4" w:space="0"/>
              <w:right w:val="single" w:color="auto" w:sz="4" w:space="0"/>
            </w:tcBorders>
            <w:shd w:val="clear" w:color="auto" w:fill="auto"/>
            <w:vAlign w:val="center"/>
          </w:tcPr>
          <w:p w14:paraId="49AB133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34C2BD3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考核材料、数据中存在虚假信息的，或经有关部门监督检查发现问题的，视情节严重程度扣1-10分。</w:t>
            </w:r>
          </w:p>
        </w:tc>
      </w:tr>
    </w:tbl>
    <w:p w14:paraId="22F4263A">
      <w:pPr>
        <w:spacing w:before="120" w:beforeLines="50" w:line="360" w:lineRule="auto"/>
        <w:ind w:firstLine="482" w:firstLineChars="200"/>
        <w:jc w:val="left"/>
        <w:outlineLvl w:val="0"/>
        <w:rPr>
          <w:rFonts w:ascii="Arial Narrow" w:hAnsi="Arial Narrow" w:eastAsia="仿宋_GB2312"/>
          <w:b/>
          <w:sz w:val="24"/>
        </w:rPr>
      </w:pPr>
      <w:bookmarkStart w:id="15" w:name="_Toc6213"/>
      <w:r>
        <w:rPr>
          <w:rFonts w:ascii="Arial Narrow" w:hAnsi="Arial Narrow" w:eastAsia="仿宋_GB2312"/>
          <w:b/>
          <w:sz w:val="24"/>
        </w:rPr>
        <w:t>（五）绩效评价标准和评价方法</w:t>
      </w:r>
      <w:bookmarkEnd w:id="15"/>
    </w:p>
    <w:p w14:paraId="0DC34B7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2E26196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7B9764A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3C67347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4EE2106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206F558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7F6FF5D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26634E6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50625B1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5F3180F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759DF7F4">
      <w:pPr>
        <w:spacing w:line="360" w:lineRule="auto"/>
        <w:ind w:firstLine="482" w:firstLineChars="200"/>
        <w:jc w:val="left"/>
        <w:outlineLvl w:val="0"/>
        <w:rPr>
          <w:rFonts w:ascii="Arial Narrow" w:hAnsi="Arial Narrow" w:eastAsia="仿宋_GB2312"/>
          <w:b/>
          <w:sz w:val="24"/>
        </w:rPr>
      </w:pPr>
      <w:bookmarkStart w:id="18" w:name="_Toc437528932"/>
      <w:bookmarkStart w:id="19" w:name="_Toc25393"/>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63726B9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w:t>
      </w:r>
      <w:r>
        <w:rPr>
          <w:rFonts w:hint="eastAsia" w:ascii="Arial Narrow" w:hAnsi="Arial Narrow" w:eastAsia="仿宋_GB2312"/>
          <w:color w:val="auto"/>
          <w:lang w:eastAsia="zh-CN"/>
        </w:rPr>
        <w:t>“</w:t>
      </w:r>
      <w:r>
        <w:rPr>
          <w:rFonts w:hint="eastAsia" w:ascii="Arial Narrow" w:hAnsi="Arial Narrow" w:eastAsia="仿宋_GB2312"/>
          <w:color w:val="auto"/>
        </w:rPr>
        <w:t>2023年财政专项衔接资金项目</w:t>
      </w:r>
      <w:r>
        <w:rPr>
          <w:rFonts w:hint="eastAsia" w:ascii="Arial Narrow" w:hAnsi="Arial Narrow" w:eastAsia="仿宋_GB2312"/>
          <w:color w:val="auto"/>
          <w:lang w:eastAsia="zh-CN"/>
        </w:rPr>
        <w:t>”</w:t>
      </w:r>
      <w:r>
        <w:rPr>
          <w:rFonts w:hint="eastAsia" w:ascii="Arial Narrow" w:hAnsi="Arial Narrow" w:eastAsia="仿宋_GB2312"/>
          <w:color w:val="auto"/>
        </w:rPr>
        <w:t>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027AE45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48A0ED49">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517EBB9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4.依据收集到的项目相关资料和数据，比照经过贵单位审定的评价指标体系的评分标准，分别对项目评价打分，并对该项目的绩效评价等级进行确认。</w:t>
      </w:r>
    </w:p>
    <w:p w14:paraId="789D95E4">
      <w:pPr>
        <w:spacing w:line="360" w:lineRule="auto"/>
        <w:ind w:firstLine="482" w:firstLineChars="200"/>
        <w:jc w:val="left"/>
        <w:outlineLvl w:val="0"/>
        <w:rPr>
          <w:rFonts w:ascii="Arial Narrow" w:hAnsi="Arial Narrow" w:eastAsia="仿宋_GB2312"/>
          <w:b/>
          <w:sz w:val="24"/>
        </w:rPr>
      </w:pPr>
      <w:bookmarkStart w:id="20" w:name="_Toc437528933"/>
      <w:bookmarkStart w:id="21" w:name="_Toc9556"/>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549A40A4">
      <w:pPr>
        <w:spacing w:line="360" w:lineRule="auto"/>
        <w:ind w:left="420" w:leftChars="200"/>
        <w:jc w:val="left"/>
        <w:rPr>
          <w:rFonts w:ascii="Arial Narrow" w:hAnsi="Arial Narrow" w:eastAsia="仿宋_GB2312" w:cs="宋体"/>
          <w:kern w:val="0"/>
          <w:sz w:val="24"/>
        </w:rPr>
      </w:pPr>
      <w:r>
        <w:rPr>
          <w:rFonts w:hint="eastAsia" w:ascii="Arial Narrow" w:hAnsi="Arial Narrow" w:eastAsia="仿宋_GB2312" w:cs="宋体"/>
          <w:kern w:val="0"/>
          <w:sz w:val="24"/>
        </w:rPr>
        <w:t>小额信贷贴息项目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88.38</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良</w:t>
      </w:r>
    </w:p>
    <w:p w14:paraId="4A94FF99">
      <w:pPr>
        <w:spacing w:line="360" w:lineRule="auto"/>
        <w:ind w:left="420" w:leftChars="200"/>
        <w:jc w:val="left"/>
        <w:rPr>
          <w:rFonts w:ascii="Arial Narrow" w:hAnsi="Arial Narrow" w:eastAsia="仿宋_GB2312"/>
          <w:sz w:val="24"/>
        </w:rPr>
      </w:pPr>
      <w:r>
        <w:rPr>
          <w:rFonts w:hint="eastAsia" w:ascii="Arial Narrow" w:hAnsi="Arial Narrow" w:eastAsia="仿宋_GB2312" w:cs="宋体"/>
          <w:kern w:val="0"/>
          <w:sz w:val="24"/>
        </w:rPr>
        <w:t>数商兴农项目</w:t>
      </w:r>
      <w:r>
        <w:rPr>
          <w:rFonts w:ascii="Arial Narrow" w:hAnsi="Arial Narrow" w:eastAsia="仿宋_GB2312"/>
          <w:sz w:val="24"/>
        </w:rPr>
        <w:t>绩效评价得分</w:t>
      </w:r>
      <w:r>
        <w:rPr>
          <w:rFonts w:hint="eastAsia" w:ascii="Arial Narrow" w:hAnsi="Arial Narrow" w:eastAsia="仿宋_GB2312"/>
          <w:sz w:val="24"/>
        </w:rPr>
        <w:t>99.50</w:t>
      </w:r>
      <w:r>
        <w:rPr>
          <w:rFonts w:ascii="Arial Narrow" w:hAnsi="Arial Narrow" w:eastAsia="仿宋_GB2312"/>
          <w:sz w:val="24"/>
        </w:rPr>
        <w:t>分</w:t>
      </w:r>
      <w:r>
        <w:rPr>
          <w:rFonts w:hint="eastAsia" w:ascii="Arial Narrow" w:hAnsi="Arial Narrow" w:eastAsia="仿宋_GB2312"/>
          <w:sz w:val="24"/>
        </w:rPr>
        <w:t>，</w:t>
      </w:r>
      <w:r>
        <w:rPr>
          <w:rFonts w:ascii="Arial Narrow" w:hAnsi="Arial Narrow" w:eastAsia="仿宋_GB2312"/>
          <w:sz w:val="24"/>
        </w:rPr>
        <w:t>绩效评价等级为：</w:t>
      </w:r>
      <w:r>
        <w:rPr>
          <w:rFonts w:hint="eastAsia" w:ascii="Arial Narrow" w:hAnsi="Arial Narrow" w:eastAsia="仿宋_GB2312"/>
          <w:sz w:val="24"/>
        </w:rPr>
        <w:t>优</w:t>
      </w:r>
    </w:p>
    <w:p w14:paraId="101F8FEB">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大学生学费资助项目绩效评价得分90.00分，</w:t>
      </w:r>
      <w:r>
        <w:rPr>
          <w:rFonts w:ascii="Arial Narrow" w:hAnsi="Arial Narrow" w:eastAsia="仿宋_GB2312"/>
          <w:sz w:val="24"/>
        </w:rPr>
        <w:t>绩效评价等级为：</w:t>
      </w:r>
      <w:r>
        <w:rPr>
          <w:rFonts w:hint="eastAsia" w:ascii="Arial Narrow" w:hAnsi="Arial Narrow" w:eastAsia="仿宋_GB2312"/>
          <w:sz w:val="24"/>
        </w:rPr>
        <w:t>良</w:t>
      </w:r>
    </w:p>
    <w:p w14:paraId="1B927D96">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致富带头人培育项目绩效评价得分82.00分，</w:t>
      </w:r>
      <w:r>
        <w:rPr>
          <w:rFonts w:ascii="Arial Narrow" w:hAnsi="Arial Narrow" w:eastAsia="仿宋_GB2312"/>
          <w:sz w:val="24"/>
        </w:rPr>
        <w:t>绩效评价等级为：</w:t>
      </w:r>
      <w:r>
        <w:rPr>
          <w:rFonts w:hint="eastAsia" w:ascii="Arial Narrow" w:hAnsi="Arial Narrow" w:eastAsia="仿宋_GB2312"/>
          <w:sz w:val="24"/>
        </w:rPr>
        <w:t>良</w:t>
      </w:r>
    </w:p>
    <w:p w14:paraId="4EE951C2">
      <w:pPr>
        <w:spacing w:line="360" w:lineRule="auto"/>
        <w:ind w:firstLine="480" w:firstLineChars="200"/>
        <w:jc w:val="left"/>
        <w:rPr>
          <w:rFonts w:ascii="Arial Narrow" w:hAnsi="Arial Narrow" w:eastAsia="仿宋_GB2312"/>
          <w:b/>
          <w:bCs/>
          <w:sz w:val="28"/>
          <w:szCs w:val="28"/>
        </w:rPr>
      </w:pPr>
      <w:r>
        <w:rPr>
          <w:rFonts w:hint="eastAsia" w:ascii="Arial Narrow" w:hAnsi="Arial Narrow" w:eastAsia="仿宋_GB2312"/>
          <w:sz w:val="24"/>
        </w:rPr>
        <w:t>项目管理费绩效评价得分85.12分，</w:t>
      </w:r>
      <w:r>
        <w:rPr>
          <w:rFonts w:ascii="Arial Narrow" w:hAnsi="Arial Narrow" w:eastAsia="仿宋_GB2312"/>
          <w:sz w:val="24"/>
        </w:rPr>
        <w:t>绩效评价等级为：</w:t>
      </w:r>
      <w:r>
        <w:rPr>
          <w:rFonts w:hint="eastAsia" w:ascii="Arial Narrow" w:hAnsi="Arial Narrow" w:eastAsia="仿宋_GB2312"/>
          <w:sz w:val="24"/>
        </w:rPr>
        <w:t>良</w:t>
      </w:r>
    </w:p>
    <w:p w14:paraId="77E3C9A2">
      <w:pPr>
        <w:spacing w:line="360" w:lineRule="auto"/>
        <w:ind w:firstLine="482" w:firstLineChars="200"/>
        <w:outlineLvl w:val="0"/>
        <w:rPr>
          <w:rFonts w:ascii="Arial Narrow" w:hAnsi="Arial Narrow" w:eastAsia="仿宋_GB2312"/>
          <w:b/>
          <w:sz w:val="24"/>
        </w:rPr>
      </w:pPr>
      <w:bookmarkStart w:id="22" w:name="_Toc4325"/>
      <w:r>
        <w:rPr>
          <w:rFonts w:hint="eastAsia" w:ascii="Arial Narrow" w:hAnsi="Arial Narrow" w:eastAsia="仿宋_GB2312"/>
          <w:b/>
          <w:sz w:val="24"/>
        </w:rPr>
        <w:t>四、</w:t>
      </w:r>
      <w:r>
        <w:rPr>
          <w:rFonts w:ascii="Arial Narrow" w:hAnsi="Arial Narrow" w:eastAsia="仿宋_GB2312"/>
          <w:b/>
          <w:sz w:val="24"/>
        </w:rPr>
        <w:t>综合评价情况</w:t>
      </w:r>
      <w:bookmarkEnd w:id="22"/>
    </w:p>
    <w:p w14:paraId="72C90F7D">
      <w:pPr>
        <w:spacing w:line="360" w:lineRule="auto"/>
        <w:ind w:firstLine="482" w:firstLineChars="200"/>
        <w:jc w:val="left"/>
        <w:outlineLvl w:val="0"/>
        <w:rPr>
          <w:rFonts w:ascii="仿宋_GB2312" w:eastAsia="仿宋_GB2312"/>
          <w:b/>
          <w:sz w:val="24"/>
        </w:rPr>
      </w:pPr>
      <w:bookmarkStart w:id="23" w:name="_Toc10289"/>
      <w:r>
        <w:rPr>
          <w:rFonts w:hint="eastAsia" w:ascii="仿宋_GB2312" w:eastAsia="仿宋_GB2312"/>
          <w:b/>
          <w:sz w:val="24"/>
        </w:rPr>
        <w:t>（一）资金管理</w:t>
      </w:r>
      <w:bookmarkEnd w:id="23"/>
    </w:p>
    <w:p w14:paraId="30FB016D">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394F1A6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渝财农〔2022〕146号</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0FD6BF3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032329A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大学生学费资助项目、致富带头人培育项目、项目管理费三个项目区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5B628E8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其余两个项目资金从区财政局下达资金文件时间到区级业务主管部门下达项目及资金计划文件时间间隔小于30天。</w:t>
      </w:r>
    </w:p>
    <w:p w14:paraId="7C39E4B1">
      <w:pPr>
        <w:spacing w:line="360" w:lineRule="auto"/>
        <w:ind w:firstLine="482" w:firstLineChars="200"/>
        <w:jc w:val="left"/>
        <w:outlineLvl w:val="0"/>
        <w:rPr>
          <w:rFonts w:ascii="仿宋_GB2312" w:eastAsia="仿宋_GB2312"/>
          <w:b/>
          <w:sz w:val="24"/>
        </w:rPr>
      </w:pPr>
      <w:bookmarkStart w:id="24" w:name="_Toc17539"/>
      <w:r>
        <w:rPr>
          <w:rFonts w:hint="eastAsia" w:ascii="仿宋_GB2312" w:eastAsia="仿宋_GB2312"/>
          <w:b/>
          <w:sz w:val="24"/>
        </w:rPr>
        <w:t>（二）项目管理</w:t>
      </w:r>
      <w:bookmarkEnd w:id="24"/>
    </w:p>
    <w:p w14:paraId="7FC0B89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58D4BC3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745EE51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3543AAF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小额信贷贴息、大学生学费资助、项目管理费3个项目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及时制定了明确的绩效目标，实施过程中对绩效目标进行监控，对绩效目标偏离项目采取纠偏措施，在项目实施完毕后开展了绩效自评，形成自评表。未见以上3个项目自评报告。</w:t>
      </w:r>
    </w:p>
    <w:p w14:paraId="56F59FF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致富带头人培育项目</w:t>
      </w:r>
      <w:r>
        <w:rPr>
          <w:rFonts w:hint="eastAsia" w:ascii="Arial Narrow" w:hAnsi="Arial Narrow" w:eastAsia="仿宋_GB2312"/>
          <w:sz w:val="24"/>
        </w:rPr>
        <w:t>及时制定了明确的绩效目标</w:t>
      </w:r>
      <w:r>
        <w:rPr>
          <w:rFonts w:hint="eastAsia" w:ascii="Arial Narrow" w:hAnsi="Arial Narrow" w:eastAsia="仿宋_GB2312" w:cs="宋体"/>
          <w:kern w:val="0"/>
          <w:sz w:val="24"/>
        </w:rPr>
        <w:t>。未见该项目绩效监控表、自评表、自评报告。</w:t>
      </w:r>
    </w:p>
    <w:p w14:paraId="6367478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数商兴农项目及时制定了明确的绩效目标，实施过程中对绩效目标进行监控，对绩效目标偏离项目采取纠偏措施，在项目实施完毕后开展了绩效自评，并形成绩效自评表、自评报告。</w:t>
      </w:r>
    </w:p>
    <w:p w14:paraId="578BC22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以上5个项目绩效基本达到预期。</w:t>
      </w:r>
    </w:p>
    <w:p w14:paraId="649ABB9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0A50D03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项目实施方案不存在变更情况，实施过程中由重庆市铜梁区乡村振兴局进行监督检查，检查中未发现重大问题，项目按照实施节点按时提交项目报账资料。未见</w:t>
      </w:r>
      <w:r>
        <w:rPr>
          <w:rFonts w:hint="eastAsia" w:ascii="Arial Narrow" w:hAnsi="Arial Narrow" w:eastAsia="仿宋_GB2312" w:cs="宋体"/>
          <w:kern w:val="0"/>
          <w:sz w:val="24"/>
        </w:rPr>
        <w:t>小额信贷贴息、大学生学费资助、致富带头人培育项目、项目管理费4个项目成套档案管理资料。</w:t>
      </w:r>
    </w:p>
    <w:p w14:paraId="7DEF6DF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6716D52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小额信贷贴息项目最后一笔款项拨付于2023年12月08日；致富带头人培育项目最后一笔款项拨付于2023年12月05日；项目管理费项目最后一笔款项拨付于2023年12月08日。以上3个项目整体支付进度较晚。其余项目未见明显异常。</w:t>
      </w:r>
    </w:p>
    <w:p w14:paraId="721674F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253F053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2319A4C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2526BED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7649C37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4FA0AF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重庆市铜梁区乡村振兴局对以上5个项目入库情况、资金计划完成情况等进行了公告公示。</w:t>
      </w:r>
    </w:p>
    <w:p w14:paraId="28BDD33D">
      <w:pPr>
        <w:spacing w:line="360" w:lineRule="auto"/>
        <w:ind w:firstLine="482" w:firstLineChars="200"/>
        <w:jc w:val="left"/>
        <w:outlineLvl w:val="0"/>
        <w:rPr>
          <w:rFonts w:ascii="仿宋_GB2312" w:eastAsia="仿宋_GB2312"/>
          <w:b/>
          <w:sz w:val="24"/>
        </w:rPr>
      </w:pPr>
      <w:bookmarkStart w:id="25" w:name="_Toc14428"/>
      <w:r>
        <w:rPr>
          <w:rFonts w:hint="eastAsia" w:ascii="仿宋_GB2312" w:eastAsia="仿宋_GB2312"/>
          <w:b/>
          <w:sz w:val="24"/>
        </w:rPr>
        <w:t>（三）使用成效及通报情况</w:t>
      </w:r>
      <w:bookmarkEnd w:id="25"/>
    </w:p>
    <w:p w14:paraId="755C899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4EFFE88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项目总体资金均专款专用，除小额贴息项目外其余项目完成进度和及时性达到计划预期目的。完成项目的质量能够达标，完成进行了自评、项目资金完整。</w:t>
      </w:r>
    </w:p>
    <w:p w14:paraId="1BE45A6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小额信贷贴息项目小额信贷还款率未达目标申报表绩效标准。</w:t>
      </w:r>
    </w:p>
    <w:p w14:paraId="255108B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数商兴农项目相关资产未及时转固管理。</w:t>
      </w:r>
    </w:p>
    <w:p w14:paraId="0FA965E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06ADE65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7609B69A">
      <w:pPr>
        <w:spacing w:line="360" w:lineRule="auto"/>
        <w:ind w:firstLine="482" w:firstLineChars="200"/>
        <w:outlineLvl w:val="0"/>
        <w:rPr>
          <w:rFonts w:hint="eastAsia" w:ascii="Arial Narrow" w:hAnsi="Arial Narrow" w:eastAsia="仿宋_GB2312"/>
          <w:b/>
          <w:sz w:val="24"/>
        </w:rPr>
      </w:pPr>
      <w:bookmarkStart w:id="26" w:name="_Toc29713"/>
      <w:r>
        <w:rPr>
          <w:rFonts w:hint="eastAsia" w:ascii="Arial Narrow" w:hAnsi="Arial Narrow" w:eastAsia="仿宋_GB2312"/>
          <w:b/>
          <w:sz w:val="24"/>
        </w:rPr>
        <w:t>五、存在的问题和建议</w:t>
      </w:r>
      <w:bookmarkEnd w:id="26"/>
    </w:p>
    <w:p w14:paraId="7CAC6D14">
      <w:pPr>
        <w:spacing w:line="360" w:lineRule="auto"/>
        <w:ind w:firstLine="482" w:firstLineChars="200"/>
        <w:jc w:val="left"/>
        <w:outlineLvl w:val="0"/>
        <w:rPr>
          <w:rFonts w:ascii="仿宋_GB2312" w:eastAsia="仿宋_GB2312"/>
          <w:b/>
          <w:sz w:val="24"/>
        </w:rPr>
      </w:pPr>
      <w:bookmarkStart w:id="27" w:name="_Toc26152"/>
      <w:r>
        <w:rPr>
          <w:rFonts w:hint="eastAsia" w:ascii="仿宋_GB2312" w:eastAsia="仿宋_GB2312"/>
          <w:b/>
          <w:sz w:val="24"/>
        </w:rPr>
        <w:t>（一）存在问题</w:t>
      </w:r>
      <w:bookmarkEnd w:id="27"/>
    </w:p>
    <w:p w14:paraId="3E9B9EB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1.项目实施完毕后，未及时形成自评报告。</w:t>
      </w:r>
    </w:p>
    <w:p w14:paraId="41A760F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2.部分项目资金拨付进度较晚，最后一笔款于2023年12月支出。</w:t>
      </w:r>
    </w:p>
    <w:p w14:paraId="3FA50BB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3.日常档案管理资料整理归档不及时。</w:t>
      </w:r>
    </w:p>
    <w:p w14:paraId="436F5DD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4.小额信贷贴息项目部分指标未达绩效申报目标。</w:t>
      </w:r>
    </w:p>
    <w:p w14:paraId="30A0264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5.数商兴农项目部分资产未进行转固管理。</w:t>
      </w:r>
    </w:p>
    <w:p w14:paraId="6B11D1C6">
      <w:pPr>
        <w:spacing w:line="360" w:lineRule="auto"/>
        <w:ind w:firstLine="482" w:firstLineChars="200"/>
        <w:jc w:val="left"/>
        <w:outlineLvl w:val="0"/>
        <w:rPr>
          <w:rFonts w:ascii="仿宋_GB2312" w:eastAsia="仿宋_GB2312"/>
          <w:b/>
          <w:sz w:val="24"/>
        </w:rPr>
      </w:pPr>
      <w:bookmarkStart w:id="28" w:name="_Toc8048"/>
      <w:r>
        <w:rPr>
          <w:rFonts w:hint="eastAsia" w:ascii="仿宋_GB2312" w:eastAsia="仿宋_GB2312"/>
          <w:b/>
          <w:sz w:val="24"/>
        </w:rPr>
        <w:t>（二）建议</w:t>
      </w:r>
      <w:bookmarkEnd w:id="28"/>
    </w:p>
    <w:p w14:paraId="58AB704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1.项目实施完毕后及时展开自评程序，完善自评表、自评报告，总结项目经验，为巩固拓展脱贫攻坚成果同乡村振兴有效衔接决策和分配财政专项衔接资金提供重要参考。</w:t>
      </w:r>
    </w:p>
    <w:p w14:paraId="3493414D">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2.严格按照财政资金预算执行，及时拨付项目资金。针对财政专项资金,建议实施单位在规定时间内支付项目资金,杜绝资金滞留、挤占、截留、挪用等现象的发生。</w:t>
      </w:r>
    </w:p>
    <w:p w14:paraId="12B10FC8">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3.对项目日常管理资料及时归档整理装订成册或装订成盒。</w:t>
      </w:r>
    </w:p>
    <w:p w14:paraId="2FD0CE32">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4.合理制定绩效目标，防止绩效目标偏离实际管理范畴。</w:t>
      </w:r>
    </w:p>
    <w:p w14:paraId="2CF4393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5.及时对达到预定使用状态的资产进行转固处理，加强资产管理规范性。</w:t>
      </w:r>
    </w:p>
    <w:p w14:paraId="016F10BA">
      <w:pPr>
        <w:adjustRightInd w:val="0"/>
        <w:snapToGrid w:val="0"/>
        <w:spacing w:line="360" w:lineRule="auto"/>
        <w:ind w:firstLine="480" w:firstLineChars="200"/>
        <w:rPr>
          <w:rStyle w:val="10"/>
          <w:rFonts w:ascii="Arial Narrow" w:hAnsi="Arial Narrow" w:eastAsia="仿宋_GB2312"/>
          <w:color w:val="auto"/>
          <w:sz w:val="24"/>
          <w:u w:val="none"/>
        </w:rPr>
      </w:pPr>
    </w:p>
    <w:p w14:paraId="32F74901">
      <w:pPr>
        <w:adjustRightInd w:val="0"/>
        <w:snapToGrid w:val="0"/>
        <w:spacing w:line="360" w:lineRule="auto"/>
        <w:ind w:firstLine="480" w:firstLineChars="200"/>
        <w:rPr>
          <w:rStyle w:val="10"/>
          <w:rFonts w:ascii="Arial Narrow" w:hAnsi="Arial Narrow" w:eastAsia="仿宋_GB2312"/>
          <w:color w:val="auto"/>
          <w:sz w:val="24"/>
          <w:u w:val="none"/>
        </w:rPr>
      </w:pPr>
    </w:p>
    <w:p w14:paraId="4CA33F29">
      <w:pPr>
        <w:adjustRightInd w:val="0"/>
        <w:snapToGrid w:val="0"/>
        <w:spacing w:line="360" w:lineRule="auto"/>
        <w:ind w:firstLine="420" w:firstLineChars="200"/>
        <w:rPr>
          <w:rStyle w:val="10"/>
          <w:color w:val="auto"/>
          <w:u w:val="none"/>
        </w:rPr>
      </w:pPr>
    </w:p>
    <w:p w14:paraId="449C1E8F">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23F49A42">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7F8D21A8">
      <w:pPr>
        <w:adjustRightInd w:val="0"/>
        <w:snapToGrid w:val="0"/>
        <w:spacing w:line="360" w:lineRule="auto"/>
        <w:ind w:firstLine="720" w:firstLineChars="300"/>
        <w:rPr>
          <w:rStyle w:val="10"/>
          <w:rFonts w:ascii="Arial Narrow" w:hAnsi="Arial Narrow" w:eastAsia="仿宋_GB2312"/>
          <w:color w:val="auto"/>
          <w:sz w:val="24"/>
          <w:u w:val="none"/>
        </w:rPr>
      </w:pPr>
    </w:p>
    <w:p w14:paraId="38FF3B7A">
      <w:pPr>
        <w:adjustRightInd w:val="0"/>
        <w:snapToGrid w:val="0"/>
        <w:spacing w:line="360" w:lineRule="auto"/>
        <w:ind w:firstLine="720" w:firstLineChars="300"/>
        <w:rPr>
          <w:rStyle w:val="10"/>
          <w:rFonts w:ascii="Arial Narrow" w:hAnsi="Arial Narrow" w:eastAsia="仿宋_GB2312"/>
          <w:color w:val="auto"/>
          <w:sz w:val="24"/>
          <w:u w:val="none"/>
        </w:rPr>
      </w:pPr>
    </w:p>
    <w:p w14:paraId="41077C3B">
      <w:pPr>
        <w:adjustRightInd w:val="0"/>
        <w:snapToGrid w:val="0"/>
        <w:spacing w:line="360" w:lineRule="auto"/>
        <w:ind w:firstLine="720" w:firstLineChars="300"/>
        <w:rPr>
          <w:rStyle w:val="10"/>
          <w:rFonts w:ascii="Arial Narrow" w:hAnsi="Arial Narrow" w:eastAsia="仿宋_GB2312"/>
          <w:color w:val="auto"/>
          <w:sz w:val="24"/>
          <w:u w:val="none"/>
        </w:rPr>
      </w:pPr>
    </w:p>
    <w:p w14:paraId="77452D5F">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192975CA">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二四年六月二十五日</w:t>
      </w:r>
    </w:p>
    <w:sectPr>
      <w:headerReference r:id="rId4" w:type="default"/>
      <w:footerReference r:id="rId5"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5DB1C">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641D9">
    <w:pPr>
      <w:pStyle w:val="4"/>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33E108">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33E108">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2636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6DCA"/>
    <w:rsid w:val="000300BD"/>
    <w:rsid w:val="00060BD2"/>
    <w:rsid w:val="00063E0B"/>
    <w:rsid w:val="000769EE"/>
    <w:rsid w:val="00097AD6"/>
    <w:rsid w:val="000D1A3B"/>
    <w:rsid w:val="000E4529"/>
    <w:rsid w:val="000E6A52"/>
    <w:rsid w:val="0010003E"/>
    <w:rsid w:val="00103141"/>
    <w:rsid w:val="00104568"/>
    <w:rsid w:val="00143A99"/>
    <w:rsid w:val="00152152"/>
    <w:rsid w:val="00164C87"/>
    <w:rsid w:val="001A42EB"/>
    <w:rsid w:val="001C6F32"/>
    <w:rsid w:val="001E0132"/>
    <w:rsid w:val="001F3624"/>
    <w:rsid w:val="001F43AE"/>
    <w:rsid w:val="00216472"/>
    <w:rsid w:val="00224D96"/>
    <w:rsid w:val="00226E7E"/>
    <w:rsid w:val="00276D1C"/>
    <w:rsid w:val="00282997"/>
    <w:rsid w:val="00283DC1"/>
    <w:rsid w:val="002C083D"/>
    <w:rsid w:val="002C36AE"/>
    <w:rsid w:val="002C5020"/>
    <w:rsid w:val="002C7EFA"/>
    <w:rsid w:val="00302DF8"/>
    <w:rsid w:val="00324E2F"/>
    <w:rsid w:val="00331DC5"/>
    <w:rsid w:val="0037066E"/>
    <w:rsid w:val="00384C3C"/>
    <w:rsid w:val="003879CE"/>
    <w:rsid w:val="003A00D8"/>
    <w:rsid w:val="003B42BF"/>
    <w:rsid w:val="003C213A"/>
    <w:rsid w:val="003D6DF5"/>
    <w:rsid w:val="003E031A"/>
    <w:rsid w:val="00414A58"/>
    <w:rsid w:val="004200C2"/>
    <w:rsid w:val="00420AA7"/>
    <w:rsid w:val="00421C71"/>
    <w:rsid w:val="00470930"/>
    <w:rsid w:val="004B72D0"/>
    <w:rsid w:val="004C1F3A"/>
    <w:rsid w:val="004C38B4"/>
    <w:rsid w:val="004D1145"/>
    <w:rsid w:val="004D2A6E"/>
    <w:rsid w:val="004E6833"/>
    <w:rsid w:val="004F7A0F"/>
    <w:rsid w:val="00501A64"/>
    <w:rsid w:val="00536985"/>
    <w:rsid w:val="00565CD7"/>
    <w:rsid w:val="00572DD6"/>
    <w:rsid w:val="005E133F"/>
    <w:rsid w:val="005F01BA"/>
    <w:rsid w:val="0061001E"/>
    <w:rsid w:val="0061417A"/>
    <w:rsid w:val="006278E2"/>
    <w:rsid w:val="00655510"/>
    <w:rsid w:val="00695C7B"/>
    <w:rsid w:val="0069678B"/>
    <w:rsid w:val="006A58E0"/>
    <w:rsid w:val="006D14F7"/>
    <w:rsid w:val="006E75D6"/>
    <w:rsid w:val="006E7DA1"/>
    <w:rsid w:val="006F7CBD"/>
    <w:rsid w:val="0073019B"/>
    <w:rsid w:val="00730A8E"/>
    <w:rsid w:val="00740E9D"/>
    <w:rsid w:val="00741402"/>
    <w:rsid w:val="007618F2"/>
    <w:rsid w:val="007A6BE6"/>
    <w:rsid w:val="00827385"/>
    <w:rsid w:val="00842151"/>
    <w:rsid w:val="00856815"/>
    <w:rsid w:val="008952B1"/>
    <w:rsid w:val="008C035F"/>
    <w:rsid w:val="008C6CD7"/>
    <w:rsid w:val="008D4F7C"/>
    <w:rsid w:val="008E609D"/>
    <w:rsid w:val="008F61AD"/>
    <w:rsid w:val="0090729E"/>
    <w:rsid w:val="009309C0"/>
    <w:rsid w:val="0093667D"/>
    <w:rsid w:val="00983CB7"/>
    <w:rsid w:val="009957B8"/>
    <w:rsid w:val="0099666C"/>
    <w:rsid w:val="009F1C42"/>
    <w:rsid w:val="00A066D6"/>
    <w:rsid w:val="00A14650"/>
    <w:rsid w:val="00A352D4"/>
    <w:rsid w:val="00A922C5"/>
    <w:rsid w:val="00A95CA5"/>
    <w:rsid w:val="00AC3880"/>
    <w:rsid w:val="00AD0284"/>
    <w:rsid w:val="00AE470F"/>
    <w:rsid w:val="00AF58DD"/>
    <w:rsid w:val="00B134A6"/>
    <w:rsid w:val="00B25A79"/>
    <w:rsid w:val="00B275B2"/>
    <w:rsid w:val="00B7289F"/>
    <w:rsid w:val="00BA212E"/>
    <w:rsid w:val="00BB3674"/>
    <w:rsid w:val="00BC2692"/>
    <w:rsid w:val="00BC7BED"/>
    <w:rsid w:val="00BD6FFD"/>
    <w:rsid w:val="00C02FB6"/>
    <w:rsid w:val="00C107C7"/>
    <w:rsid w:val="00C12443"/>
    <w:rsid w:val="00C1547D"/>
    <w:rsid w:val="00C35442"/>
    <w:rsid w:val="00C36A73"/>
    <w:rsid w:val="00C44870"/>
    <w:rsid w:val="00C60A62"/>
    <w:rsid w:val="00CB54FB"/>
    <w:rsid w:val="00CC769D"/>
    <w:rsid w:val="00CF48A4"/>
    <w:rsid w:val="00D1562E"/>
    <w:rsid w:val="00D254D3"/>
    <w:rsid w:val="00D26E16"/>
    <w:rsid w:val="00D415D5"/>
    <w:rsid w:val="00DB55F0"/>
    <w:rsid w:val="00E065AA"/>
    <w:rsid w:val="00E13D53"/>
    <w:rsid w:val="00E23D6E"/>
    <w:rsid w:val="00E27A95"/>
    <w:rsid w:val="00E66C12"/>
    <w:rsid w:val="00E709E2"/>
    <w:rsid w:val="00E80BDA"/>
    <w:rsid w:val="00EA1C10"/>
    <w:rsid w:val="00EB474C"/>
    <w:rsid w:val="00ED0A8C"/>
    <w:rsid w:val="00F36680"/>
    <w:rsid w:val="00F54C3F"/>
    <w:rsid w:val="00F61D28"/>
    <w:rsid w:val="00F64D50"/>
    <w:rsid w:val="00F6551E"/>
    <w:rsid w:val="00F84DF0"/>
    <w:rsid w:val="00FA6718"/>
    <w:rsid w:val="00FD12B0"/>
    <w:rsid w:val="00FD1A79"/>
    <w:rsid w:val="00FD5F18"/>
    <w:rsid w:val="00FE1E65"/>
    <w:rsid w:val="00FE5705"/>
    <w:rsid w:val="00FF2965"/>
    <w:rsid w:val="00FF5AA5"/>
    <w:rsid w:val="02717C9D"/>
    <w:rsid w:val="0C955D75"/>
    <w:rsid w:val="10FD0312"/>
    <w:rsid w:val="120E6874"/>
    <w:rsid w:val="270731DD"/>
    <w:rsid w:val="29C37871"/>
    <w:rsid w:val="2B4D74CE"/>
    <w:rsid w:val="33CC118C"/>
    <w:rsid w:val="357129F4"/>
    <w:rsid w:val="371050B8"/>
    <w:rsid w:val="45947F31"/>
    <w:rsid w:val="4C011980"/>
    <w:rsid w:val="4DF1278B"/>
    <w:rsid w:val="52A342B5"/>
    <w:rsid w:val="580B0FB7"/>
    <w:rsid w:val="5C0F4546"/>
    <w:rsid w:val="60087B46"/>
    <w:rsid w:val="62946E6B"/>
    <w:rsid w:val="629B4EDD"/>
    <w:rsid w:val="65956941"/>
    <w:rsid w:val="6C0B491D"/>
    <w:rsid w:val="78BE5EC5"/>
    <w:rsid w:val="7F4D5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11</Pages>
  <Words>6880</Words>
  <Characters>7338</Characters>
  <Lines>61</Lines>
  <Paragraphs>17</Paragraphs>
  <TotalTime>12</TotalTime>
  <ScaleCrop>false</ScaleCrop>
  <LinksUpToDate>false</LinksUpToDate>
  <CharactersWithSpaces>7373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2024-07-18T06:56:00Z</cp:lastPrinted>
  <dcterms:modified xsi:type="dcterms:W3CDTF">2024-11-19T09:57:12Z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