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DAC7F">
      <w:pPr>
        <w:spacing w:line="360" w:lineRule="auto"/>
        <w:jc w:val="center"/>
        <w:rPr>
          <w:rFonts w:ascii="Arial Narrow" w:hAnsi="Arial Narrow"/>
          <w:b/>
          <w:bCs/>
          <w:sz w:val="36"/>
          <w:szCs w:val="36"/>
        </w:rPr>
      </w:pPr>
    </w:p>
    <w:p w14:paraId="48D7CB6E">
      <w:pPr>
        <w:spacing w:line="360" w:lineRule="auto"/>
        <w:jc w:val="center"/>
        <w:rPr>
          <w:rFonts w:ascii="Arial Narrow" w:hAnsi="Arial Narrow"/>
          <w:b/>
          <w:bCs/>
          <w:sz w:val="36"/>
          <w:szCs w:val="36"/>
        </w:rPr>
      </w:pPr>
    </w:p>
    <w:p w14:paraId="7C2E534F">
      <w:pPr>
        <w:spacing w:line="360" w:lineRule="auto"/>
        <w:jc w:val="center"/>
        <w:rPr>
          <w:rFonts w:ascii="Arial Narrow" w:hAnsi="Arial Narrow"/>
          <w:b/>
          <w:bCs/>
          <w:sz w:val="36"/>
          <w:szCs w:val="36"/>
        </w:rPr>
      </w:pPr>
    </w:p>
    <w:p w14:paraId="66526B28">
      <w:pPr>
        <w:spacing w:line="360" w:lineRule="auto"/>
        <w:jc w:val="center"/>
        <w:rPr>
          <w:rFonts w:ascii="Arial Narrow" w:hAnsi="Arial Narrow"/>
          <w:b/>
          <w:bCs/>
          <w:sz w:val="36"/>
          <w:szCs w:val="36"/>
        </w:rPr>
      </w:pPr>
    </w:p>
    <w:p w14:paraId="6345AD9D">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重庆市铜梁区乡村振兴局脱贫户医保资助项目</w:t>
      </w:r>
    </w:p>
    <w:p w14:paraId="675E2EC0">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00E16600">
      <w:pPr>
        <w:adjustRightInd w:val="0"/>
        <w:snapToGrid w:val="0"/>
        <w:spacing w:line="360" w:lineRule="auto"/>
        <w:jc w:val="center"/>
        <w:rPr>
          <w:rFonts w:ascii="Arial Narrow" w:hAnsi="Arial Narrow"/>
          <w:b/>
          <w:sz w:val="36"/>
          <w:szCs w:val="36"/>
        </w:rPr>
      </w:pPr>
    </w:p>
    <w:p w14:paraId="05F69ED2">
      <w:pPr>
        <w:adjustRightInd w:val="0"/>
        <w:snapToGrid w:val="0"/>
        <w:spacing w:line="360" w:lineRule="auto"/>
        <w:jc w:val="center"/>
        <w:rPr>
          <w:rFonts w:ascii="Arial Narrow" w:hAnsi="Arial Narrow"/>
          <w:b/>
          <w:spacing w:val="100"/>
          <w:sz w:val="32"/>
          <w:szCs w:val="32"/>
        </w:rPr>
      </w:pPr>
    </w:p>
    <w:p w14:paraId="6E5B482C">
      <w:pPr>
        <w:adjustRightInd w:val="0"/>
        <w:snapToGrid w:val="0"/>
        <w:spacing w:line="360" w:lineRule="auto"/>
        <w:jc w:val="center"/>
        <w:rPr>
          <w:rFonts w:ascii="Arial Narrow" w:hAnsi="Arial Narrow"/>
          <w:b/>
          <w:spacing w:val="100"/>
          <w:sz w:val="32"/>
          <w:szCs w:val="32"/>
        </w:rPr>
      </w:pPr>
    </w:p>
    <w:p w14:paraId="268961CA">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18D53D06">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044</w:t>
      </w:r>
      <w:r>
        <w:rPr>
          <w:rFonts w:ascii="Arial Narrow" w:hAnsi="Arial Narrow" w:eastAsia="仿宋"/>
          <w:bCs/>
          <w:sz w:val="32"/>
          <w:szCs w:val="32"/>
        </w:rPr>
        <w:t>号</w:t>
      </w:r>
    </w:p>
    <w:p w14:paraId="24147DDD">
      <w:pPr>
        <w:adjustRightInd w:val="0"/>
        <w:snapToGrid w:val="0"/>
        <w:spacing w:line="360" w:lineRule="auto"/>
        <w:jc w:val="center"/>
        <w:rPr>
          <w:rFonts w:ascii="Arial Narrow" w:hAnsi="Arial Narrow"/>
          <w:b/>
          <w:spacing w:val="100"/>
          <w:sz w:val="32"/>
          <w:szCs w:val="32"/>
        </w:rPr>
      </w:pPr>
    </w:p>
    <w:p w14:paraId="7DF01FE3">
      <w:pPr>
        <w:adjustRightInd w:val="0"/>
        <w:snapToGrid w:val="0"/>
        <w:spacing w:line="360" w:lineRule="auto"/>
        <w:jc w:val="center"/>
        <w:rPr>
          <w:rFonts w:ascii="Arial Narrow" w:hAnsi="Arial Narrow"/>
          <w:b/>
          <w:spacing w:val="100"/>
          <w:sz w:val="32"/>
          <w:szCs w:val="32"/>
        </w:rPr>
      </w:pPr>
    </w:p>
    <w:p w14:paraId="29A1C569">
      <w:pPr>
        <w:adjustRightInd w:val="0"/>
        <w:snapToGrid w:val="0"/>
        <w:spacing w:line="360" w:lineRule="auto"/>
        <w:jc w:val="center"/>
        <w:rPr>
          <w:rFonts w:ascii="Arial Narrow" w:hAnsi="Arial Narrow"/>
          <w:b/>
          <w:spacing w:val="100"/>
          <w:sz w:val="32"/>
          <w:szCs w:val="32"/>
        </w:rPr>
      </w:pPr>
    </w:p>
    <w:p w14:paraId="1AC1CFEF">
      <w:pPr>
        <w:adjustRightInd w:val="0"/>
        <w:snapToGrid w:val="0"/>
        <w:spacing w:line="360" w:lineRule="auto"/>
        <w:jc w:val="center"/>
        <w:rPr>
          <w:rFonts w:ascii="Arial Narrow" w:hAnsi="Arial Narrow"/>
          <w:b/>
          <w:spacing w:val="100"/>
          <w:sz w:val="32"/>
          <w:szCs w:val="32"/>
        </w:rPr>
      </w:pPr>
    </w:p>
    <w:p w14:paraId="78490943">
      <w:pPr>
        <w:adjustRightInd w:val="0"/>
        <w:snapToGrid w:val="0"/>
        <w:spacing w:line="360" w:lineRule="auto"/>
        <w:jc w:val="center"/>
        <w:rPr>
          <w:rFonts w:ascii="Arial Narrow" w:hAnsi="Arial Narrow"/>
          <w:b/>
          <w:spacing w:val="100"/>
          <w:sz w:val="32"/>
          <w:szCs w:val="32"/>
        </w:rPr>
      </w:pPr>
    </w:p>
    <w:p w14:paraId="4249BF67">
      <w:pPr>
        <w:adjustRightInd w:val="0"/>
        <w:snapToGrid w:val="0"/>
        <w:spacing w:line="360" w:lineRule="auto"/>
        <w:jc w:val="center"/>
        <w:rPr>
          <w:rFonts w:ascii="Arial Narrow" w:hAnsi="Arial Narrow"/>
          <w:b/>
          <w:spacing w:val="100"/>
          <w:sz w:val="32"/>
          <w:szCs w:val="32"/>
        </w:rPr>
      </w:pPr>
    </w:p>
    <w:p w14:paraId="0CD71CD5">
      <w:pPr>
        <w:adjustRightInd w:val="0"/>
        <w:snapToGrid w:val="0"/>
        <w:spacing w:line="360" w:lineRule="auto"/>
        <w:jc w:val="center"/>
        <w:rPr>
          <w:rFonts w:ascii="Arial Narrow" w:hAnsi="Arial Narrow"/>
          <w:b/>
          <w:spacing w:val="100"/>
          <w:sz w:val="32"/>
          <w:szCs w:val="32"/>
        </w:rPr>
      </w:pPr>
    </w:p>
    <w:p w14:paraId="63E3C7F3">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52BE337F">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289AF4CE">
      <w:pPr>
        <w:spacing w:line="360" w:lineRule="auto"/>
        <w:jc w:val="center"/>
        <w:rPr>
          <w:rFonts w:ascii="Arial Narrow" w:hAnsi="Arial Narrow"/>
          <w:sz w:val="24"/>
        </w:rPr>
      </w:pPr>
    </w:p>
    <w:p w14:paraId="5DDC1B3B">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_Toc17383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_Toc17383 \h </w:instrText>
      </w:r>
      <w:r>
        <w:fldChar w:fldCharType="separate"/>
      </w:r>
      <w:r>
        <w:t>1</w:t>
      </w:r>
      <w:r>
        <w:fldChar w:fldCharType="end"/>
      </w:r>
      <w:r>
        <w:rPr>
          <w:rFonts w:ascii="仿宋" w:hAnsi="仿宋" w:eastAsia="仿宋"/>
          <w:bCs w:val="0"/>
          <w:color w:val="auto"/>
          <w:szCs w:val="21"/>
          <w:u w:val="none"/>
        </w:rPr>
        <w:fldChar w:fldCharType="end"/>
      </w:r>
    </w:p>
    <w:p w14:paraId="085E752F">
      <w:pPr>
        <w:pStyle w:val="6"/>
        <w:tabs>
          <w:tab w:val="right" w:leader="dot" w:pos="8788"/>
          <w:tab w:val="clear" w:pos="8778"/>
        </w:tabs>
      </w:pPr>
      <w:r>
        <w:rPr>
          <w:color w:val="auto"/>
          <w:szCs w:val="21"/>
          <w:u w:val="none"/>
        </w:rPr>
        <w:fldChar w:fldCharType="begin"/>
      </w:r>
      <w:r>
        <w:rPr>
          <w:szCs w:val="21"/>
        </w:rPr>
        <w:instrText xml:space="preserve"> HYPERLINK \l _Toc2866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_Toc2866 \h </w:instrText>
      </w:r>
      <w:r>
        <w:fldChar w:fldCharType="separate"/>
      </w:r>
      <w:r>
        <w:t>1</w:t>
      </w:r>
      <w:r>
        <w:fldChar w:fldCharType="end"/>
      </w:r>
      <w:r>
        <w:rPr>
          <w:color w:val="auto"/>
          <w:szCs w:val="21"/>
          <w:u w:val="none"/>
        </w:rPr>
        <w:fldChar w:fldCharType="end"/>
      </w:r>
    </w:p>
    <w:p w14:paraId="6C9A1A49">
      <w:pPr>
        <w:pStyle w:val="6"/>
        <w:tabs>
          <w:tab w:val="right" w:leader="dot" w:pos="8788"/>
          <w:tab w:val="clear" w:pos="8778"/>
        </w:tabs>
      </w:pPr>
      <w:r>
        <w:rPr>
          <w:color w:val="auto"/>
          <w:szCs w:val="21"/>
          <w:u w:val="none"/>
        </w:rPr>
        <w:fldChar w:fldCharType="begin"/>
      </w:r>
      <w:r>
        <w:rPr>
          <w:szCs w:val="21"/>
        </w:rPr>
        <w:instrText xml:space="preserve"> HYPERLINK \l _Toc14238 </w:instrText>
      </w:r>
      <w:r>
        <w:rPr>
          <w:szCs w:val="21"/>
        </w:rPr>
        <w:fldChar w:fldCharType="separate"/>
      </w:r>
      <w:r>
        <w:rPr>
          <w:rFonts w:ascii="Arial Narrow" w:hAnsi="Arial Narrow" w:eastAsia="仿宋_GB2312"/>
        </w:rPr>
        <w:t>二、绩效评价工作情况</w:t>
      </w:r>
      <w:r>
        <w:tab/>
      </w:r>
      <w:r>
        <w:fldChar w:fldCharType="begin"/>
      </w:r>
      <w:r>
        <w:instrText xml:space="preserve"> PAGEREF _Toc14238 \h </w:instrText>
      </w:r>
      <w:r>
        <w:fldChar w:fldCharType="separate"/>
      </w:r>
      <w:r>
        <w:t>1</w:t>
      </w:r>
      <w:r>
        <w:fldChar w:fldCharType="end"/>
      </w:r>
      <w:r>
        <w:rPr>
          <w:color w:val="auto"/>
          <w:szCs w:val="21"/>
          <w:u w:val="none"/>
        </w:rPr>
        <w:fldChar w:fldCharType="end"/>
      </w:r>
    </w:p>
    <w:p w14:paraId="32965A1B">
      <w:pPr>
        <w:pStyle w:val="6"/>
        <w:tabs>
          <w:tab w:val="right" w:leader="dot" w:pos="8788"/>
          <w:tab w:val="clear" w:pos="8778"/>
        </w:tabs>
      </w:pPr>
      <w:r>
        <w:rPr>
          <w:color w:val="auto"/>
          <w:szCs w:val="21"/>
          <w:u w:val="none"/>
        </w:rPr>
        <w:fldChar w:fldCharType="begin"/>
      </w:r>
      <w:r>
        <w:rPr>
          <w:szCs w:val="21"/>
        </w:rPr>
        <w:instrText xml:space="preserve"> HYPERLINK \l _Toc6692 </w:instrText>
      </w:r>
      <w:r>
        <w:rPr>
          <w:szCs w:val="21"/>
        </w:rPr>
        <w:fldChar w:fldCharType="separate"/>
      </w:r>
      <w:r>
        <w:rPr>
          <w:rFonts w:ascii="Arial Narrow" w:hAnsi="Arial Narrow" w:eastAsia="仿宋_GB2312"/>
        </w:rPr>
        <w:t>（一）绩效评价目的</w:t>
      </w:r>
      <w:r>
        <w:tab/>
      </w:r>
      <w:r>
        <w:fldChar w:fldCharType="begin"/>
      </w:r>
      <w:r>
        <w:instrText xml:space="preserve"> PAGEREF _Toc6692 \h </w:instrText>
      </w:r>
      <w:r>
        <w:fldChar w:fldCharType="separate"/>
      </w:r>
      <w:r>
        <w:t>1</w:t>
      </w:r>
      <w:r>
        <w:fldChar w:fldCharType="end"/>
      </w:r>
      <w:r>
        <w:rPr>
          <w:color w:val="auto"/>
          <w:szCs w:val="21"/>
          <w:u w:val="none"/>
        </w:rPr>
        <w:fldChar w:fldCharType="end"/>
      </w:r>
    </w:p>
    <w:p w14:paraId="3B4A782E">
      <w:pPr>
        <w:pStyle w:val="6"/>
        <w:tabs>
          <w:tab w:val="right" w:leader="dot" w:pos="8788"/>
          <w:tab w:val="clear" w:pos="8778"/>
        </w:tabs>
      </w:pPr>
      <w:r>
        <w:rPr>
          <w:color w:val="auto"/>
          <w:szCs w:val="21"/>
          <w:u w:val="none"/>
        </w:rPr>
        <w:fldChar w:fldCharType="begin"/>
      </w:r>
      <w:r>
        <w:rPr>
          <w:szCs w:val="21"/>
        </w:rPr>
        <w:instrText xml:space="preserve"> HYPERLINK \l _Toc12061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_Toc12061 \h </w:instrText>
      </w:r>
      <w:r>
        <w:fldChar w:fldCharType="separate"/>
      </w:r>
      <w:r>
        <w:t>2</w:t>
      </w:r>
      <w:r>
        <w:fldChar w:fldCharType="end"/>
      </w:r>
      <w:r>
        <w:rPr>
          <w:color w:val="auto"/>
          <w:szCs w:val="21"/>
          <w:u w:val="none"/>
        </w:rPr>
        <w:fldChar w:fldCharType="end"/>
      </w:r>
    </w:p>
    <w:p w14:paraId="334D47F2">
      <w:pPr>
        <w:pStyle w:val="6"/>
        <w:tabs>
          <w:tab w:val="right" w:leader="dot" w:pos="8788"/>
          <w:tab w:val="clear" w:pos="8778"/>
        </w:tabs>
      </w:pPr>
      <w:r>
        <w:rPr>
          <w:color w:val="auto"/>
          <w:szCs w:val="21"/>
          <w:u w:val="none"/>
        </w:rPr>
        <w:fldChar w:fldCharType="begin"/>
      </w:r>
      <w:r>
        <w:rPr>
          <w:szCs w:val="21"/>
        </w:rPr>
        <w:instrText xml:space="preserve"> HYPERLINK \l _Toc7873 </w:instrText>
      </w:r>
      <w:r>
        <w:rPr>
          <w:szCs w:val="21"/>
        </w:rPr>
        <w:fldChar w:fldCharType="separate"/>
      </w:r>
      <w:r>
        <w:rPr>
          <w:rFonts w:ascii="Arial Narrow" w:hAnsi="Arial Narrow" w:eastAsia="仿宋_GB2312"/>
        </w:rPr>
        <w:t>（三）绩效评价依据</w:t>
      </w:r>
      <w:r>
        <w:tab/>
      </w:r>
      <w:r>
        <w:fldChar w:fldCharType="begin"/>
      </w:r>
      <w:r>
        <w:instrText xml:space="preserve"> PAGEREF _Toc7873 \h </w:instrText>
      </w:r>
      <w:r>
        <w:fldChar w:fldCharType="separate"/>
      </w:r>
      <w:r>
        <w:t>2</w:t>
      </w:r>
      <w:r>
        <w:fldChar w:fldCharType="end"/>
      </w:r>
      <w:r>
        <w:rPr>
          <w:color w:val="auto"/>
          <w:szCs w:val="21"/>
          <w:u w:val="none"/>
        </w:rPr>
        <w:fldChar w:fldCharType="end"/>
      </w:r>
    </w:p>
    <w:p w14:paraId="1DC03C99">
      <w:pPr>
        <w:pStyle w:val="6"/>
        <w:tabs>
          <w:tab w:val="right" w:leader="dot" w:pos="8788"/>
          <w:tab w:val="clear" w:pos="8778"/>
        </w:tabs>
      </w:pPr>
      <w:r>
        <w:rPr>
          <w:color w:val="auto"/>
          <w:szCs w:val="21"/>
          <w:u w:val="none"/>
        </w:rPr>
        <w:fldChar w:fldCharType="begin"/>
      </w:r>
      <w:r>
        <w:rPr>
          <w:szCs w:val="21"/>
        </w:rPr>
        <w:instrText xml:space="preserve"> HYPERLINK \l _Toc22427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_Toc22427 \h </w:instrText>
      </w:r>
      <w:r>
        <w:fldChar w:fldCharType="separate"/>
      </w:r>
      <w:r>
        <w:t>2</w:t>
      </w:r>
      <w:r>
        <w:fldChar w:fldCharType="end"/>
      </w:r>
      <w:r>
        <w:rPr>
          <w:color w:val="auto"/>
          <w:szCs w:val="21"/>
          <w:u w:val="none"/>
        </w:rPr>
        <w:fldChar w:fldCharType="end"/>
      </w:r>
    </w:p>
    <w:p w14:paraId="2B0B5ACD">
      <w:pPr>
        <w:pStyle w:val="6"/>
        <w:tabs>
          <w:tab w:val="right" w:leader="dot" w:pos="8788"/>
          <w:tab w:val="clear" w:pos="8778"/>
        </w:tabs>
      </w:pPr>
      <w:r>
        <w:rPr>
          <w:color w:val="auto"/>
          <w:szCs w:val="21"/>
          <w:u w:val="none"/>
        </w:rPr>
        <w:fldChar w:fldCharType="begin"/>
      </w:r>
      <w:r>
        <w:rPr>
          <w:szCs w:val="21"/>
        </w:rPr>
        <w:instrText xml:space="preserve"> HYPERLINK \l _Toc7021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_Toc7021 \h </w:instrText>
      </w:r>
      <w:r>
        <w:fldChar w:fldCharType="separate"/>
      </w:r>
      <w:r>
        <w:t>5</w:t>
      </w:r>
      <w:r>
        <w:fldChar w:fldCharType="end"/>
      </w:r>
      <w:r>
        <w:rPr>
          <w:color w:val="auto"/>
          <w:szCs w:val="21"/>
          <w:u w:val="none"/>
        </w:rPr>
        <w:fldChar w:fldCharType="end"/>
      </w:r>
    </w:p>
    <w:p w14:paraId="01AAF4B8">
      <w:pPr>
        <w:pStyle w:val="6"/>
        <w:tabs>
          <w:tab w:val="right" w:leader="dot" w:pos="8788"/>
          <w:tab w:val="clear" w:pos="8778"/>
        </w:tabs>
      </w:pPr>
      <w:r>
        <w:rPr>
          <w:color w:val="auto"/>
          <w:szCs w:val="21"/>
          <w:u w:val="none"/>
        </w:rPr>
        <w:fldChar w:fldCharType="begin"/>
      </w:r>
      <w:r>
        <w:rPr>
          <w:szCs w:val="21"/>
        </w:rPr>
        <w:instrText xml:space="preserve"> HYPERLINK \l _Toc13258 </w:instrText>
      </w:r>
      <w:r>
        <w:rPr>
          <w:szCs w:val="21"/>
        </w:rPr>
        <w:fldChar w:fldCharType="separate"/>
      </w:r>
      <w:r>
        <w:rPr>
          <w:rFonts w:ascii="Arial Narrow" w:hAnsi="Arial Narrow" w:eastAsia="仿宋_GB2312"/>
        </w:rPr>
        <w:t>（六）绩效评价工作过程</w:t>
      </w:r>
      <w:r>
        <w:tab/>
      </w:r>
      <w:r>
        <w:fldChar w:fldCharType="begin"/>
      </w:r>
      <w:r>
        <w:instrText xml:space="preserve"> PAGEREF _Toc13258 \h </w:instrText>
      </w:r>
      <w:r>
        <w:fldChar w:fldCharType="separate"/>
      </w:r>
      <w:r>
        <w:t>5</w:t>
      </w:r>
      <w:r>
        <w:fldChar w:fldCharType="end"/>
      </w:r>
      <w:r>
        <w:rPr>
          <w:color w:val="auto"/>
          <w:szCs w:val="21"/>
          <w:u w:val="none"/>
        </w:rPr>
        <w:fldChar w:fldCharType="end"/>
      </w:r>
    </w:p>
    <w:p w14:paraId="6BBD8292">
      <w:pPr>
        <w:pStyle w:val="6"/>
        <w:tabs>
          <w:tab w:val="right" w:leader="dot" w:pos="8788"/>
          <w:tab w:val="clear" w:pos="8778"/>
        </w:tabs>
      </w:pPr>
      <w:r>
        <w:rPr>
          <w:color w:val="auto"/>
          <w:szCs w:val="21"/>
          <w:u w:val="none"/>
        </w:rPr>
        <w:fldChar w:fldCharType="begin"/>
      </w:r>
      <w:r>
        <w:rPr>
          <w:szCs w:val="21"/>
        </w:rPr>
        <w:instrText xml:space="preserve"> HYPERLINK \l _Toc29289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_Toc29289 \h </w:instrText>
      </w:r>
      <w:r>
        <w:fldChar w:fldCharType="separate"/>
      </w:r>
      <w:r>
        <w:t>6</w:t>
      </w:r>
      <w:r>
        <w:fldChar w:fldCharType="end"/>
      </w:r>
      <w:r>
        <w:rPr>
          <w:color w:val="auto"/>
          <w:szCs w:val="21"/>
          <w:u w:val="none"/>
        </w:rPr>
        <w:fldChar w:fldCharType="end"/>
      </w:r>
    </w:p>
    <w:p w14:paraId="57DAAA2F">
      <w:pPr>
        <w:pStyle w:val="6"/>
        <w:tabs>
          <w:tab w:val="right" w:leader="dot" w:pos="8788"/>
          <w:tab w:val="clear" w:pos="8778"/>
        </w:tabs>
      </w:pPr>
      <w:r>
        <w:rPr>
          <w:color w:val="auto"/>
          <w:szCs w:val="21"/>
          <w:u w:val="none"/>
        </w:rPr>
        <w:fldChar w:fldCharType="begin"/>
      </w:r>
      <w:r>
        <w:rPr>
          <w:szCs w:val="21"/>
        </w:rPr>
        <w:instrText xml:space="preserve"> HYPERLINK \l _Toc17880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_Toc17880 \h </w:instrText>
      </w:r>
      <w:r>
        <w:fldChar w:fldCharType="separate"/>
      </w:r>
      <w:r>
        <w:t>6</w:t>
      </w:r>
      <w:r>
        <w:fldChar w:fldCharType="end"/>
      </w:r>
      <w:r>
        <w:rPr>
          <w:color w:val="auto"/>
          <w:szCs w:val="21"/>
          <w:u w:val="none"/>
        </w:rPr>
        <w:fldChar w:fldCharType="end"/>
      </w:r>
    </w:p>
    <w:p w14:paraId="3CC2129E">
      <w:pPr>
        <w:pStyle w:val="6"/>
        <w:tabs>
          <w:tab w:val="right" w:leader="dot" w:pos="8788"/>
          <w:tab w:val="clear" w:pos="8778"/>
        </w:tabs>
      </w:pPr>
      <w:r>
        <w:rPr>
          <w:color w:val="auto"/>
          <w:szCs w:val="21"/>
          <w:u w:val="none"/>
        </w:rPr>
        <w:fldChar w:fldCharType="begin"/>
      </w:r>
      <w:r>
        <w:rPr>
          <w:szCs w:val="21"/>
        </w:rPr>
        <w:instrText xml:space="preserve"> HYPERLINK \l _Toc27223 </w:instrText>
      </w:r>
      <w:r>
        <w:rPr>
          <w:szCs w:val="21"/>
        </w:rPr>
        <w:fldChar w:fldCharType="separate"/>
      </w:r>
      <w:r>
        <w:rPr>
          <w:rFonts w:hint="eastAsia" w:ascii="仿宋_GB2312" w:eastAsia="仿宋_GB2312"/>
        </w:rPr>
        <w:t>（一）资金管理</w:t>
      </w:r>
      <w:r>
        <w:tab/>
      </w:r>
      <w:r>
        <w:fldChar w:fldCharType="begin"/>
      </w:r>
      <w:r>
        <w:instrText xml:space="preserve"> PAGEREF _Toc27223 \h </w:instrText>
      </w:r>
      <w:r>
        <w:fldChar w:fldCharType="separate"/>
      </w:r>
      <w:r>
        <w:t>6</w:t>
      </w:r>
      <w:r>
        <w:fldChar w:fldCharType="end"/>
      </w:r>
      <w:r>
        <w:rPr>
          <w:color w:val="auto"/>
          <w:szCs w:val="21"/>
          <w:u w:val="none"/>
        </w:rPr>
        <w:fldChar w:fldCharType="end"/>
      </w:r>
    </w:p>
    <w:p w14:paraId="0BD93FB2">
      <w:pPr>
        <w:pStyle w:val="6"/>
        <w:tabs>
          <w:tab w:val="right" w:leader="dot" w:pos="8788"/>
          <w:tab w:val="clear" w:pos="8778"/>
        </w:tabs>
      </w:pPr>
      <w:r>
        <w:rPr>
          <w:color w:val="auto"/>
          <w:szCs w:val="21"/>
          <w:u w:val="none"/>
        </w:rPr>
        <w:fldChar w:fldCharType="begin"/>
      </w:r>
      <w:r>
        <w:rPr>
          <w:szCs w:val="21"/>
        </w:rPr>
        <w:instrText xml:space="preserve"> HYPERLINK \l _Toc31329 </w:instrText>
      </w:r>
      <w:r>
        <w:rPr>
          <w:szCs w:val="21"/>
        </w:rPr>
        <w:fldChar w:fldCharType="separate"/>
      </w:r>
      <w:r>
        <w:rPr>
          <w:rFonts w:hint="eastAsia" w:ascii="仿宋_GB2312" w:eastAsia="仿宋_GB2312"/>
        </w:rPr>
        <w:t>（二）项目管理</w:t>
      </w:r>
      <w:r>
        <w:tab/>
      </w:r>
      <w:r>
        <w:fldChar w:fldCharType="begin"/>
      </w:r>
      <w:r>
        <w:instrText xml:space="preserve"> PAGEREF _Toc31329 \h </w:instrText>
      </w:r>
      <w:r>
        <w:fldChar w:fldCharType="separate"/>
      </w:r>
      <w:r>
        <w:t>6</w:t>
      </w:r>
      <w:r>
        <w:fldChar w:fldCharType="end"/>
      </w:r>
      <w:r>
        <w:rPr>
          <w:color w:val="auto"/>
          <w:szCs w:val="21"/>
          <w:u w:val="none"/>
        </w:rPr>
        <w:fldChar w:fldCharType="end"/>
      </w:r>
    </w:p>
    <w:p w14:paraId="6C0E8687">
      <w:pPr>
        <w:pStyle w:val="6"/>
        <w:tabs>
          <w:tab w:val="right" w:leader="dot" w:pos="8788"/>
          <w:tab w:val="clear" w:pos="8778"/>
        </w:tabs>
      </w:pPr>
      <w:r>
        <w:rPr>
          <w:color w:val="auto"/>
          <w:szCs w:val="21"/>
          <w:u w:val="none"/>
        </w:rPr>
        <w:fldChar w:fldCharType="begin"/>
      </w:r>
      <w:r>
        <w:rPr>
          <w:szCs w:val="21"/>
        </w:rPr>
        <w:instrText xml:space="preserve"> HYPERLINK \l _Toc993 </w:instrText>
      </w:r>
      <w:r>
        <w:rPr>
          <w:szCs w:val="21"/>
        </w:rPr>
        <w:fldChar w:fldCharType="separate"/>
      </w:r>
      <w:r>
        <w:rPr>
          <w:rFonts w:hint="eastAsia" w:ascii="仿宋_GB2312" w:eastAsia="仿宋_GB2312"/>
        </w:rPr>
        <w:t>（三）使用成效及通报情况</w:t>
      </w:r>
      <w:r>
        <w:tab/>
      </w:r>
      <w:r>
        <w:fldChar w:fldCharType="begin"/>
      </w:r>
      <w:r>
        <w:instrText xml:space="preserve"> PAGEREF _Toc993 \h </w:instrText>
      </w:r>
      <w:r>
        <w:fldChar w:fldCharType="separate"/>
      </w:r>
      <w:r>
        <w:t>7</w:t>
      </w:r>
      <w:r>
        <w:fldChar w:fldCharType="end"/>
      </w:r>
      <w:r>
        <w:rPr>
          <w:color w:val="auto"/>
          <w:szCs w:val="21"/>
          <w:u w:val="none"/>
        </w:rPr>
        <w:fldChar w:fldCharType="end"/>
      </w:r>
    </w:p>
    <w:p w14:paraId="2C28A9D2">
      <w:pPr>
        <w:pStyle w:val="6"/>
        <w:tabs>
          <w:tab w:val="right" w:leader="dot" w:pos="8788"/>
          <w:tab w:val="clear" w:pos="8778"/>
        </w:tabs>
      </w:pPr>
      <w:r>
        <w:rPr>
          <w:color w:val="auto"/>
          <w:szCs w:val="21"/>
          <w:u w:val="none"/>
        </w:rPr>
        <w:fldChar w:fldCharType="begin"/>
      </w:r>
      <w:r>
        <w:rPr>
          <w:szCs w:val="21"/>
        </w:rPr>
        <w:instrText xml:space="preserve"> HYPERLINK \l _Toc25597 </w:instrText>
      </w:r>
      <w:r>
        <w:rPr>
          <w:szCs w:val="21"/>
        </w:rPr>
        <w:fldChar w:fldCharType="separate"/>
      </w:r>
      <w:r>
        <w:rPr>
          <w:rFonts w:hint="eastAsia" w:ascii="Arial Narrow" w:hAnsi="Arial Narrow" w:eastAsia="仿宋_GB2312"/>
        </w:rPr>
        <w:t>五、存在的问题和建议</w:t>
      </w:r>
      <w:r>
        <w:tab/>
      </w:r>
      <w:r>
        <w:fldChar w:fldCharType="begin"/>
      </w:r>
      <w:r>
        <w:instrText xml:space="preserve"> PAGEREF _Toc25597 \h </w:instrText>
      </w:r>
      <w:r>
        <w:fldChar w:fldCharType="separate"/>
      </w:r>
      <w:r>
        <w:t>7</w:t>
      </w:r>
      <w:r>
        <w:fldChar w:fldCharType="end"/>
      </w:r>
      <w:r>
        <w:rPr>
          <w:color w:val="auto"/>
          <w:szCs w:val="21"/>
          <w:u w:val="none"/>
        </w:rPr>
        <w:fldChar w:fldCharType="end"/>
      </w:r>
    </w:p>
    <w:p w14:paraId="26F1F04C">
      <w:pPr>
        <w:pStyle w:val="6"/>
        <w:tabs>
          <w:tab w:val="right" w:leader="dot" w:pos="8788"/>
          <w:tab w:val="clear" w:pos="8778"/>
        </w:tabs>
      </w:pPr>
      <w:r>
        <w:rPr>
          <w:color w:val="auto"/>
          <w:szCs w:val="21"/>
          <w:u w:val="none"/>
        </w:rPr>
        <w:fldChar w:fldCharType="begin"/>
      </w:r>
      <w:r>
        <w:rPr>
          <w:szCs w:val="21"/>
        </w:rPr>
        <w:instrText xml:space="preserve"> HYPERLINK \l _Toc4481 </w:instrText>
      </w:r>
      <w:r>
        <w:rPr>
          <w:szCs w:val="21"/>
        </w:rPr>
        <w:fldChar w:fldCharType="separate"/>
      </w:r>
      <w:r>
        <w:rPr>
          <w:rFonts w:hint="eastAsia" w:ascii="仿宋_GB2312" w:eastAsia="仿宋_GB2312"/>
        </w:rPr>
        <w:t>（一）存在问题</w:t>
      </w:r>
      <w:r>
        <w:tab/>
      </w:r>
      <w:r>
        <w:fldChar w:fldCharType="begin"/>
      </w:r>
      <w:r>
        <w:instrText xml:space="preserve"> PAGEREF _Toc4481 \h </w:instrText>
      </w:r>
      <w:r>
        <w:fldChar w:fldCharType="separate"/>
      </w:r>
      <w:r>
        <w:t>7</w:t>
      </w:r>
      <w:r>
        <w:fldChar w:fldCharType="end"/>
      </w:r>
      <w:r>
        <w:rPr>
          <w:color w:val="auto"/>
          <w:szCs w:val="21"/>
          <w:u w:val="none"/>
        </w:rPr>
        <w:fldChar w:fldCharType="end"/>
      </w:r>
    </w:p>
    <w:p w14:paraId="05B4586A">
      <w:pPr>
        <w:pStyle w:val="6"/>
        <w:tabs>
          <w:tab w:val="right" w:leader="dot" w:pos="8788"/>
          <w:tab w:val="clear" w:pos="8778"/>
        </w:tabs>
      </w:pPr>
      <w:r>
        <w:rPr>
          <w:color w:val="auto"/>
          <w:szCs w:val="21"/>
          <w:u w:val="none"/>
        </w:rPr>
        <w:fldChar w:fldCharType="begin"/>
      </w:r>
      <w:r>
        <w:rPr>
          <w:szCs w:val="21"/>
        </w:rPr>
        <w:instrText xml:space="preserve"> HYPERLINK \l _Toc5212 </w:instrText>
      </w:r>
      <w:r>
        <w:rPr>
          <w:szCs w:val="21"/>
        </w:rPr>
        <w:fldChar w:fldCharType="separate"/>
      </w:r>
      <w:r>
        <w:rPr>
          <w:rFonts w:hint="eastAsia" w:ascii="仿宋_GB2312" w:eastAsia="仿宋_GB2312"/>
        </w:rPr>
        <w:t>（二）建议</w:t>
      </w:r>
      <w:r>
        <w:tab/>
      </w:r>
      <w:r>
        <w:fldChar w:fldCharType="begin"/>
      </w:r>
      <w:r>
        <w:instrText xml:space="preserve"> PAGEREF _Toc5212 \h </w:instrText>
      </w:r>
      <w:r>
        <w:fldChar w:fldCharType="separate"/>
      </w:r>
      <w:r>
        <w:t>7</w:t>
      </w:r>
      <w:r>
        <w:fldChar w:fldCharType="end"/>
      </w:r>
      <w:r>
        <w:rPr>
          <w:color w:val="auto"/>
          <w:szCs w:val="21"/>
          <w:u w:val="none"/>
        </w:rPr>
        <w:fldChar w:fldCharType="end"/>
      </w:r>
    </w:p>
    <w:p w14:paraId="1FF3CFC8">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54E10C39">
      <w:pPr>
        <w:spacing w:line="360" w:lineRule="auto"/>
        <w:jc w:val="right"/>
        <w:rPr>
          <w:rFonts w:ascii="Arial Narrow" w:hAnsi="Arial Narrow"/>
          <w:bCs/>
          <w:w w:val="80"/>
          <w:sz w:val="28"/>
          <w:szCs w:val="28"/>
        </w:rPr>
      </w:pPr>
    </w:p>
    <w:p w14:paraId="4C061FBC">
      <w:pPr>
        <w:spacing w:line="360" w:lineRule="auto"/>
        <w:jc w:val="right"/>
        <w:rPr>
          <w:rFonts w:ascii="Arial Narrow" w:hAnsi="Arial Narrow"/>
          <w:bCs/>
          <w:w w:val="80"/>
          <w:sz w:val="28"/>
          <w:szCs w:val="28"/>
        </w:rPr>
      </w:pPr>
    </w:p>
    <w:p w14:paraId="076B83E0">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42530AE1">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260A59EA">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044</w:t>
      </w:r>
      <w:r>
        <w:rPr>
          <w:rFonts w:hint="eastAsia" w:ascii="Arial Narrow" w:hAnsi="Arial Narrow" w:eastAsia="仿宋_GB2312"/>
          <w:sz w:val="28"/>
          <w:szCs w:val="28"/>
        </w:rPr>
        <w:t>号</w:t>
      </w:r>
    </w:p>
    <w:p w14:paraId="55FA83B1">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40CABD03">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重庆市铜梁区乡村振兴局脱贫户医保资助项目</w:t>
      </w:r>
    </w:p>
    <w:p w14:paraId="68328F81">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479B9E3C">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重庆市铜梁区乡村振兴局（以下简称</w:t>
      </w:r>
      <w:r>
        <w:rPr>
          <w:rFonts w:hint="eastAsia" w:ascii="Arial Narrow" w:hAnsi="Arial Narrow" w:eastAsia="仿宋_GB2312"/>
          <w:color w:val="auto"/>
          <w:lang w:eastAsia="zh-CN"/>
        </w:rPr>
        <w:t>“</w:t>
      </w:r>
      <w:r>
        <w:rPr>
          <w:rFonts w:hint="eastAsia" w:ascii="Arial Narrow" w:hAnsi="Arial Narrow" w:eastAsia="仿宋_GB2312"/>
          <w:color w:val="auto"/>
        </w:rPr>
        <w:t>区振兴局</w:t>
      </w:r>
      <w:r>
        <w:rPr>
          <w:rFonts w:hint="eastAsia" w:ascii="Arial Narrow" w:hAnsi="Arial Narrow" w:eastAsia="仿宋_GB2312"/>
          <w:color w:val="auto"/>
          <w:lang w:eastAsia="zh-CN"/>
        </w:rPr>
        <w:t>”</w:t>
      </w:r>
      <w:r>
        <w:rPr>
          <w:rFonts w:hint="eastAsia" w:ascii="Arial Narrow" w:hAnsi="Arial Narrow" w:eastAsia="仿宋_GB2312"/>
          <w:color w:val="auto"/>
        </w:rPr>
        <w:t>）</w:t>
      </w:r>
      <w:r>
        <w:rPr>
          <w:rFonts w:hint="eastAsia" w:ascii="Arial Narrow" w:hAnsi="Arial Narrow" w:eastAsia="仿宋_GB2312"/>
          <w:color w:val="auto"/>
          <w:lang w:eastAsia="zh-CN"/>
        </w:rPr>
        <w:t>“</w:t>
      </w:r>
      <w:r>
        <w:rPr>
          <w:rFonts w:hint="eastAsia" w:ascii="Arial Narrow" w:hAnsi="Arial Narrow" w:eastAsia="仿宋_GB2312"/>
          <w:color w:val="auto"/>
        </w:rPr>
        <w:t>脱贫户医保资助项目财政专项衔接资金</w:t>
      </w:r>
      <w:r>
        <w:rPr>
          <w:rFonts w:hint="eastAsia" w:ascii="Arial Narrow" w:hAnsi="Arial Narrow" w:eastAsia="仿宋_GB2312"/>
          <w:color w:val="auto"/>
          <w:lang w:eastAsia="zh-CN"/>
        </w:rPr>
        <w:t>”</w:t>
      </w:r>
      <w:r>
        <w:rPr>
          <w:rFonts w:ascii="Arial Narrow" w:hAnsi="Arial Narrow" w:eastAsia="仿宋_GB2312"/>
          <w:color w:val="auto"/>
        </w:rPr>
        <w:t>进行绩效评价，现将评价情况报告如下：</w:t>
      </w:r>
    </w:p>
    <w:p w14:paraId="1A0CE896">
      <w:pPr>
        <w:spacing w:before="240" w:beforeLines="100" w:line="360" w:lineRule="auto"/>
        <w:ind w:firstLine="482" w:firstLineChars="200"/>
        <w:jc w:val="left"/>
        <w:outlineLvl w:val="0"/>
        <w:rPr>
          <w:rFonts w:ascii="Arial Narrow" w:hAnsi="Arial Narrow" w:eastAsia="仿宋_GB2312"/>
          <w:b/>
          <w:sz w:val="24"/>
        </w:rPr>
      </w:pPr>
      <w:bookmarkStart w:id="3" w:name="_Toc17383"/>
      <w:r>
        <w:rPr>
          <w:rFonts w:ascii="Arial Narrow" w:hAnsi="Arial Narrow" w:eastAsia="仿宋_GB2312"/>
          <w:b/>
          <w:sz w:val="24"/>
        </w:rPr>
        <w:t>一、基本情况</w:t>
      </w:r>
      <w:bookmarkEnd w:id="3"/>
    </w:p>
    <w:p w14:paraId="59AE2CC6">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2866"/>
      <w:r>
        <w:rPr>
          <w:rFonts w:hint="eastAsia" w:ascii="Arial Narrow" w:hAnsi="Arial Narrow" w:eastAsia="仿宋" w:cs="宋体"/>
          <w:b/>
          <w:bCs/>
          <w:kern w:val="0"/>
          <w:sz w:val="24"/>
        </w:rPr>
        <w:t>（一）项目情况</w:t>
      </w:r>
      <w:bookmarkEnd w:id="4"/>
    </w:p>
    <w:p w14:paraId="346B8008">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项目名称：脱贫户医保资助</w:t>
      </w:r>
    </w:p>
    <w:p w14:paraId="426213D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实施单位：重庆市铜梁区乡村振兴局</w:t>
      </w:r>
    </w:p>
    <w:p w14:paraId="7687C099">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项目内容：未纳入低收入人口监测范围的稳定脱贫人口，执行资助参保渐退政策，对其参加2022年、2023年居民医保的，分别按照100元、50元标准给予定额资助，2024年按规定退出，不再享受资助参保政策。</w:t>
      </w:r>
    </w:p>
    <w:p w14:paraId="21E74F7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项目资金安排情况：该项目2023年计划投入40.00万元，调减投入0.77万元，实际投入39.23万元，均为上级补助资金。</w:t>
      </w:r>
    </w:p>
    <w:p w14:paraId="2C496DCF">
      <w:pPr>
        <w:spacing w:line="360" w:lineRule="auto"/>
        <w:ind w:firstLine="482" w:firstLineChars="200"/>
        <w:jc w:val="left"/>
        <w:outlineLvl w:val="0"/>
        <w:rPr>
          <w:rFonts w:ascii="Arial Narrow" w:hAnsi="Arial Narrow" w:eastAsia="仿宋_GB2312"/>
          <w:b/>
          <w:sz w:val="24"/>
        </w:rPr>
      </w:pPr>
      <w:bookmarkStart w:id="5" w:name="_Toc14238"/>
      <w:r>
        <w:rPr>
          <w:rFonts w:ascii="Arial Narrow" w:hAnsi="Arial Narrow" w:eastAsia="仿宋_GB2312"/>
          <w:b/>
          <w:sz w:val="24"/>
        </w:rPr>
        <w:t>二、绩效评价工作情况</w:t>
      </w:r>
      <w:bookmarkEnd w:id="5"/>
    </w:p>
    <w:p w14:paraId="71A40FF3">
      <w:pPr>
        <w:spacing w:line="360" w:lineRule="auto"/>
        <w:ind w:firstLine="482" w:firstLineChars="200"/>
        <w:jc w:val="left"/>
        <w:outlineLvl w:val="0"/>
        <w:rPr>
          <w:rFonts w:ascii="Arial Narrow" w:hAnsi="Arial Narrow" w:eastAsia="仿宋_GB2312"/>
          <w:b/>
          <w:sz w:val="24"/>
        </w:rPr>
      </w:pPr>
      <w:bookmarkStart w:id="6" w:name="_Toc6692"/>
      <w:bookmarkStart w:id="7" w:name="_Toc513775099"/>
      <w:r>
        <w:rPr>
          <w:rFonts w:ascii="Arial Narrow" w:hAnsi="Arial Narrow" w:eastAsia="仿宋_GB2312"/>
          <w:b/>
          <w:sz w:val="24"/>
        </w:rPr>
        <w:t>（一）绩效评价目的</w:t>
      </w:r>
      <w:bookmarkEnd w:id="6"/>
      <w:bookmarkEnd w:id="7"/>
    </w:p>
    <w:p w14:paraId="5EFC36F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6F6C6847">
      <w:pPr>
        <w:spacing w:line="360" w:lineRule="auto"/>
        <w:ind w:firstLine="482" w:firstLineChars="200"/>
        <w:jc w:val="left"/>
        <w:outlineLvl w:val="0"/>
        <w:rPr>
          <w:rFonts w:ascii="Arial Narrow" w:hAnsi="Arial Narrow" w:eastAsia="仿宋_GB2312"/>
          <w:b/>
          <w:sz w:val="24"/>
        </w:rPr>
      </w:pPr>
      <w:bookmarkStart w:id="8" w:name="_Toc12061"/>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3C7D5339">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3928C23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3E611B3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7664E8A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7D54FB5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32C35ED9">
      <w:pPr>
        <w:spacing w:line="360" w:lineRule="auto"/>
        <w:ind w:firstLine="482" w:firstLineChars="200"/>
        <w:jc w:val="left"/>
        <w:outlineLvl w:val="0"/>
        <w:rPr>
          <w:rFonts w:ascii="Arial Narrow" w:hAnsi="Arial Narrow" w:eastAsia="仿宋_GB2312"/>
          <w:b/>
          <w:sz w:val="24"/>
        </w:rPr>
      </w:pPr>
      <w:bookmarkStart w:id="11" w:name="_Toc7873"/>
      <w:r>
        <w:rPr>
          <w:rFonts w:ascii="Arial Narrow" w:hAnsi="Arial Narrow" w:eastAsia="仿宋_GB2312"/>
          <w:b/>
          <w:sz w:val="24"/>
        </w:rPr>
        <w:t>（三）绩效评价依据</w:t>
      </w:r>
      <w:bookmarkEnd w:id="9"/>
      <w:bookmarkEnd w:id="10"/>
      <w:bookmarkEnd w:id="11"/>
      <w:bookmarkStart w:id="12" w:name="_Toc335040595"/>
    </w:p>
    <w:bookmarkEnd w:id="12"/>
    <w:p w14:paraId="5511255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53410FA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2B10CE9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eastAsia="zh-CN"/>
        </w:rPr>
        <w:t>）</w:t>
      </w:r>
      <w:r>
        <w:rPr>
          <w:rFonts w:ascii="Arial Narrow" w:hAnsi="Arial Narrow" w:eastAsia="仿宋_GB2312"/>
          <w:color w:val="auto"/>
        </w:rPr>
        <w:t xml:space="preserve"> </w:t>
      </w:r>
    </w:p>
    <w:p w14:paraId="62E99B2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5145140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705BE06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A3F729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40031D1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0C23AE0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15EBE2B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391EFBA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32B4F553">
      <w:pPr>
        <w:spacing w:line="360" w:lineRule="auto"/>
        <w:ind w:firstLine="482" w:firstLineChars="200"/>
        <w:jc w:val="left"/>
        <w:outlineLvl w:val="0"/>
        <w:rPr>
          <w:rFonts w:ascii="Arial Narrow" w:hAnsi="Arial Narrow" w:eastAsia="仿宋_GB2312"/>
          <w:b/>
          <w:sz w:val="24"/>
        </w:rPr>
      </w:pPr>
      <w:bookmarkStart w:id="14" w:name="_Toc22427"/>
      <w:r>
        <w:rPr>
          <w:rFonts w:ascii="Arial Narrow" w:hAnsi="Arial Narrow" w:eastAsia="仿宋_GB2312"/>
          <w:b/>
          <w:sz w:val="24"/>
        </w:rPr>
        <w:t>（四）绩效评价原则和指标体系</w:t>
      </w:r>
      <w:bookmarkEnd w:id="14"/>
    </w:p>
    <w:p w14:paraId="4F57593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0653EBD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（1）相关性原则。应当与绩效目标有直接的联系，能够恰当反映目标的实现程度。</w:t>
      </w:r>
    </w:p>
    <w:p w14:paraId="575A3AD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（2）重要性原则。应当优先使用最具评价对象代表性、最能反映评价要求的核心指标。</w:t>
      </w:r>
    </w:p>
    <w:p w14:paraId="67F56E1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6BA9BFA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3B9C656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3EDFE97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1DE4DAFE">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03B8FFE8">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8"/>
        <w:gridCol w:w="536"/>
        <w:gridCol w:w="2758"/>
        <w:gridCol w:w="3596"/>
      </w:tblGrid>
      <w:tr w14:paraId="78BDDC4A">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FDE9C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0912CE5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5397BD2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1972230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分值</w:t>
            </w:r>
          </w:p>
        </w:tc>
        <w:tc>
          <w:tcPr>
            <w:tcW w:w="2758" w:type="dxa"/>
            <w:tcBorders>
              <w:top w:val="single" w:color="auto" w:sz="4" w:space="0"/>
              <w:left w:val="nil"/>
              <w:bottom w:val="single" w:color="auto" w:sz="4" w:space="0"/>
              <w:right w:val="single" w:color="auto" w:sz="4" w:space="0"/>
            </w:tcBorders>
            <w:shd w:val="clear" w:color="auto" w:fill="auto"/>
            <w:noWrap/>
            <w:vAlign w:val="center"/>
          </w:tcPr>
          <w:p w14:paraId="4990C9B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7151090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评价标准</w:t>
            </w:r>
          </w:p>
        </w:tc>
      </w:tr>
      <w:tr w14:paraId="23A4B030">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F5C7C6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617FB6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420B5DB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5CBE8D4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2758" w:type="dxa"/>
            <w:tcBorders>
              <w:top w:val="nil"/>
              <w:left w:val="nil"/>
              <w:bottom w:val="single" w:color="auto" w:sz="4" w:space="0"/>
              <w:right w:val="single" w:color="auto" w:sz="4" w:space="0"/>
            </w:tcBorders>
            <w:shd w:val="clear" w:color="auto" w:fill="auto"/>
            <w:vAlign w:val="center"/>
          </w:tcPr>
          <w:p w14:paraId="69B0057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41E898E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资金使用方向符合文件规定（2分）。</w:t>
            </w:r>
          </w:p>
        </w:tc>
      </w:tr>
      <w:tr w14:paraId="4E84630F">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1D39F0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2D690F76">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964693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FF6374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2758" w:type="dxa"/>
            <w:tcBorders>
              <w:top w:val="nil"/>
              <w:left w:val="nil"/>
              <w:bottom w:val="single" w:color="auto" w:sz="4" w:space="0"/>
              <w:right w:val="single" w:color="auto" w:sz="4" w:space="0"/>
            </w:tcBorders>
            <w:shd w:val="clear" w:color="auto" w:fill="auto"/>
            <w:vAlign w:val="center"/>
          </w:tcPr>
          <w:p w14:paraId="13EC5A4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7B29CB6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区财政局下达资金文件时间到区级业务主管部门下达项目及资金计划文件时间间隔≤30日（3分）。</w:t>
            </w:r>
          </w:p>
        </w:tc>
      </w:tr>
      <w:tr w14:paraId="350566B3">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AD8B71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21203F9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6883267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4A1A7FC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nil"/>
              <w:right w:val="nil"/>
            </w:tcBorders>
            <w:shd w:val="clear" w:color="auto" w:fill="auto"/>
            <w:vAlign w:val="center"/>
          </w:tcPr>
          <w:p w14:paraId="49E985D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评价落实《铜梁区巩固拓展脱贫攻坚成果和衔接乡村振兴项目库建设管理实施细则》（铜乡振〔2021〕7号）落实情况。根据抽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0E0260D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1.项目入库及时充分、程序规范、内容完整（3分）；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2.入库项目具备实施条件（2分）；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3.衔接资金用于项目库之外的项目（-5分）。</w:t>
            </w:r>
          </w:p>
        </w:tc>
      </w:tr>
      <w:tr w14:paraId="05418B8C">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795F89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788E4DD5">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8783B9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30CC1F6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38A59BE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评价具体项目实施方案明确绩效目标情况、开展跟踪监督绩效监控情况、事后评价情况等。根据抽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664E37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1.及时制定绩效目标、审核绩效目标（2分）；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2.开展绩效监控不少于1次（2分）；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3.对绩效目标偏离项目采取纠偏措施（2分）；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4.项目实施完毕后立即开展绩效自评，并形成绩效自评报告及绩效自评表。（2分）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5.项目绩效是否达到预期。（2分）</w:t>
            </w:r>
          </w:p>
        </w:tc>
      </w:tr>
      <w:tr w14:paraId="7EF228C2">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C58236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34925412">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38EA15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29E7C33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2758" w:type="dxa"/>
            <w:tcBorders>
              <w:top w:val="nil"/>
              <w:left w:val="nil"/>
              <w:bottom w:val="single" w:color="auto" w:sz="4" w:space="0"/>
              <w:right w:val="single" w:color="auto" w:sz="4" w:space="0"/>
            </w:tcBorders>
            <w:shd w:val="clear" w:color="auto" w:fill="auto"/>
            <w:vAlign w:val="center"/>
          </w:tcPr>
          <w:p w14:paraId="03DF642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评价有序推进项目前期工作、组织实施、项目验收、资料报送等情况。根据抽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7FA67FF">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1.项目实施方法存在变更是否按规定报批；（1分）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2.是否定期对项目实施情况进行监督检查，对检查中发现的问题进行整改；（2分）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3.是否按照项目实施节点按时提交项目报账资料；（1分）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4.日常管理资料是否及时归档整理；（1分）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5.项目完工后是否在规定时间内进行验收。（1分）</w:t>
            </w:r>
          </w:p>
        </w:tc>
      </w:tr>
      <w:tr w14:paraId="157AD29A">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66CE93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58432BFE">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61DA70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2D4441A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2758" w:type="dxa"/>
            <w:tcBorders>
              <w:top w:val="nil"/>
              <w:left w:val="nil"/>
              <w:bottom w:val="single" w:color="auto" w:sz="4" w:space="0"/>
              <w:right w:val="single" w:color="auto" w:sz="4" w:space="0"/>
            </w:tcBorders>
            <w:shd w:val="clear" w:color="auto" w:fill="auto"/>
            <w:vAlign w:val="center"/>
          </w:tcPr>
          <w:p w14:paraId="61AC2442">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评价有序推进项目工作和资金支付情况。根据抽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17A970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主要通过支出进度评价有序推进项目工作和资金支付情况，于7月末、10月中旬定期调度。</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1.7月末支出进度评分4分。资金支出进度达到全区平均进度或者序时进度的，得满分；未达到的按照与序时进度的比例扣分；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2.10月中旬支出进度评分4分。资金支出进度达到全区平均进度或者序时进度的，得满分；未达到的按照与序时进度的比例扣分；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49FD28E5">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F4C17E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29280BB4">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9E64B0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05BFE2C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2758" w:type="dxa"/>
            <w:tcBorders>
              <w:top w:val="nil"/>
              <w:left w:val="nil"/>
              <w:bottom w:val="single" w:color="auto" w:sz="4" w:space="0"/>
              <w:right w:val="single" w:color="auto" w:sz="4" w:space="0"/>
            </w:tcBorders>
            <w:shd w:val="clear" w:color="auto" w:fill="auto"/>
            <w:vAlign w:val="center"/>
          </w:tcPr>
          <w:p w14:paraId="2B12174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评价定期开展监督检查情况、发现问题整改情况。根据未处理问题比例扣减。根据抽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54904C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1.定期开展项目实施和资金支出进度等跟踪督促情况，落实到位的得2分，未完全落实到位的酌情扣分；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2.跟踪督促及各类检查发现问题整改到位情况，满分5分，根据未整改问题比例扣减；</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3.全国12317防止返贫监测和乡村振兴咨询服务平台（简称12317平台）反馈问题处理情况，满分1分。</w:t>
            </w:r>
          </w:p>
        </w:tc>
      </w:tr>
      <w:tr w14:paraId="41FE8AC6">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BC7E18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5AA923F3">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A552E4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6636FE4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46BCE7B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评价账务处理，资产转固，收益管理、档案管理等情况。根据抽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D51D56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1.财务处理是否规范，原始凭证是否齐全，建成资产是否及时转固、收益管理是否合规；（4分）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2.档案管理是否完整、合规、真实。（1分）</w:t>
            </w:r>
          </w:p>
        </w:tc>
      </w:tr>
      <w:tr w14:paraId="294A1B9A">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3EA759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7A0C48CD">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10EAAC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62FF76A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2758" w:type="dxa"/>
            <w:tcBorders>
              <w:top w:val="nil"/>
              <w:left w:val="nil"/>
              <w:bottom w:val="single" w:color="auto" w:sz="4" w:space="0"/>
              <w:right w:val="single" w:color="auto" w:sz="4" w:space="0"/>
            </w:tcBorders>
            <w:shd w:val="clear" w:color="auto" w:fill="auto"/>
            <w:vAlign w:val="center"/>
          </w:tcPr>
          <w:p w14:paraId="3ADD633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评价区级、镇级、村级落实《铜梁区财政衔接推进乡村振兴补助资金项目公告公示实施办法》（铜委农办〔2021〕19号）文件要求情况。根据抽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7FCBEE8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分区级、镇级、村级进行评价。</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1.抽查区级公示公开情况，满分3分，未完整公开酌情扣分；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2.抽查镇级公示公开情况，满分3分，未完整公开酌情扣分；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3.抽查村级公示公开情况，满分3分，未完整公开酌情扣分。</w:t>
            </w:r>
          </w:p>
        </w:tc>
      </w:tr>
      <w:tr w14:paraId="6E6E4A62">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09D3F0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8E41A2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212F931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31C9733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35</w:t>
            </w:r>
          </w:p>
        </w:tc>
        <w:tc>
          <w:tcPr>
            <w:tcW w:w="2758" w:type="dxa"/>
            <w:tcBorders>
              <w:top w:val="nil"/>
              <w:left w:val="nil"/>
              <w:bottom w:val="single" w:color="auto" w:sz="4" w:space="0"/>
              <w:right w:val="single" w:color="auto" w:sz="4" w:space="0"/>
            </w:tcBorders>
            <w:shd w:val="clear" w:color="auto" w:fill="auto"/>
            <w:vAlign w:val="center"/>
          </w:tcPr>
          <w:p w14:paraId="4B42A29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评价项目是否达到预期成效，后续管护是否存在问题等。根据抽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116FCB58">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两不愁三保障</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和饮水安全、兜底保障等成果巩固情况；其他项目是否实现预期目标。</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满分35分，根据抽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项目情况赋分。项目管理各环节，每存在一例不符合相关规定的，扣0.5分，扣完为止。</w:t>
            </w:r>
          </w:p>
        </w:tc>
      </w:tr>
      <w:tr w14:paraId="2E8B7AA5">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27F158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0EBE0EAE">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761F8D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338845A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08697142">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6344060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44D1C966">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91F682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460A38C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1B5C870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1489263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0B6F889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评价机制创新情况。最高加5分。</w:t>
            </w:r>
          </w:p>
        </w:tc>
        <w:tc>
          <w:tcPr>
            <w:tcW w:w="3596" w:type="dxa"/>
            <w:tcBorders>
              <w:top w:val="nil"/>
              <w:left w:val="nil"/>
              <w:bottom w:val="single" w:color="auto" w:sz="4" w:space="0"/>
              <w:right w:val="single" w:color="auto" w:sz="4" w:space="0"/>
            </w:tcBorders>
            <w:shd w:val="clear" w:color="auto" w:fill="auto"/>
            <w:vAlign w:val="center"/>
          </w:tcPr>
          <w:p w14:paraId="58C5704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1.在财政衔接资金分配、使用、监管等方面存在机制创新；（2分）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2.国家、市级对我区财政衔接资金绩效评价中，被财政部、国家乡村振兴局及其第三方总结经验做法，并调研推广的。（3分）</w:t>
            </w:r>
          </w:p>
        </w:tc>
      </w:tr>
      <w:tr w14:paraId="28817608">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706E00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4C75E2C8">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9E3012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058D39F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nil"/>
              <w:left w:val="nil"/>
              <w:bottom w:val="single" w:color="auto" w:sz="4" w:space="0"/>
              <w:right w:val="single" w:color="auto" w:sz="4" w:space="0"/>
            </w:tcBorders>
            <w:shd w:val="clear" w:color="auto" w:fill="auto"/>
            <w:vAlign w:val="center"/>
          </w:tcPr>
          <w:p w14:paraId="4FD87C7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反映提供材料的真实性，有效性以及相关工作合法合规情况。（用于负面清单事项）</w:t>
            </w:r>
          </w:p>
        </w:tc>
        <w:tc>
          <w:tcPr>
            <w:tcW w:w="3596" w:type="dxa"/>
            <w:tcBorders>
              <w:top w:val="nil"/>
              <w:left w:val="nil"/>
              <w:bottom w:val="single" w:color="auto" w:sz="4" w:space="0"/>
              <w:right w:val="single" w:color="auto" w:sz="4" w:space="0"/>
            </w:tcBorders>
            <w:shd w:val="clear" w:color="auto" w:fill="auto"/>
            <w:vAlign w:val="center"/>
          </w:tcPr>
          <w:p w14:paraId="58F3FB72">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考核材料、数据中存在虚假信息的，或经有关部门监督检查发现问题的，视情节严重程度扣1-10分。</w:t>
            </w:r>
          </w:p>
        </w:tc>
      </w:tr>
    </w:tbl>
    <w:p w14:paraId="24AF1267">
      <w:pPr>
        <w:spacing w:before="120" w:beforeLines="50" w:line="360" w:lineRule="auto"/>
        <w:ind w:firstLine="482" w:firstLineChars="200"/>
        <w:jc w:val="left"/>
        <w:outlineLvl w:val="0"/>
        <w:rPr>
          <w:rFonts w:ascii="Arial Narrow" w:hAnsi="Arial Narrow" w:eastAsia="仿宋_GB2312"/>
          <w:b/>
          <w:sz w:val="24"/>
        </w:rPr>
      </w:pPr>
      <w:bookmarkStart w:id="15" w:name="_Toc7021"/>
      <w:r>
        <w:rPr>
          <w:rFonts w:ascii="Arial Narrow" w:hAnsi="Arial Narrow" w:eastAsia="仿宋_GB2312"/>
          <w:b/>
          <w:sz w:val="24"/>
        </w:rPr>
        <w:t>（五）绩效评价标准和评价方法</w:t>
      </w:r>
      <w:bookmarkEnd w:id="15"/>
    </w:p>
    <w:p w14:paraId="7D63464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77D06C3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4A1606B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572D8BE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507A8EA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658E5AA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27ADB04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5B62D06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1A6CDD7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6E4D6D5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263F7C63">
      <w:pPr>
        <w:spacing w:line="360" w:lineRule="auto"/>
        <w:ind w:firstLine="482" w:firstLineChars="200"/>
        <w:jc w:val="left"/>
        <w:outlineLvl w:val="0"/>
        <w:rPr>
          <w:rFonts w:ascii="Arial Narrow" w:hAnsi="Arial Narrow" w:eastAsia="仿宋_GB2312"/>
          <w:b/>
          <w:sz w:val="24"/>
        </w:rPr>
      </w:pPr>
      <w:bookmarkStart w:id="18" w:name="_Toc437528932"/>
      <w:bookmarkStart w:id="19" w:name="_Toc13258"/>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61E5601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w:t>
      </w:r>
      <w:r>
        <w:rPr>
          <w:rFonts w:hint="eastAsia" w:ascii="Arial Narrow" w:hAnsi="Arial Narrow" w:eastAsia="仿宋_GB2312"/>
          <w:color w:val="auto"/>
          <w:lang w:eastAsia="zh-CN"/>
        </w:rPr>
        <w:t>“</w:t>
      </w:r>
      <w:r>
        <w:rPr>
          <w:rFonts w:hint="eastAsia" w:ascii="Arial Narrow" w:hAnsi="Arial Narrow" w:eastAsia="仿宋_GB2312"/>
          <w:color w:val="auto"/>
        </w:rPr>
        <w:t>2023年财政专项衔接资金项目</w:t>
      </w:r>
      <w:r>
        <w:rPr>
          <w:rFonts w:hint="eastAsia" w:ascii="Arial Narrow" w:hAnsi="Arial Narrow" w:eastAsia="仿宋_GB2312"/>
          <w:color w:val="auto"/>
          <w:lang w:eastAsia="zh-CN"/>
        </w:rPr>
        <w:t>”</w:t>
      </w:r>
      <w:r>
        <w:rPr>
          <w:rFonts w:hint="eastAsia" w:ascii="Arial Narrow" w:hAnsi="Arial Narrow" w:eastAsia="仿宋_GB2312"/>
          <w:color w:val="auto"/>
        </w:rPr>
        <w:t>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1B094C1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3F042EA5">
      <w:pPr>
        <w:pStyle w:val="13"/>
        <w:spacing w:line="360" w:lineRule="auto"/>
        <w:ind w:firstLine="480" w:firstLineChars="200"/>
        <w:rPr>
          <w:rFonts w:hint="eastAsia" w:ascii="Arial Narrow" w:hAnsi="Arial Narrow" w:eastAsia="仿宋_GB2312"/>
          <w:color w:val="auto"/>
          <w:lang w:val="en-US"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5DB7FE3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3DF4F04F">
      <w:pPr>
        <w:spacing w:line="360" w:lineRule="auto"/>
        <w:ind w:firstLine="482" w:firstLineChars="200"/>
        <w:jc w:val="left"/>
        <w:outlineLvl w:val="0"/>
        <w:rPr>
          <w:rFonts w:ascii="Arial Narrow" w:hAnsi="Arial Narrow" w:eastAsia="仿宋_GB2312"/>
          <w:b/>
          <w:sz w:val="24"/>
        </w:rPr>
      </w:pPr>
      <w:bookmarkStart w:id="20" w:name="_Toc437528933"/>
      <w:bookmarkStart w:id="21" w:name="_Toc29289"/>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3DDE9473">
      <w:pPr>
        <w:spacing w:line="360" w:lineRule="auto"/>
        <w:ind w:firstLine="480" w:firstLineChars="200"/>
        <w:jc w:val="left"/>
        <w:rPr>
          <w:rFonts w:ascii="Arial Narrow" w:hAnsi="Arial Narrow" w:eastAsia="仿宋_GB2312"/>
          <w:b/>
          <w:bCs/>
          <w:sz w:val="28"/>
          <w:szCs w:val="28"/>
        </w:rPr>
      </w:pPr>
      <w:r>
        <w:rPr>
          <w:rFonts w:hint="eastAsia" w:ascii="Arial Narrow" w:hAnsi="Arial Narrow" w:eastAsia="仿宋_GB2312"/>
          <w:sz w:val="24"/>
        </w:rPr>
        <w:t>重庆市铜梁区乡村振兴局脱贫户医保资助项目</w:t>
      </w:r>
      <w:r>
        <w:rPr>
          <w:rFonts w:ascii="Arial Narrow" w:hAnsi="Arial Narrow" w:eastAsia="仿宋_GB2312"/>
          <w:sz w:val="24"/>
        </w:rPr>
        <w:t>绩效评价得分</w:t>
      </w:r>
      <w:r>
        <w:rPr>
          <w:rFonts w:hint="eastAsia" w:ascii="Arial Narrow" w:hAnsi="Arial Narrow" w:eastAsia="仿宋_GB2312"/>
          <w:sz w:val="24"/>
        </w:rPr>
        <w:t>87.00</w:t>
      </w:r>
      <w:r>
        <w:rPr>
          <w:rFonts w:ascii="Arial Narrow" w:hAnsi="Arial Narrow" w:eastAsia="仿宋_GB2312"/>
          <w:sz w:val="24"/>
        </w:rPr>
        <w:t>分，绩效评价等级为：</w:t>
      </w:r>
      <w:r>
        <w:rPr>
          <w:rFonts w:hint="eastAsia" w:ascii="Arial Narrow" w:hAnsi="Arial Narrow" w:eastAsia="仿宋_GB2312"/>
          <w:sz w:val="24"/>
        </w:rPr>
        <w:t>良。</w:t>
      </w:r>
    </w:p>
    <w:p w14:paraId="661B3373">
      <w:pPr>
        <w:spacing w:line="360" w:lineRule="auto"/>
        <w:ind w:firstLine="482" w:firstLineChars="200"/>
        <w:outlineLvl w:val="0"/>
        <w:rPr>
          <w:rFonts w:ascii="Arial Narrow" w:hAnsi="Arial Narrow" w:eastAsia="仿宋_GB2312"/>
          <w:b/>
          <w:sz w:val="24"/>
        </w:rPr>
      </w:pPr>
      <w:bookmarkStart w:id="22" w:name="_Toc17880"/>
      <w:r>
        <w:rPr>
          <w:rFonts w:hint="eastAsia" w:ascii="Arial Narrow" w:hAnsi="Arial Narrow" w:eastAsia="仿宋_GB2312"/>
          <w:b/>
          <w:sz w:val="24"/>
        </w:rPr>
        <w:t>四、</w:t>
      </w:r>
      <w:r>
        <w:rPr>
          <w:rFonts w:ascii="Arial Narrow" w:hAnsi="Arial Narrow" w:eastAsia="仿宋_GB2312"/>
          <w:b/>
          <w:sz w:val="24"/>
        </w:rPr>
        <w:t>综合评价情况</w:t>
      </w:r>
      <w:bookmarkEnd w:id="22"/>
    </w:p>
    <w:p w14:paraId="58724115">
      <w:pPr>
        <w:spacing w:line="360" w:lineRule="auto"/>
        <w:ind w:firstLine="482" w:firstLineChars="200"/>
        <w:jc w:val="left"/>
        <w:outlineLvl w:val="0"/>
        <w:rPr>
          <w:rFonts w:ascii="仿宋_GB2312" w:eastAsia="仿宋_GB2312"/>
          <w:b/>
          <w:sz w:val="24"/>
        </w:rPr>
      </w:pPr>
      <w:bookmarkStart w:id="23" w:name="_Toc27223"/>
      <w:r>
        <w:rPr>
          <w:rFonts w:hint="eastAsia" w:ascii="仿宋_GB2312" w:eastAsia="仿宋_GB2312"/>
          <w:b/>
          <w:sz w:val="24"/>
        </w:rPr>
        <w:t>（一）资金管理</w:t>
      </w:r>
      <w:bookmarkEnd w:id="23"/>
    </w:p>
    <w:p w14:paraId="5D285A51">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036E3F7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渝财农〔2022〕146</w:t>
      </w:r>
      <w:r>
        <w:rPr>
          <w:rFonts w:hint="eastAsia" w:ascii="Arial Narrow" w:hAnsi="Arial Narrow" w:eastAsia="仿宋_GB2312"/>
          <w:sz w:val="24"/>
          <w:lang w:val="en-US" w:eastAsia="zh-CN"/>
        </w:rPr>
        <w:t>号</w:t>
      </w: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铜财〔2023〕46号</w:t>
      </w:r>
      <w:r>
        <w:rPr>
          <w:rFonts w:hint="eastAsia" w:ascii="Arial Narrow" w:hAnsi="Arial Narrow" w:eastAsia="仿宋_GB2312"/>
          <w:sz w:val="24"/>
          <w:lang w:eastAsia="zh-CN"/>
        </w:rPr>
        <w:t>）</w:t>
      </w:r>
      <w:r>
        <w:rPr>
          <w:rFonts w:hint="eastAsia" w:ascii="Arial Narrow" w:hAnsi="Arial Narrow" w:eastAsia="仿宋_GB2312"/>
          <w:sz w:val="24"/>
        </w:rPr>
        <w:t>等相关政策性文件规定落实衔接资金。</w:t>
      </w:r>
    </w:p>
    <w:p w14:paraId="5ADB9F8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00DE8AC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财政局于2023年2月16日发布《重庆市铜梁区财政局关于下达2023年区级财政衔接推进乡村振兴补助资金预算的通知》（铜财〔2023〕46号），业务主管部门于2023年4月10日发布《关于下达2023年区级财政衔接推进乡村振兴补助资金项目安排计划的通知》（铜委农办〔2023〕3号），区财政局下达资金文件时间到区级业务主管部门下达项目及资金计划文件时间间隔大于30日。</w:t>
      </w:r>
    </w:p>
    <w:p w14:paraId="58E7FA85">
      <w:pPr>
        <w:spacing w:line="360" w:lineRule="auto"/>
        <w:ind w:firstLine="482" w:firstLineChars="200"/>
        <w:jc w:val="left"/>
        <w:outlineLvl w:val="0"/>
        <w:rPr>
          <w:rFonts w:ascii="仿宋_GB2312" w:eastAsia="仿宋_GB2312"/>
          <w:b/>
          <w:sz w:val="24"/>
        </w:rPr>
      </w:pPr>
      <w:bookmarkStart w:id="24" w:name="_Toc31329"/>
      <w:r>
        <w:rPr>
          <w:rFonts w:hint="eastAsia" w:ascii="仿宋_GB2312" w:eastAsia="仿宋_GB2312"/>
          <w:b/>
          <w:sz w:val="24"/>
        </w:rPr>
        <w:t>（二）项目管理</w:t>
      </w:r>
      <w:bookmarkEnd w:id="24"/>
    </w:p>
    <w:p w14:paraId="3CD05FA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18D5373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76A28B2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4A41EF31">
      <w:pPr>
        <w:adjustRightInd w:val="0"/>
        <w:snapToGrid w:val="0"/>
        <w:spacing w:line="360" w:lineRule="auto"/>
        <w:ind w:firstLine="480" w:firstLineChars="200"/>
        <w:jc w:val="both"/>
        <w:rPr>
          <w:rFonts w:ascii="Arial Narrow" w:hAnsi="Arial Narrow" w:eastAsia="仿宋_GB2312"/>
          <w:sz w:val="24"/>
        </w:rPr>
      </w:pP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及时制定了明确的绩效目标，实施过程中对绩效目标进行监控，对绩效目标偏离项目采取纠偏措施。在项目实施完毕后开展了绩效自评，并形成绩效自评表。未见自评报告。</w:t>
      </w:r>
      <w:r>
        <w:rPr>
          <w:rFonts w:ascii="Arial Narrow" w:hAnsi="Arial Narrow" w:eastAsia="仿宋_GB2312"/>
          <w:sz w:val="24"/>
        </w:rPr>
        <w:t xml:space="preserve"> </w:t>
      </w:r>
    </w:p>
    <w:p w14:paraId="57A675F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358EC7C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项目实施方案不存在变更情况，实施过程由铜梁区振兴局对项目维护情况进行监督检查，检查中未发现重大问题，项目按照实施节点按时提交项目报账资料。未见及时归档的成盒或成册资料。</w:t>
      </w:r>
    </w:p>
    <w:p w14:paraId="376427F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rPr>
        <w:t xml:space="preserve"> </w:t>
      </w:r>
      <w:r>
        <w:rPr>
          <w:rFonts w:hint="eastAsia" w:ascii="Arial Narrow" w:hAnsi="Arial Narrow" w:eastAsia="仿宋_GB2312"/>
          <w:sz w:val="24"/>
        </w:rPr>
        <w:t>预算执行率情况</w:t>
      </w:r>
    </w:p>
    <w:p w14:paraId="7A0F879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项目最后一笔款项拨付于2023年12月15日，进度款拨付较晚。</w:t>
      </w:r>
    </w:p>
    <w:p w14:paraId="3D821D7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1271BF3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511C248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rPr>
        <w:t xml:space="preserve"> </w:t>
      </w:r>
      <w:r>
        <w:rPr>
          <w:rFonts w:hint="eastAsia" w:ascii="Arial Narrow" w:hAnsi="Arial Narrow" w:eastAsia="仿宋_GB2312"/>
          <w:sz w:val="24"/>
        </w:rPr>
        <w:t>账务处理及档案管理等情况</w:t>
      </w:r>
    </w:p>
    <w:p w14:paraId="02ECD31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27EFDD8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34A9B0B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重庆市铜梁区乡村振兴局对项目资金计划、项目实施方案等进行了公示公告。</w:t>
      </w:r>
    </w:p>
    <w:p w14:paraId="0D7A9E83">
      <w:pPr>
        <w:spacing w:line="360" w:lineRule="auto"/>
        <w:ind w:firstLine="482" w:firstLineChars="200"/>
        <w:jc w:val="left"/>
        <w:outlineLvl w:val="0"/>
        <w:rPr>
          <w:rFonts w:ascii="仿宋_GB2312" w:eastAsia="仿宋_GB2312"/>
          <w:b/>
          <w:sz w:val="24"/>
        </w:rPr>
      </w:pPr>
      <w:bookmarkStart w:id="25" w:name="_Toc993"/>
      <w:r>
        <w:rPr>
          <w:rFonts w:hint="eastAsia" w:ascii="仿宋_GB2312" w:eastAsia="仿宋_GB2312"/>
          <w:b/>
          <w:sz w:val="24"/>
        </w:rPr>
        <w:t>（三）使用成效及通报情况</w:t>
      </w:r>
      <w:bookmarkEnd w:id="25"/>
    </w:p>
    <w:p w14:paraId="136B756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3C7D750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项目总体资金均专款专用，项目完成进度和及时性达到计划预期目的。完成项目的质量能够达标，完成进行了自评、项目资金完整。</w:t>
      </w:r>
    </w:p>
    <w:p w14:paraId="44046F7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5F2D7EC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49ABA20A">
      <w:pPr>
        <w:spacing w:line="360" w:lineRule="auto"/>
        <w:ind w:firstLine="482" w:firstLineChars="200"/>
        <w:outlineLvl w:val="0"/>
        <w:rPr>
          <w:rFonts w:hint="eastAsia" w:ascii="Arial Narrow" w:hAnsi="Arial Narrow" w:eastAsia="仿宋_GB2312"/>
          <w:b/>
          <w:sz w:val="24"/>
        </w:rPr>
      </w:pPr>
      <w:bookmarkStart w:id="26" w:name="_Toc25597"/>
      <w:r>
        <w:rPr>
          <w:rFonts w:hint="eastAsia" w:ascii="Arial Narrow" w:hAnsi="Arial Narrow" w:eastAsia="仿宋_GB2312"/>
          <w:b/>
          <w:sz w:val="24"/>
        </w:rPr>
        <w:t>五、存在的问题和建议</w:t>
      </w:r>
      <w:bookmarkEnd w:id="26"/>
    </w:p>
    <w:p w14:paraId="11ADD959">
      <w:pPr>
        <w:spacing w:line="360" w:lineRule="auto"/>
        <w:ind w:firstLine="482" w:firstLineChars="200"/>
        <w:jc w:val="left"/>
        <w:outlineLvl w:val="0"/>
        <w:rPr>
          <w:rFonts w:ascii="仿宋_GB2312" w:eastAsia="仿宋_GB2312"/>
          <w:b/>
          <w:sz w:val="24"/>
        </w:rPr>
      </w:pPr>
      <w:bookmarkStart w:id="27" w:name="_Toc4481"/>
      <w:r>
        <w:rPr>
          <w:rFonts w:hint="eastAsia" w:ascii="仿宋_GB2312" w:eastAsia="仿宋_GB2312"/>
          <w:b/>
          <w:sz w:val="24"/>
        </w:rPr>
        <w:t>（一）存在问题</w:t>
      </w:r>
      <w:bookmarkEnd w:id="27"/>
    </w:p>
    <w:p w14:paraId="466290E4">
      <w:pPr>
        <w:adjustRightInd w:val="0"/>
        <w:snapToGrid w:val="0"/>
        <w:spacing w:line="360" w:lineRule="auto"/>
        <w:ind w:firstLine="480" w:firstLineChars="200"/>
        <w:rPr>
          <w:rStyle w:val="10"/>
          <w:rFonts w:ascii="Arial Narrow" w:hAnsi="Arial Narrow" w:eastAsia="仿宋_GB2312"/>
          <w:color w:val="auto"/>
          <w:sz w:val="24"/>
          <w:u w:val="none"/>
        </w:rPr>
      </w:pPr>
      <w:r>
        <w:rPr>
          <w:rFonts w:hint="eastAsia" w:ascii="Arial Narrow" w:hAnsi="Arial Narrow" w:eastAsia="仿宋_GB2312"/>
          <w:sz w:val="24"/>
        </w:rPr>
        <w:t>1.</w:t>
      </w:r>
      <w:r>
        <w:rPr>
          <w:rStyle w:val="10"/>
          <w:rFonts w:hint="eastAsia" w:ascii="Arial Narrow" w:hAnsi="Arial Narrow" w:eastAsia="仿宋_GB2312"/>
          <w:color w:val="auto"/>
          <w:sz w:val="24"/>
          <w:u w:val="none"/>
        </w:rPr>
        <w:t>项目资金拨付进度较晚，最后一笔款项于2023年12月15日拨付完毕。</w:t>
      </w:r>
    </w:p>
    <w:p w14:paraId="09E8BA78">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2.</w:t>
      </w:r>
      <w:r>
        <w:rPr>
          <w:rFonts w:hint="eastAsia"/>
        </w:rPr>
        <w:t xml:space="preserve"> </w:t>
      </w:r>
      <w:r>
        <w:rPr>
          <w:rStyle w:val="10"/>
          <w:rFonts w:hint="eastAsia" w:ascii="Arial Narrow" w:hAnsi="Arial Narrow" w:eastAsia="仿宋_GB2312"/>
          <w:color w:val="auto"/>
          <w:sz w:val="24"/>
          <w:u w:val="none"/>
        </w:rPr>
        <w:t>项目实施完毕后未及时形成自评报告。</w:t>
      </w:r>
    </w:p>
    <w:p w14:paraId="7806CC8E">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3.日常档案管理资料整理归档不及时。</w:t>
      </w:r>
    </w:p>
    <w:p w14:paraId="5CED0B06">
      <w:pPr>
        <w:spacing w:line="360" w:lineRule="auto"/>
        <w:ind w:firstLine="482" w:firstLineChars="200"/>
        <w:jc w:val="left"/>
        <w:outlineLvl w:val="0"/>
        <w:rPr>
          <w:rFonts w:ascii="仿宋_GB2312" w:eastAsia="仿宋_GB2312"/>
          <w:b/>
          <w:sz w:val="24"/>
        </w:rPr>
      </w:pPr>
      <w:bookmarkStart w:id="28" w:name="_Toc5212"/>
      <w:r>
        <w:rPr>
          <w:rFonts w:hint="eastAsia" w:ascii="仿宋_GB2312" w:eastAsia="仿宋_GB2312"/>
          <w:b/>
          <w:sz w:val="24"/>
        </w:rPr>
        <w:t>（二）建议</w:t>
      </w:r>
      <w:bookmarkEnd w:id="28"/>
    </w:p>
    <w:p w14:paraId="7832F19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1.项目实施完毕后及时展开自评程序，完善自评表、自评报告，总结项目经验，为巩固拓展脱贫攻坚成果同乡村振兴有效衔接决策和分配财政专项衔接资金提供重要参考。</w:t>
      </w:r>
    </w:p>
    <w:p w14:paraId="0FC79FC2">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2.严格按照财政资金预算执行，及时拨付项目资金。针对财政专项资金,建议实施单位在规定时间内支付项目资金,杜绝资金滞留、挤占、截留、挪用等现象的发生。</w:t>
      </w:r>
    </w:p>
    <w:p w14:paraId="2E2DEECB">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3.对项目日常管理资料及时归档整理装订成册或装订成盒。</w:t>
      </w:r>
    </w:p>
    <w:p w14:paraId="0B681431">
      <w:pPr>
        <w:adjustRightInd w:val="0"/>
        <w:snapToGrid w:val="0"/>
        <w:spacing w:line="360" w:lineRule="auto"/>
        <w:rPr>
          <w:rStyle w:val="10"/>
          <w:rFonts w:ascii="Arial Narrow" w:hAnsi="Arial Narrow" w:eastAsia="仿宋_GB2312"/>
          <w:color w:val="auto"/>
          <w:sz w:val="24"/>
          <w:u w:val="none"/>
        </w:rPr>
      </w:pPr>
    </w:p>
    <w:p w14:paraId="21ECDB4A">
      <w:pPr>
        <w:adjustRightInd w:val="0"/>
        <w:snapToGrid w:val="0"/>
        <w:spacing w:line="360" w:lineRule="auto"/>
        <w:rPr>
          <w:rStyle w:val="10"/>
          <w:rFonts w:ascii="Arial Narrow" w:hAnsi="Arial Narrow" w:eastAsia="仿宋_GB2312"/>
          <w:color w:val="auto"/>
          <w:sz w:val="24"/>
          <w:u w:val="none"/>
        </w:rPr>
      </w:pPr>
    </w:p>
    <w:p w14:paraId="7262EAAC">
      <w:pPr>
        <w:adjustRightInd w:val="0"/>
        <w:snapToGrid w:val="0"/>
        <w:spacing w:line="360" w:lineRule="auto"/>
        <w:rPr>
          <w:rStyle w:val="10"/>
          <w:rFonts w:ascii="Arial Narrow" w:hAnsi="Arial Narrow" w:eastAsia="仿宋_GB2312"/>
          <w:color w:val="auto"/>
          <w:sz w:val="24"/>
          <w:u w:val="none"/>
        </w:rPr>
      </w:pPr>
    </w:p>
    <w:p w14:paraId="43172065">
      <w:pPr>
        <w:adjustRightInd w:val="0"/>
        <w:snapToGrid w:val="0"/>
        <w:spacing w:line="360" w:lineRule="auto"/>
        <w:rPr>
          <w:rStyle w:val="10"/>
          <w:rFonts w:ascii="Arial Narrow" w:hAnsi="Arial Narrow" w:eastAsia="仿宋_GB2312"/>
          <w:color w:val="auto"/>
          <w:sz w:val="24"/>
          <w:u w:val="none"/>
        </w:rPr>
      </w:pPr>
    </w:p>
    <w:p w14:paraId="75A04A23">
      <w:pPr>
        <w:adjustRightInd w:val="0"/>
        <w:snapToGrid w:val="0"/>
        <w:spacing w:line="360" w:lineRule="auto"/>
        <w:rPr>
          <w:rStyle w:val="10"/>
          <w:rFonts w:ascii="Arial Narrow" w:hAnsi="Arial Narrow" w:eastAsia="仿宋_GB2312"/>
          <w:color w:val="auto"/>
          <w:sz w:val="24"/>
          <w:u w:val="none"/>
        </w:rPr>
      </w:pPr>
    </w:p>
    <w:p w14:paraId="1E6C8868">
      <w:pPr>
        <w:adjustRightInd w:val="0"/>
        <w:snapToGrid w:val="0"/>
        <w:spacing w:line="360" w:lineRule="auto"/>
        <w:rPr>
          <w:rStyle w:val="10"/>
          <w:rFonts w:ascii="Arial Narrow" w:hAnsi="Arial Narrow" w:eastAsia="仿宋_GB2312"/>
          <w:color w:val="auto"/>
          <w:sz w:val="24"/>
          <w:u w:val="none"/>
        </w:rPr>
      </w:pPr>
    </w:p>
    <w:p w14:paraId="1D111332">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3A92BBEC">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48AC4D45">
      <w:pPr>
        <w:adjustRightInd w:val="0"/>
        <w:snapToGrid w:val="0"/>
        <w:spacing w:line="360" w:lineRule="auto"/>
        <w:ind w:firstLine="720" w:firstLineChars="300"/>
        <w:rPr>
          <w:rStyle w:val="10"/>
          <w:rFonts w:ascii="Arial Narrow" w:hAnsi="Arial Narrow" w:eastAsia="仿宋_GB2312"/>
          <w:color w:val="auto"/>
          <w:sz w:val="24"/>
          <w:u w:val="none"/>
        </w:rPr>
      </w:pPr>
    </w:p>
    <w:p w14:paraId="18612425">
      <w:pPr>
        <w:adjustRightInd w:val="0"/>
        <w:snapToGrid w:val="0"/>
        <w:spacing w:line="360" w:lineRule="auto"/>
        <w:ind w:firstLine="720" w:firstLineChars="300"/>
        <w:rPr>
          <w:rStyle w:val="10"/>
          <w:rFonts w:ascii="Arial Narrow" w:hAnsi="Arial Narrow" w:eastAsia="仿宋_GB2312"/>
          <w:color w:val="auto"/>
          <w:sz w:val="24"/>
          <w:u w:val="none"/>
        </w:rPr>
      </w:pPr>
    </w:p>
    <w:p w14:paraId="3BFEEB24">
      <w:pPr>
        <w:adjustRightInd w:val="0"/>
        <w:snapToGrid w:val="0"/>
        <w:spacing w:line="360" w:lineRule="auto"/>
        <w:ind w:firstLine="720" w:firstLineChars="300"/>
        <w:rPr>
          <w:rStyle w:val="10"/>
          <w:rFonts w:ascii="Arial Narrow" w:hAnsi="Arial Narrow" w:eastAsia="仿宋_GB2312"/>
          <w:color w:val="auto"/>
          <w:sz w:val="24"/>
          <w:u w:val="none"/>
        </w:rPr>
      </w:pPr>
    </w:p>
    <w:p w14:paraId="057DB7F0">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2550D131">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lang w:val="en-US" w:eastAsia="zh-CN"/>
        </w:rPr>
        <w:t xml:space="preserve">     </w:t>
      </w: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二四年六月二十四日</w:t>
      </w:r>
    </w:p>
    <w:sectPr>
      <w:headerReference r:id="rId4" w:type="default"/>
      <w:footerReference r:id="rId5"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embedRegular r:id="rId1" w:fontKey="{0C6E1A14-42C2-4FDD-8A0E-7E49CA8317F0}"/>
  </w:font>
  <w:font w:name="仿宋_GB2312">
    <w:panose1 w:val="02010609030101010101"/>
    <w:charset w:val="86"/>
    <w:family w:val="modern"/>
    <w:pitch w:val="default"/>
    <w:sig w:usb0="00000001" w:usb1="080E0000" w:usb2="00000000" w:usb3="00000000" w:csb0="00040000" w:csb1="00000000"/>
    <w:embedRegular r:id="rId2" w:fontKey="{BB0733ED-9AF4-4151-B0A4-7B96FC9FDCCB}"/>
  </w:font>
  <w:font w:name="仿宋">
    <w:panose1 w:val="02010609060101010101"/>
    <w:charset w:val="86"/>
    <w:family w:val="modern"/>
    <w:pitch w:val="default"/>
    <w:sig w:usb0="800002BF" w:usb1="38CF7CFA" w:usb2="00000016" w:usb3="00000000" w:csb0="00040001" w:csb1="00000000"/>
    <w:embedRegular r:id="rId3" w:fontKey="{C3769663-4403-4543-988A-3C4FDEA56F59}"/>
  </w:font>
  <w:font w:name="楷体">
    <w:panose1 w:val="02010609060101010101"/>
    <w:charset w:val="86"/>
    <w:family w:val="modern"/>
    <w:pitch w:val="default"/>
    <w:sig w:usb0="800002BF" w:usb1="38CF7CFA" w:usb2="00000016" w:usb3="00000000" w:csb0="00040001" w:csb1="00000000"/>
    <w:embedRegular r:id="rId4" w:fontKey="{88507FF3-B572-4CB8-8C69-6A727D915A3A}"/>
  </w:font>
  <w:font w:name="MS Mincho">
    <w:panose1 w:val="02020609040205080304"/>
    <w:charset w:val="80"/>
    <w:family w:val="modern"/>
    <w:pitch w:val="default"/>
    <w:sig w:usb0="E00002FF" w:usb1="6AC7FDFB" w:usb2="00000012" w:usb3="00000000" w:csb0="4002009F" w:csb1="DFD70000"/>
    <w:embedRegular r:id="rId5" w:fontKey="{CF39A7D4-8913-4D4A-872A-AEA259732AB9}"/>
  </w:font>
  <w:font w:name="Segoe UI Symbol">
    <w:panose1 w:val="020B0502040204020203"/>
    <w:charset w:val="00"/>
    <w:family w:val="swiss"/>
    <w:pitch w:val="default"/>
    <w:sig w:usb0="8000006F" w:usb1="1200FBEF" w:usb2="0064C000" w:usb3="00000002" w:csb0="00000001" w:csb1="40000000"/>
    <w:embedRegular r:id="rId6" w:fontKey="{03F73DB8-59DA-4D91-9F4A-9D7BFEEE0AB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F7F8C">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FBFD7">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FD3A3">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40902"/>
    <w:rsid w:val="000769EE"/>
    <w:rsid w:val="000A15CA"/>
    <w:rsid w:val="000C4CCF"/>
    <w:rsid w:val="0010003E"/>
    <w:rsid w:val="00104568"/>
    <w:rsid w:val="00143A99"/>
    <w:rsid w:val="001518C1"/>
    <w:rsid w:val="001563A1"/>
    <w:rsid w:val="00164C87"/>
    <w:rsid w:val="00165D5B"/>
    <w:rsid w:val="00181B50"/>
    <w:rsid w:val="001A42EB"/>
    <w:rsid w:val="001A59DB"/>
    <w:rsid w:val="001D3E86"/>
    <w:rsid w:val="001E0132"/>
    <w:rsid w:val="001E1C7C"/>
    <w:rsid w:val="001F3624"/>
    <w:rsid w:val="001F43AE"/>
    <w:rsid w:val="00207043"/>
    <w:rsid w:val="00216472"/>
    <w:rsid w:val="00226E7E"/>
    <w:rsid w:val="00276D1C"/>
    <w:rsid w:val="00282997"/>
    <w:rsid w:val="002A723B"/>
    <w:rsid w:val="002C36AE"/>
    <w:rsid w:val="002C5020"/>
    <w:rsid w:val="002C7EFA"/>
    <w:rsid w:val="00324E2F"/>
    <w:rsid w:val="003277E8"/>
    <w:rsid w:val="003312DC"/>
    <w:rsid w:val="00341805"/>
    <w:rsid w:val="0037066E"/>
    <w:rsid w:val="00377668"/>
    <w:rsid w:val="003B42BF"/>
    <w:rsid w:val="003D6DF5"/>
    <w:rsid w:val="00414A58"/>
    <w:rsid w:val="004200C2"/>
    <w:rsid w:val="00420AA7"/>
    <w:rsid w:val="00421C71"/>
    <w:rsid w:val="0048399B"/>
    <w:rsid w:val="004C38B4"/>
    <w:rsid w:val="004D2A6E"/>
    <w:rsid w:val="00501A64"/>
    <w:rsid w:val="00504C12"/>
    <w:rsid w:val="005441C9"/>
    <w:rsid w:val="005559D9"/>
    <w:rsid w:val="005725DC"/>
    <w:rsid w:val="00572DD6"/>
    <w:rsid w:val="00577922"/>
    <w:rsid w:val="005A7BA0"/>
    <w:rsid w:val="005D187D"/>
    <w:rsid w:val="005F01BA"/>
    <w:rsid w:val="005F5420"/>
    <w:rsid w:val="0061417A"/>
    <w:rsid w:val="00624C8C"/>
    <w:rsid w:val="00631EDF"/>
    <w:rsid w:val="006559A4"/>
    <w:rsid w:val="00691984"/>
    <w:rsid w:val="0069678B"/>
    <w:rsid w:val="006A249A"/>
    <w:rsid w:val="006B3344"/>
    <w:rsid w:val="006B52F7"/>
    <w:rsid w:val="006C7277"/>
    <w:rsid w:val="006E75D6"/>
    <w:rsid w:val="006F1D64"/>
    <w:rsid w:val="0073019B"/>
    <w:rsid w:val="00740E9D"/>
    <w:rsid w:val="00741402"/>
    <w:rsid w:val="007A6BE6"/>
    <w:rsid w:val="007B30EB"/>
    <w:rsid w:val="007D6182"/>
    <w:rsid w:val="007E1784"/>
    <w:rsid w:val="007F77F1"/>
    <w:rsid w:val="00816944"/>
    <w:rsid w:val="00816D8C"/>
    <w:rsid w:val="00842151"/>
    <w:rsid w:val="00856815"/>
    <w:rsid w:val="00886A9B"/>
    <w:rsid w:val="008952B1"/>
    <w:rsid w:val="008D4F7C"/>
    <w:rsid w:val="008E609D"/>
    <w:rsid w:val="00900759"/>
    <w:rsid w:val="00943414"/>
    <w:rsid w:val="0095397F"/>
    <w:rsid w:val="00981215"/>
    <w:rsid w:val="00983CB7"/>
    <w:rsid w:val="009943F8"/>
    <w:rsid w:val="009957B8"/>
    <w:rsid w:val="009A2859"/>
    <w:rsid w:val="009A406A"/>
    <w:rsid w:val="00A11464"/>
    <w:rsid w:val="00A117F0"/>
    <w:rsid w:val="00A352D4"/>
    <w:rsid w:val="00A64D55"/>
    <w:rsid w:val="00A65BD0"/>
    <w:rsid w:val="00A72CB5"/>
    <w:rsid w:val="00A95CA5"/>
    <w:rsid w:val="00AB515F"/>
    <w:rsid w:val="00AD2B73"/>
    <w:rsid w:val="00AD453A"/>
    <w:rsid w:val="00AE470F"/>
    <w:rsid w:val="00AF58DD"/>
    <w:rsid w:val="00B134A6"/>
    <w:rsid w:val="00B25350"/>
    <w:rsid w:val="00B46123"/>
    <w:rsid w:val="00B50038"/>
    <w:rsid w:val="00BA1016"/>
    <w:rsid w:val="00BB3674"/>
    <w:rsid w:val="00BC7BED"/>
    <w:rsid w:val="00C06180"/>
    <w:rsid w:val="00C107C7"/>
    <w:rsid w:val="00C12443"/>
    <w:rsid w:val="00C34BD8"/>
    <w:rsid w:val="00C35442"/>
    <w:rsid w:val="00C60A62"/>
    <w:rsid w:val="00C706D4"/>
    <w:rsid w:val="00C74C23"/>
    <w:rsid w:val="00C93106"/>
    <w:rsid w:val="00CB54FB"/>
    <w:rsid w:val="00CC75D8"/>
    <w:rsid w:val="00CE5716"/>
    <w:rsid w:val="00CF1E7C"/>
    <w:rsid w:val="00CF6D2F"/>
    <w:rsid w:val="00D02611"/>
    <w:rsid w:val="00D11120"/>
    <w:rsid w:val="00D213C6"/>
    <w:rsid w:val="00D254D3"/>
    <w:rsid w:val="00D26E16"/>
    <w:rsid w:val="00D415D5"/>
    <w:rsid w:val="00D5686C"/>
    <w:rsid w:val="00D74664"/>
    <w:rsid w:val="00DA399B"/>
    <w:rsid w:val="00DB55F0"/>
    <w:rsid w:val="00DC2C32"/>
    <w:rsid w:val="00DD1665"/>
    <w:rsid w:val="00DD2CAD"/>
    <w:rsid w:val="00E12883"/>
    <w:rsid w:val="00E23D6E"/>
    <w:rsid w:val="00E27A95"/>
    <w:rsid w:val="00E368BC"/>
    <w:rsid w:val="00E7395C"/>
    <w:rsid w:val="00E80BDA"/>
    <w:rsid w:val="00EA0F79"/>
    <w:rsid w:val="00EB474C"/>
    <w:rsid w:val="00EE395C"/>
    <w:rsid w:val="00F116AB"/>
    <w:rsid w:val="00F24091"/>
    <w:rsid w:val="00F54C3F"/>
    <w:rsid w:val="00F61D28"/>
    <w:rsid w:val="00F64D50"/>
    <w:rsid w:val="00F6551E"/>
    <w:rsid w:val="00FB36F0"/>
    <w:rsid w:val="00FC25B3"/>
    <w:rsid w:val="00FD1A79"/>
    <w:rsid w:val="00FE1E65"/>
    <w:rsid w:val="00FF5AA5"/>
    <w:rsid w:val="00FF5C51"/>
    <w:rsid w:val="02717C9D"/>
    <w:rsid w:val="0A6F0D48"/>
    <w:rsid w:val="0C955D75"/>
    <w:rsid w:val="10FD0312"/>
    <w:rsid w:val="120E6874"/>
    <w:rsid w:val="199C73BE"/>
    <w:rsid w:val="270731DD"/>
    <w:rsid w:val="2E0B1534"/>
    <w:rsid w:val="2E331569"/>
    <w:rsid w:val="32B36212"/>
    <w:rsid w:val="357129F4"/>
    <w:rsid w:val="371050B8"/>
    <w:rsid w:val="45947F31"/>
    <w:rsid w:val="49F87098"/>
    <w:rsid w:val="4ABC5B6B"/>
    <w:rsid w:val="4DF1278B"/>
    <w:rsid w:val="4F4B4140"/>
    <w:rsid w:val="507724B2"/>
    <w:rsid w:val="53FD1662"/>
    <w:rsid w:val="60087B46"/>
    <w:rsid w:val="629B4EDD"/>
    <w:rsid w:val="672210B9"/>
    <w:rsid w:val="6C0B491D"/>
    <w:rsid w:val="6E4F1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5632</Words>
  <Characters>5985</Characters>
  <Lines>51</Lines>
  <Paragraphs>14</Paragraphs>
  <TotalTime>1</TotalTime>
  <ScaleCrop>false</ScaleCrop>
  <LinksUpToDate>false</LinksUpToDate>
  <CharactersWithSpaces>6028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2024-11-19T09:57:47Z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