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19477E">
      <w:pPr>
        <w:spacing w:line="360" w:lineRule="auto"/>
        <w:jc w:val="center"/>
        <w:rPr>
          <w:rFonts w:ascii="Arial Narrow" w:hAnsi="Arial Narrow" w:eastAsiaTheme="minorEastAsia"/>
          <w:b/>
          <w:bCs/>
          <w:sz w:val="36"/>
          <w:szCs w:val="36"/>
        </w:rPr>
      </w:pPr>
    </w:p>
    <w:p w14:paraId="50AC8906">
      <w:pPr>
        <w:spacing w:line="360" w:lineRule="auto"/>
        <w:jc w:val="center"/>
        <w:rPr>
          <w:rFonts w:ascii="Arial Narrow" w:hAnsi="Arial Narrow" w:eastAsiaTheme="minorEastAsia"/>
          <w:b/>
          <w:bCs/>
          <w:sz w:val="36"/>
          <w:szCs w:val="36"/>
        </w:rPr>
      </w:pPr>
    </w:p>
    <w:p w14:paraId="65175C39">
      <w:pPr>
        <w:spacing w:line="360" w:lineRule="auto"/>
        <w:jc w:val="center"/>
        <w:rPr>
          <w:rFonts w:ascii="Arial Narrow" w:hAnsi="Arial Narrow" w:eastAsiaTheme="minorEastAsia"/>
          <w:b/>
          <w:bCs/>
          <w:sz w:val="36"/>
          <w:szCs w:val="36"/>
        </w:rPr>
      </w:pPr>
    </w:p>
    <w:p w14:paraId="6190C102">
      <w:pPr>
        <w:spacing w:line="360" w:lineRule="auto"/>
        <w:jc w:val="center"/>
        <w:rPr>
          <w:rFonts w:ascii="Arial Narrow" w:hAnsi="Arial Narrow" w:eastAsiaTheme="minorEastAsia"/>
          <w:b/>
          <w:bCs/>
          <w:sz w:val="44"/>
          <w:szCs w:val="44"/>
        </w:rPr>
      </w:pPr>
    </w:p>
    <w:p w14:paraId="0482F6AA">
      <w:pPr>
        <w:adjustRightInd w:val="0"/>
        <w:snapToGrid w:val="0"/>
        <w:spacing w:line="360" w:lineRule="auto"/>
        <w:jc w:val="center"/>
        <w:rPr>
          <w:rFonts w:ascii="Arial Narrow" w:hAnsi="Arial Narrow" w:eastAsiaTheme="minorEastAsia"/>
          <w:b/>
          <w:sz w:val="44"/>
          <w:szCs w:val="44"/>
        </w:rPr>
      </w:pPr>
      <w:r>
        <w:rPr>
          <w:rFonts w:ascii="Arial Narrow" w:hAnsi="Arial Narrow" w:eastAsiaTheme="minorEastAsia"/>
          <w:b/>
          <w:sz w:val="44"/>
          <w:szCs w:val="44"/>
        </w:rPr>
        <w:t>重庆市铜梁区乡村振兴局产业保险等2个项目</w:t>
      </w:r>
    </w:p>
    <w:p w14:paraId="5B9737CF">
      <w:pPr>
        <w:adjustRightInd w:val="0"/>
        <w:snapToGrid w:val="0"/>
        <w:spacing w:line="360" w:lineRule="auto"/>
        <w:jc w:val="center"/>
        <w:rPr>
          <w:rFonts w:ascii="Arial Narrow" w:hAnsi="Arial Narrow" w:eastAsiaTheme="minorEastAsia"/>
          <w:b/>
          <w:sz w:val="44"/>
          <w:szCs w:val="44"/>
        </w:rPr>
      </w:pPr>
      <w:r>
        <w:rPr>
          <w:rFonts w:ascii="Arial Narrow" w:hAnsi="Arial Narrow" w:eastAsiaTheme="minorEastAsia"/>
          <w:b/>
          <w:sz w:val="44"/>
          <w:szCs w:val="44"/>
        </w:rPr>
        <w:t>财政专项衔接资金</w:t>
      </w:r>
    </w:p>
    <w:p w14:paraId="2BCCBEF1">
      <w:pPr>
        <w:adjustRightInd w:val="0"/>
        <w:snapToGrid w:val="0"/>
        <w:spacing w:line="360" w:lineRule="auto"/>
        <w:jc w:val="center"/>
        <w:rPr>
          <w:rFonts w:ascii="Arial Narrow" w:hAnsi="Arial Narrow" w:eastAsiaTheme="minorEastAsia"/>
          <w:b/>
          <w:sz w:val="44"/>
          <w:szCs w:val="44"/>
        </w:rPr>
      </w:pPr>
    </w:p>
    <w:p w14:paraId="7522D738">
      <w:pPr>
        <w:adjustRightInd w:val="0"/>
        <w:snapToGrid w:val="0"/>
        <w:spacing w:line="360" w:lineRule="auto"/>
        <w:jc w:val="center"/>
        <w:rPr>
          <w:rFonts w:ascii="Arial Narrow" w:hAnsi="Arial Narrow" w:eastAsiaTheme="minorEastAsia"/>
          <w:b/>
          <w:sz w:val="44"/>
          <w:szCs w:val="44"/>
        </w:rPr>
      </w:pPr>
    </w:p>
    <w:p w14:paraId="7F360C31">
      <w:pPr>
        <w:tabs>
          <w:tab w:val="center" w:pos="4393"/>
          <w:tab w:val="left" w:pos="7258"/>
        </w:tabs>
        <w:adjustRightInd w:val="0"/>
        <w:snapToGrid w:val="0"/>
        <w:spacing w:line="360" w:lineRule="auto"/>
        <w:jc w:val="center"/>
        <w:rPr>
          <w:rFonts w:ascii="Arial Narrow" w:hAnsi="Arial Narrow" w:eastAsiaTheme="minorEastAsia"/>
          <w:b/>
          <w:w w:val="102"/>
          <w:sz w:val="44"/>
          <w:szCs w:val="44"/>
        </w:rPr>
      </w:pPr>
      <w:r>
        <w:rPr>
          <w:rFonts w:ascii="Arial Narrow" w:hAnsi="Arial Narrow" w:eastAsiaTheme="minorEastAsia"/>
          <w:b/>
          <w:w w:val="102"/>
          <w:sz w:val="44"/>
          <w:szCs w:val="44"/>
        </w:rPr>
        <w:t>绩效评价</w:t>
      </w:r>
      <w:bookmarkStart w:id="0" w:name="_Toc488637980"/>
      <w:bookmarkStart w:id="1" w:name="_Toc488804777"/>
      <w:r>
        <w:rPr>
          <w:rFonts w:ascii="Arial Narrow" w:hAnsi="Arial Narrow" w:eastAsiaTheme="minorEastAsia"/>
          <w:b/>
          <w:w w:val="102"/>
          <w:sz w:val="44"/>
          <w:szCs w:val="44"/>
        </w:rPr>
        <w:t>报告</w:t>
      </w:r>
    </w:p>
    <w:p w14:paraId="51CF7A89">
      <w:pPr>
        <w:spacing w:line="360" w:lineRule="auto"/>
        <w:jc w:val="center"/>
        <w:rPr>
          <w:rFonts w:ascii="Arial Narrow" w:hAnsi="Arial Narrow" w:eastAsiaTheme="minorEastAsia"/>
          <w:bCs/>
          <w:sz w:val="32"/>
          <w:szCs w:val="32"/>
        </w:rPr>
      </w:pPr>
      <w:r>
        <w:rPr>
          <w:rFonts w:ascii="Arial Narrow" w:hAnsi="Arial Narrow" w:eastAsiaTheme="minorEastAsia"/>
          <w:bCs/>
          <w:sz w:val="32"/>
          <w:szCs w:val="32"/>
        </w:rPr>
        <w:t>铭鸿咨字【2024】第0032号</w:t>
      </w:r>
    </w:p>
    <w:p w14:paraId="251FCF3C">
      <w:pPr>
        <w:adjustRightInd w:val="0"/>
        <w:snapToGrid w:val="0"/>
        <w:spacing w:line="360" w:lineRule="auto"/>
        <w:jc w:val="center"/>
        <w:rPr>
          <w:rFonts w:ascii="Arial Narrow" w:hAnsi="Arial Narrow" w:eastAsiaTheme="minorEastAsia"/>
          <w:b/>
          <w:spacing w:val="100"/>
          <w:sz w:val="32"/>
          <w:szCs w:val="32"/>
        </w:rPr>
      </w:pPr>
    </w:p>
    <w:p w14:paraId="56FC9695">
      <w:pPr>
        <w:adjustRightInd w:val="0"/>
        <w:snapToGrid w:val="0"/>
        <w:spacing w:line="360" w:lineRule="auto"/>
        <w:jc w:val="center"/>
        <w:rPr>
          <w:rFonts w:ascii="Arial Narrow" w:hAnsi="Arial Narrow" w:eastAsiaTheme="minorEastAsia"/>
          <w:b/>
          <w:spacing w:val="100"/>
          <w:sz w:val="32"/>
          <w:szCs w:val="32"/>
        </w:rPr>
      </w:pPr>
    </w:p>
    <w:p w14:paraId="64C6A9A9">
      <w:pPr>
        <w:adjustRightInd w:val="0"/>
        <w:snapToGrid w:val="0"/>
        <w:spacing w:line="360" w:lineRule="auto"/>
        <w:jc w:val="center"/>
        <w:rPr>
          <w:rFonts w:ascii="Arial Narrow" w:hAnsi="Arial Narrow" w:eastAsiaTheme="minorEastAsia"/>
          <w:b/>
          <w:spacing w:val="100"/>
          <w:sz w:val="32"/>
          <w:szCs w:val="32"/>
        </w:rPr>
      </w:pPr>
    </w:p>
    <w:p w14:paraId="1DE998C8">
      <w:pPr>
        <w:adjustRightInd w:val="0"/>
        <w:snapToGrid w:val="0"/>
        <w:spacing w:line="360" w:lineRule="auto"/>
        <w:jc w:val="center"/>
        <w:rPr>
          <w:rFonts w:ascii="Arial Narrow" w:hAnsi="Arial Narrow" w:eastAsiaTheme="minorEastAsia"/>
          <w:b/>
          <w:spacing w:val="100"/>
          <w:sz w:val="32"/>
          <w:szCs w:val="32"/>
        </w:rPr>
      </w:pPr>
    </w:p>
    <w:p w14:paraId="3B4AF24F">
      <w:pPr>
        <w:adjustRightInd w:val="0"/>
        <w:snapToGrid w:val="0"/>
        <w:spacing w:line="360" w:lineRule="auto"/>
        <w:jc w:val="center"/>
        <w:rPr>
          <w:rFonts w:ascii="Arial Narrow" w:hAnsi="Arial Narrow" w:eastAsiaTheme="minorEastAsia"/>
          <w:b/>
          <w:spacing w:val="100"/>
          <w:sz w:val="32"/>
          <w:szCs w:val="32"/>
        </w:rPr>
      </w:pPr>
    </w:p>
    <w:p w14:paraId="62DDA78B">
      <w:pPr>
        <w:adjustRightInd w:val="0"/>
        <w:snapToGrid w:val="0"/>
        <w:spacing w:line="360" w:lineRule="auto"/>
        <w:jc w:val="center"/>
        <w:rPr>
          <w:rFonts w:ascii="Arial Narrow" w:hAnsi="Arial Narrow" w:eastAsiaTheme="minorEastAsia"/>
          <w:b/>
          <w:spacing w:val="100"/>
          <w:sz w:val="32"/>
          <w:szCs w:val="32"/>
        </w:rPr>
      </w:pPr>
    </w:p>
    <w:p w14:paraId="1A6DAF9E">
      <w:pPr>
        <w:adjustRightInd w:val="0"/>
        <w:snapToGrid w:val="0"/>
        <w:spacing w:line="360" w:lineRule="auto"/>
        <w:jc w:val="center"/>
        <w:rPr>
          <w:rFonts w:ascii="Arial Narrow" w:hAnsi="Arial Narrow" w:eastAsiaTheme="minorEastAsia"/>
          <w:b/>
          <w:spacing w:val="100"/>
          <w:sz w:val="32"/>
          <w:szCs w:val="32"/>
        </w:rPr>
      </w:pPr>
    </w:p>
    <w:p w14:paraId="2C73CA2D">
      <w:pPr>
        <w:adjustRightInd w:val="0"/>
        <w:snapToGrid w:val="0"/>
        <w:spacing w:line="360" w:lineRule="auto"/>
        <w:jc w:val="center"/>
        <w:rPr>
          <w:rFonts w:ascii="Arial Narrow" w:hAnsi="Arial Narrow" w:eastAsiaTheme="minorEastAsia"/>
          <w:b/>
          <w:spacing w:val="100"/>
          <w:sz w:val="32"/>
          <w:szCs w:val="32"/>
        </w:rPr>
      </w:pPr>
    </w:p>
    <w:p w14:paraId="05096BB0">
      <w:pPr>
        <w:adjustRightInd w:val="0"/>
        <w:snapToGrid w:val="0"/>
        <w:spacing w:line="360" w:lineRule="auto"/>
        <w:jc w:val="center"/>
        <w:rPr>
          <w:rFonts w:ascii="Arial Narrow" w:hAnsi="Arial Narrow" w:eastAsiaTheme="minorEastAsia"/>
          <w:b/>
          <w:spacing w:val="100"/>
          <w:sz w:val="32"/>
          <w:szCs w:val="32"/>
        </w:rPr>
      </w:pPr>
    </w:p>
    <w:p w14:paraId="50F63EF2">
      <w:pPr>
        <w:adjustRightInd w:val="0"/>
        <w:snapToGrid w:val="0"/>
        <w:spacing w:line="360" w:lineRule="auto"/>
        <w:jc w:val="center"/>
        <w:rPr>
          <w:rFonts w:ascii="Arial Narrow" w:hAnsi="Arial Narrow" w:eastAsiaTheme="minorEastAsia"/>
          <w:b/>
          <w:spacing w:val="100"/>
          <w:sz w:val="32"/>
          <w:szCs w:val="32"/>
        </w:rPr>
      </w:pPr>
    </w:p>
    <w:p w14:paraId="09AB2B14">
      <w:pPr>
        <w:spacing w:line="360" w:lineRule="auto"/>
        <w:jc w:val="center"/>
        <w:rPr>
          <w:rFonts w:ascii="Arial Narrow" w:hAnsi="Arial Narrow" w:eastAsiaTheme="minorEastAsia"/>
          <w:sz w:val="32"/>
          <w:szCs w:val="32"/>
        </w:rPr>
      </w:pPr>
      <w:r>
        <w:rPr>
          <w:rFonts w:ascii="Arial Narrow" w:hAnsi="Arial Narrow" w:eastAsiaTheme="minorEastAsia"/>
          <w:sz w:val="32"/>
          <w:szCs w:val="32"/>
        </w:rPr>
        <w:t>重庆铭鸿金全会计师事务所有限</w:t>
      </w:r>
      <w:r>
        <w:rPr>
          <w:rFonts w:hint="eastAsia" w:ascii="Arial Narrow" w:hAnsi="Arial Narrow" w:eastAsiaTheme="minorEastAsia"/>
          <w:sz w:val="32"/>
          <w:szCs w:val="32"/>
        </w:rPr>
        <w:t>责任</w:t>
      </w:r>
      <w:r>
        <w:rPr>
          <w:rFonts w:ascii="Arial Narrow" w:hAnsi="Arial Narrow" w:eastAsiaTheme="minorEastAsia"/>
          <w:sz w:val="32"/>
          <w:szCs w:val="32"/>
        </w:rPr>
        <w:t>公司</w:t>
      </w:r>
    </w:p>
    <w:p w14:paraId="23CD15E0">
      <w:pPr>
        <w:spacing w:line="360" w:lineRule="auto"/>
        <w:jc w:val="center"/>
        <w:rPr>
          <w:rFonts w:ascii="Arial Narrow" w:hAnsi="Arial Narrow" w:eastAsiaTheme="minorEastAsia"/>
          <w:sz w:val="32"/>
          <w:szCs w:val="32"/>
        </w:rPr>
      </w:pPr>
      <w:r>
        <w:rPr>
          <w:rFonts w:ascii="Arial Narrow" w:hAnsi="Arial Narrow" w:eastAsiaTheme="minorEastAsia"/>
          <w:sz w:val="32"/>
          <w:szCs w:val="32"/>
        </w:rPr>
        <w:t>二</w:t>
      </w:r>
      <w:r>
        <w:rPr>
          <w:rFonts w:hint="eastAsia" w:ascii="Arial Narrow" w:hAnsi="Arial Narrow" w:eastAsiaTheme="minorEastAsia"/>
          <w:sz w:val="32"/>
          <w:szCs w:val="32"/>
          <w:lang w:val="en-US" w:eastAsia="zh-CN"/>
        </w:rPr>
        <w:t>〇</w:t>
      </w:r>
      <w:r>
        <w:rPr>
          <w:rFonts w:ascii="Arial Narrow" w:hAnsi="Arial Narrow" w:eastAsiaTheme="minorEastAsia"/>
          <w:sz w:val="32"/>
          <w:szCs w:val="32"/>
        </w:rPr>
        <w:t>二</w:t>
      </w:r>
      <w:r>
        <w:rPr>
          <w:rFonts w:hint="eastAsia" w:ascii="Arial Narrow" w:hAnsi="Arial Narrow" w:eastAsiaTheme="minorEastAsia"/>
          <w:sz w:val="32"/>
          <w:szCs w:val="32"/>
          <w:lang w:val="en-US" w:eastAsia="zh-CN"/>
        </w:rPr>
        <w:t>四</w:t>
      </w:r>
      <w:r>
        <w:rPr>
          <w:rFonts w:ascii="Arial Narrow" w:hAnsi="Arial Narrow" w:eastAsiaTheme="minorEastAsia"/>
          <w:sz w:val="32"/>
          <w:szCs w:val="32"/>
        </w:rPr>
        <w:t>年六月</w:t>
      </w:r>
    </w:p>
    <w:p w14:paraId="1CEE62C8">
      <w:pPr>
        <w:spacing w:line="360" w:lineRule="auto"/>
        <w:jc w:val="center"/>
        <w:rPr>
          <w:rFonts w:ascii="Arial Narrow" w:hAnsi="Arial Narrow" w:eastAsiaTheme="minorEastAsia"/>
          <w:sz w:val="44"/>
          <w:szCs w:val="44"/>
        </w:rPr>
      </w:pPr>
      <w:r>
        <w:rPr>
          <w:rFonts w:ascii="Arial Narrow" w:hAnsi="Arial Narrow" w:eastAsiaTheme="minorEastAsia"/>
          <w:b/>
          <w:spacing w:val="100"/>
          <w:sz w:val="52"/>
          <w:szCs w:val="52"/>
        </w:rPr>
        <w:br w:type="page"/>
      </w:r>
      <w:bookmarkEnd w:id="0"/>
      <w:bookmarkEnd w:id="1"/>
      <w:r>
        <w:rPr>
          <w:rFonts w:ascii="Arial Narrow" w:hAnsi="Arial Narrow" w:eastAsiaTheme="minorEastAsia"/>
          <w:sz w:val="44"/>
          <w:szCs w:val="44"/>
        </w:rPr>
        <w:t>目   录</w:t>
      </w:r>
    </w:p>
    <w:p w14:paraId="7D05CBF5">
      <w:pPr>
        <w:spacing w:line="360" w:lineRule="auto"/>
        <w:jc w:val="center"/>
        <w:rPr>
          <w:rFonts w:ascii="Arial Narrow" w:hAnsi="Arial Narrow" w:eastAsiaTheme="minorEastAsia"/>
          <w:sz w:val="24"/>
        </w:rPr>
      </w:pPr>
    </w:p>
    <w:p w14:paraId="46D9A0A4">
      <w:pPr>
        <w:pStyle w:val="7"/>
        <w:spacing w:line="520" w:lineRule="exact"/>
        <w:rPr>
          <w:rFonts w:asciiTheme="minorHAnsi" w:hAnsiTheme="minorHAnsi" w:eastAsiaTheme="minorEastAsia" w:cstheme="minorBidi"/>
          <w:b w:val="0"/>
          <w:bCs w:val="0"/>
          <w:szCs w:val="22"/>
          <w14:ligatures w14:val="standardContextual"/>
        </w:rPr>
      </w:pPr>
      <w:r>
        <w:rPr>
          <w:rStyle w:val="11"/>
          <w:rFonts w:eastAsiaTheme="minorEastAsia"/>
          <w:b w:val="0"/>
          <w:bCs w:val="0"/>
          <w:color w:val="auto"/>
          <w:szCs w:val="21"/>
          <w:u w:val="none"/>
        </w:rPr>
        <w:fldChar w:fldCharType="begin"/>
      </w:r>
      <w:r>
        <w:rPr>
          <w:rStyle w:val="11"/>
          <w:rFonts w:eastAsiaTheme="minorEastAsia"/>
          <w:b w:val="0"/>
          <w:bCs w:val="0"/>
          <w:color w:val="auto"/>
          <w:szCs w:val="21"/>
          <w:u w:val="none"/>
        </w:rPr>
        <w:instrText xml:space="preserve"> TOC \o "1-3" \h \z \u </w:instrText>
      </w:r>
      <w:r>
        <w:rPr>
          <w:rStyle w:val="11"/>
          <w:rFonts w:eastAsiaTheme="minorEastAsia"/>
          <w:b w:val="0"/>
          <w:bCs w:val="0"/>
          <w:color w:val="auto"/>
          <w:szCs w:val="21"/>
          <w:u w:val="none"/>
        </w:rPr>
        <w:fldChar w:fldCharType="separate"/>
      </w:r>
      <w:r>
        <w:fldChar w:fldCharType="begin"/>
      </w:r>
      <w:r>
        <w:instrText xml:space="preserve"> HYPERLINK \l "_Toc171687777" </w:instrText>
      </w:r>
      <w:r>
        <w:fldChar w:fldCharType="separate"/>
      </w:r>
      <w:r>
        <w:rPr>
          <w:rStyle w:val="11"/>
        </w:rPr>
        <w:t>一、基本情况</w:t>
      </w:r>
      <w:r>
        <w:tab/>
      </w:r>
      <w:r>
        <w:fldChar w:fldCharType="begin"/>
      </w:r>
      <w:r>
        <w:instrText xml:space="preserve"> PAGEREF _Toc171687777 \h </w:instrText>
      </w:r>
      <w:r>
        <w:fldChar w:fldCharType="separate"/>
      </w:r>
      <w:r>
        <w:t>1</w:t>
      </w:r>
      <w:r>
        <w:fldChar w:fldCharType="end"/>
      </w:r>
      <w:r>
        <w:fldChar w:fldCharType="end"/>
      </w:r>
    </w:p>
    <w:p w14:paraId="5FD81E45">
      <w:pPr>
        <w:pStyle w:val="7"/>
        <w:spacing w:line="52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"_Toc171687778" </w:instrText>
      </w:r>
      <w:r>
        <w:fldChar w:fldCharType="separate"/>
      </w:r>
      <w:r>
        <w:rPr>
          <w:rStyle w:val="11"/>
          <w:rFonts w:cs="宋体"/>
          <w:kern w:val="0"/>
        </w:rPr>
        <w:t>（一）项目情况</w:t>
      </w:r>
      <w:r>
        <w:tab/>
      </w:r>
      <w:r>
        <w:fldChar w:fldCharType="begin"/>
      </w:r>
      <w:r>
        <w:instrText xml:space="preserve"> PAGEREF _Toc171687778 \h </w:instrText>
      </w:r>
      <w:r>
        <w:fldChar w:fldCharType="separate"/>
      </w:r>
      <w:r>
        <w:t>1</w:t>
      </w:r>
      <w:r>
        <w:fldChar w:fldCharType="end"/>
      </w:r>
      <w:r>
        <w:fldChar w:fldCharType="end"/>
      </w:r>
    </w:p>
    <w:p w14:paraId="5443C6E6">
      <w:pPr>
        <w:pStyle w:val="7"/>
        <w:spacing w:line="52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"_Toc171687779" </w:instrText>
      </w:r>
      <w:r>
        <w:fldChar w:fldCharType="separate"/>
      </w:r>
      <w:r>
        <w:rPr>
          <w:rStyle w:val="11"/>
        </w:rPr>
        <w:t>二、绩效评价工作情况</w:t>
      </w:r>
      <w:r>
        <w:tab/>
      </w:r>
      <w:r>
        <w:fldChar w:fldCharType="begin"/>
      </w:r>
      <w:r>
        <w:instrText xml:space="preserve"> PAGEREF _Toc171687779 \h </w:instrText>
      </w:r>
      <w:r>
        <w:fldChar w:fldCharType="separate"/>
      </w:r>
      <w:r>
        <w:t>2</w:t>
      </w:r>
      <w:r>
        <w:fldChar w:fldCharType="end"/>
      </w:r>
      <w:r>
        <w:fldChar w:fldCharType="end"/>
      </w:r>
    </w:p>
    <w:p w14:paraId="31D85F4B">
      <w:pPr>
        <w:pStyle w:val="7"/>
        <w:spacing w:line="52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"_Toc171687780" </w:instrText>
      </w:r>
      <w:r>
        <w:fldChar w:fldCharType="separate"/>
      </w:r>
      <w:r>
        <w:rPr>
          <w:rStyle w:val="11"/>
        </w:rPr>
        <w:t>（一）绩效评价目的</w:t>
      </w:r>
      <w:r>
        <w:tab/>
      </w:r>
      <w:r>
        <w:fldChar w:fldCharType="begin"/>
      </w:r>
      <w:r>
        <w:instrText xml:space="preserve"> PAGEREF _Toc171687780 \h </w:instrText>
      </w:r>
      <w:r>
        <w:fldChar w:fldCharType="separate"/>
      </w:r>
      <w:r>
        <w:t>2</w:t>
      </w:r>
      <w:r>
        <w:fldChar w:fldCharType="end"/>
      </w:r>
      <w:r>
        <w:fldChar w:fldCharType="end"/>
      </w:r>
    </w:p>
    <w:p w14:paraId="39EBED3B">
      <w:pPr>
        <w:pStyle w:val="7"/>
        <w:spacing w:line="52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"_Toc171687781" </w:instrText>
      </w:r>
      <w:r>
        <w:fldChar w:fldCharType="separate"/>
      </w:r>
      <w:r>
        <w:rPr>
          <w:rStyle w:val="11"/>
        </w:rPr>
        <w:t>（二）绩效评价的基本内容</w:t>
      </w:r>
      <w:r>
        <w:tab/>
      </w:r>
      <w:r>
        <w:fldChar w:fldCharType="begin"/>
      </w:r>
      <w:r>
        <w:instrText xml:space="preserve"> PAGEREF _Toc171687781 \h </w:instrText>
      </w:r>
      <w:r>
        <w:fldChar w:fldCharType="separate"/>
      </w:r>
      <w:r>
        <w:t>2</w:t>
      </w:r>
      <w:r>
        <w:fldChar w:fldCharType="end"/>
      </w:r>
      <w:r>
        <w:fldChar w:fldCharType="end"/>
      </w:r>
    </w:p>
    <w:p w14:paraId="27749ED0">
      <w:pPr>
        <w:pStyle w:val="7"/>
        <w:spacing w:line="52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"_Toc171687782" </w:instrText>
      </w:r>
      <w:r>
        <w:fldChar w:fldCharType="separate"/>
      </w:r>
      <w:r>
        <w:rPr>
          <w:rStyle w:val="11"/>
        </w:rPr>
        <w:t>（三）绩效评价依据</w:t>
      </w:r>
      <w:r>
        <w:tab/>
      </w:r>
      <w:r>
        <w:fldChar w:fldCharType="begin"/>
      </w:r>
      <w:r>
        <w:instrText xml:space="preserve"> PAGEREF _Toc171687782 \h </w:instrText>
      </w:r>
      <w:r>
        <w:fldChar w:fldCharType="separate"/>
      </w:r>
      <w:r>
        <w:t>2</w:t>
      </w:r>
      <w:r>
        <w:fldChar w:fldCharType="end"/>
      </w:r>
      <w:r>
        <w:fldChar w:fldCharType="end"/>
      </w:r>
    </w:p>
    <w:p w14:paraId="14A8763C">
      <w:pPr>
        <w:pStyle w:val="7"/>
        <w:spacing w:line="52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"_Toc171687783" </w:instrText>
      </w:r>
      <w:r>
        <w:fldChar w:fldCharType="separate"/>
      </w:r>
      <w:r>
        <w:rPr>
          <w:rStyle w:val="11"/>
        </w:rPr>
        <w:t>（四）绩效评价原则和指标体系</w:t>
      </w:r>
      <w:r>
        <w:tab/>
      </w:r>
      <w:r>
        <w:fldChar w:fldCharType="begin"/>
      </w:r>
      <w:r>
        <w:instrText xml:space="preserve"> PAGEREF _Toc171687783 \h </w:instrText>
      </w:r>
      <w:r>
        <w:fldChar w:fldCharType="separate"/>
      </w:r>
      <w:r>
        <w:t>3</w:t>
      </w:r>
      <w:r>
        <w:fldChar w:fldCharType="end"/>
      </w:r>
      <w:r>
        <w:fldChar w:fldCharType="end"/>
      </w:r>
    </w:p>
    <w:p w14:paraId="5419C81E">
      <w:pPr>
        <w:pStyle w:val="7"/>
        <w:spacing w:line="52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"_Toc171687784" </w:instrText>
      </w:r>
      <w:r>
        <w:fldChar w:fldCharType="separate"/>
      </w:r>
      <w:r>
        <w:rPr>
          <w:rStyle w:val="11"/>
        </w:rPr>
        <w:t>（五）绩效评价标准和评价方法</w:t>
      </w:r>
      <w:r>
        <w:tab/>
      </w:r>
      <w:r>
        <w:fldChar w:fldCharType="begin"/>
      </w:r>
      <w:r>
        <w:instrText xml:space="preserve"> PAGEREF _Toc171687784 \h </w:instrText>
      </w:r>
      <w:r>
        <w:fldChar w:fldCharType="separate"/>
      </w:r>
      <w:r>
        <w:t>5</w:t>
      </w:r>
      <w:r>
        <w:fldChar w:fldCharType="end"/>
      </w:r>
      <w:r>
        <w:fldChar w:fldCharType="end"/>
      </w:r>
    </w:p>
    <w:p w14:paraId="14773C4C">
      <w:pPr>
        <w:pStyle w:val="7"/>
        <w:spacing w:line="52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"_Toc171687785" </w:instrText>
      </w:r>
      <w:r>
        <w:fldChar w:fldCharType="separate"/>
      </w:r>
      <w:r>
        <w:rPr>
          <w:rStyle w:val="11"/>
        </w:rPr>
        <w:t>（六）绩效评价工作过程</w:t>
      </w:r>
      <w:r>
        <w:tab/>
      </w:r>
      <w:r>
        <w:fldChar w:fldCharType="begin"/>
      </w:r>
      <w:r>
        <w:instrText xml:space="preserve"> PAGEREF _Toc171687785 \h </w:instrText>
      </w:r>
      <w:r>
        <w:fldChar w:fldCharType="separate"/>
      </w:r>
      <w:r>
        <w:t>6</w:t>
      </w:r>
      <w:r>
        <w:fldChar w:fldCharType="end"/>
      </w:r>
      <w:r>
        <w:fldChar w:fldCharType="end"/>
      </w:r>
    </w:p>
    <w:p w14:paraId="473D5151">
      <w:pPr>
        <w:pStyle w:val="7"/>
        <w:spacing w:line="52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"_Toc171687786" </w:instrText>
      </w:r>
      <w:r>
        <w:fldChar w:fldCharType="separate"/>
      </w:r>
      <w:r>
        <w:rPr>
          <w:rStyle w:val="11"/>
        </w:rPr>
        <w:t>三、项目评价结论</w:t>
      </w:r>
      <w:r>
        <w:tab/>
      </w:r>
      <w:r>
        <w:fldChar w:fldCharType="begin"/>
      </w:r>
      <w:r>
        <w:instrText xml:space="preserve"> PAGEREF _Toc171687786 \h </w:instrText>
      </w:r>
      <w:r>
        <w:fldChar w:fldCharType="separate"/>
      </w:r>
      <w:r>
        <w:t>6</w:t>
      </w:r>
      <w:r>
        <w:fldChar w:fldCharType="end"/>
      </w:r>
      <w:r>
        <w:fldChar w:fldCharType="end"/>
      </w:r>
    </w:p>
    <w:p w14:paraId="612CAF96">
      <w:pPr>
        <w:pStyle w:val="7"/>
        <w:spacing w:line="52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"_Toc171687787" </w:instrText>
      </w:r>
      <w:r>
        <w:fldChar w:fldCharType="separate"/>
      </w:r>
      <w:r>
        <w:rPr>
          <w:rStyle w:val="11"/>
        </w:rPr>
        <w:t>四、综合评价情况</w:t>
      </w:r>
      <w:r>
        <w:tab/>
      </w:r>
      <w:r>
        <w:fldChar w:fldCharType="begin"/>
      </w:r>
      <w:r>
        <w:instrText xml:space="preserve"> PAGEREF _Toc171687787 \h </w:instrText>
      </w:r>
      <w:r>
        <w:fldChar w:fldCharType="separate"/>
      </w:r>
      <w:r>
        <w:t>6</w:t>
      </w:r>
      <w:r>
        <w:fldChar w:fldCharType="end"/>
      </w:r>
      <w:r>
        <w:fldChar w:fldCharType="end"/>
      </w:r>
    </w:p>
    <w:p w14:paraId="128FD42B">
      <w:pPr>
        <w:pStyle w:val="7"/>
        <w:spacing w:line="52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"_Toc171687788" </w:instrText>
      </w:r>
      <w:r>
        <w:fldChar w:fldCharType="separate"/>
      </w:r>
      <w:r>
        <w:rPr>
          <w:rStyle w:val="11"/>
        </w:rPr>
        <w:t>（一）资金管理</w:t>
      </w:r>
      <w:r>
        <w:tab/>
      </w:r>
      <w:r>
        <w:fldChar w:fldCharType="begin"/>
      </w:r>
      <w:r>
        <w:instrText xml:space="preserve"> PAGEREF _Toc171687788 \h </w:instrText>
      </w:r>
      <w:r>
        <w:fldChar w:fldCharType="separate"/>
      </w:r>
      <w:r>
        <w:t>6</w:t>
      </w:r>
      <w:r>
        <w:fldChar w:fldCharType="end"/>
      </w:r>
      <w:r>
        <w:fldChar w:fldCharType="end"/>
      </w:r>
    </w:p>
    <w:p w14:paraId="4CF25FF2">
      <w:pPr>
        <w:pStyle w:val="7"/>
        <w:spacing w:line="52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"_Toc171687789" </w:instrText>
      </w:r>
      <w:r>
        <w:fldChar w:fldCharType="separate"/>
      </w:r>
      <w:r>
        <w:rPr>
          <w:rStyle w:val="11"/>
        </w:rPr>
        <w:t>（二）项目管理</w:t>
      </w:r>
      <w:r>
        <w:tab/>
      </w:r>
      <w:r>
        <w:fldChar w:fldCharType="begin"/>
      </w:r>
      <w:r>
        <w:instrText xml:space="preserve"> PAGEREF _Toc171687789 \h </w:instrText>
      </w:r>
      <w:r>
        <w:fldChar w:fldCharType="separate"/>
      </w:r>
      <w:r>
        <w:t>6</w:t>
      </w:r>
      <w:r>
        <w:fldChar w:fldCharType="end"/>
      </w:r>
      <w:r>
        <w:fldChar w:fldCharType="end"/>
      </w:r>
    </w:p>
    <w:p w14:paraId="5C5A47E9">
      <w:pPr>
        <w:pStyle w:val="7"/>
        <w:spacing w:line="52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"_Toc171687790" </w:instrText>
      </w:r>
      <w:r>
        <w:fldChar w:fldCharType="separate"/>
      </w:r>
      <w:r>
        <w:rPr>
          <w:rStyle w:val="11"/>
        </w:rPr>
        <w:t>（三）使用成效及通报情况</w:t>
      </w:r>
      <w:r>
        <w:tab/>
      </w:r>
      <w:r>
        <w:fldChar w:fldCharType="begin"/>
      </w:r>
      <w:r>
        <w:instrText xml:space="preserve"> PAGEREF _Toc171687790 \h </w:instrText>
      </w:r>
      <w:r>
        <w:fldChar w:fldCharType="separate"/>
      </w:r>
      <w:r>
        <w:t>7</w:t>
      </w:r>
      <w:r>
        <w:fldChar w:fldCharType="end"/>
      </w:r>
      <w:r>
        <w:fldChar w:fldCharType="end"/>
      </w:r>
    </w:p>
    <w:p w14:paraId="4363E18E">
      <w:pPr>
        <w:pStyle w:val="7"/>
        <w:spacing w:line="52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"_Toc171687791" </w:instrText>
      </w:r>
      <w:r>
        <w:fldChar w:fldCharType="separate"/>
      </w:r>
      <w:r>
        <w:rPr>
          <w:rStyle w:val="11"/>
        </w:rPr>
        <w:t>五、存在的问题和建议</w:t>
      </w:r>
      <w:r>
        <w:tab/>
      </w:r>
      <w:r>
        <w:fldChar w:fldCharType="begin"/>
      </w:r>
      <w:r>
        <w:instrText xml:space="preserve"> PAGEREF _Toc171687791 \h </w:instrText>
      </w:r>
      <w:r>
        <w:fldChar w:fldCharType="separate"/>
      </w:r>
      <w:r>
        <w:t>7</w:t>
      </w:r>
      <w:r>
        <w:fldChar w:fldCharType="end"/>
      </w:r>
      <w:r>
        <w:fldChar w:fldCharType="end"/>
      </w:r>
    </w:p>
    <w:p w14:paraId="32E8E059">
      <w:pPr>
        <w:pStyle w:val="7"/>
        <w:spacing w:line="52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"_Toc171687792" </w:instrText>
      </w:r>
      <w:r>
        <w:fldChar w:fldCharType="separate"/>
      </w:r>
      <w:r>
        <w:rPr>
          <w:rStyle w:val="11"/>
        </w:rPr>
        <w:t>（一）存在问题</w:t>
      </w:r>
      <w:r>
        <w:tab/>
      </w:r>
      <w:r>
        <w:fldChar w:fldCharType="begin"/>
      </w:r>
      <w:r>
        <w:instrText xml:space="preserve"> PAGEREF _Toc171687792 \h </w:instrText>
      </w:r>
      <w:r>
        <w:fldChar w:fldCharType="separate"/>
      </w:r>
      <w:r>
        <w:t>7</w:t>
      </w:r>
      <w:r>
        <w:fldChar w:fldCharType="end"/>
      </w:r>
      <w:r>
        <w:fldChar w:fldCharType="end"/>
      </w:r>
    </w:p>
    <w:p w14:paraId="134143EB">
      <w:pPr>
        <w:pStyle w:val="7"/>
        <w:spacing w:line="52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"_Toc171687793" </w:instrText>
      </w:r>
      <w:r>
        <w:fldChar w:fldCharType="separate"/>
      </w:r>
      <w:r>
        <w:rPr>
          <w:rStyle w:val="11"/>
        </w:rPr>
        <w:t>（二）建议</w:t>
      </w:r>
      <w:r>
        <w:tab/>
      </w:r>
      <w:r>
        <w:fldChar w:fldCharType="begin"/>
      </w:r>
      <w:r>
        <w:instrText xml:space="preserve"> PAGEREF _Toc171687793 \h </w:instrText>
      </w:r>
      <w:r>
        <w:fldChar w:fldCharType="separate"/>
      </w:r>
      <w:r>
        <w:t>8</w:t>
      </w:r>
      <w:r>
        <w:fldChar w:fldCharType="end"/>
      </w:r>
      <w:r>
        <w:fldChar w:fldCharType="end"/>
      </w:r>
    </w:p>
    <w:p w14:paraId="2C655FBD">
      <w:pPr>
        <w:pStyle w:val="13"/>
        <w:spacing w:line="460" w:lineRule="exact"/>
        <w:rPr>
          <w:rFonts w:ascii="Arial Narrow" w:hAnsi="Arial Narrow" w:eastAsiaTheme="minorEastAsia"/>
          <w:bCs/>
          <w:w w:val="80"/>
        </w:rPr>
        <w:sectPr>
          <w:footerReference r:id="rId3" w:type="default"/>
          <w:pgSz w:w="11907" w:h="16840"/>
          <w:pgMar w:top="1418" w:right="1418" w:bottom="1134" w:left="1701" w:header="851" w:footer="851" w:gutter="0"/>
          <w:pgNumType w:start="1"/>
          <w:cols w:space="425" w:num="1"/>
          <w:docGrid w:linePitch="312" w:charSpace="0"/>
        </w:sectPr>
      </w:pPr>
      <w:r>
        <w:rPr>
          <w:rStyle w:val="11"/>
          <w:rFonts w:ascii="Arial Narrow" w:hAnsi="Arial Narrow" w:eastAsiaTheme="minorEastAsia"/>
          <w:color w:val="auto"/>
          <w:sz w:val="21"/>
          <w:szCs w:val="21"/>
          <w:u w:val="none"/>
        </w:rPr>
        <w:fldChar w:fldCharType="end"/>
      </w:r>
    </w:p>
    <w:p w14:paraId="22526DB1">
      <w:pPr>
        <w:spacing w:line="360" w:lineRule="auto"/>
        <w:jc w:val="right"/>
        <w:rPr>
          <w:rFonts w:ascii="Arial Narrow" w:hAnsi="Arial Narrow" w:eastAsiaTheme="minorEastAsia"/>
          <w:bCs/>
          <w:w w:val="80"/>
          <w:sz w:val="28"/>
          <w:szCs w:val="28"/>
        </w:rPr>
      </w:pPr>
    </w:p>
    <w:p w14:paraId="71570EA7">
      <w:pPr>
        <w:spacing w:line="360" w:lineRule="auto"/>
        <w:jc w:val="right"/>
        <w:rPr>
          <w:rFonts w:ascii="Arial Narrow" w:hAnsi="Arial Narrow" w:eastAsiaTheme="minorEastAsia"/>
          <w:bCs/>
          <w:w w:val="80"/>
          <w:sz w:val="28"/>
          <w:szCs w:val="28"/>
        </w:rPr>
      </w:pPr>
    </w:p>
    <w:p w14:paraId="0EDA499C">
      <w:pPr>
        <w:widowControl/>
        <w:jc w:val="distribute"/>
        <w:rPr>
          <w:rFonts w:ascii="Arial Narrow" w:hAnsi="Arial Narrow" w:cs="楷体" w:eastAsiaTheme="minorEastAsia"/>
          <w:bCs/>
          <w:kern w:val="0"/>
          <w:sz w:val="28"/>
          <w:szCs w:val="28"/>
        </w:rPr>
      </w:pPr>
      <w:r>
        <w:rPr>
          <w:rFonts w:ascii="Arial Narrow" w:hAnsi="Arial Narrow" w:cs="楷体" w:eastAsiaTheme="minorEastAsia"/>
          <w:b/>
          <w:kern w:val="0"/>
          <w:sz w:val="72"/>
          <w:szCs w:val="72"/>
        </w:rPr>
        <w:t>重庆铭鸿金全会计师事务所</w:t>
      </w:r>
    </w:p>
    <w:p w14:paraId="38CAB86B">
      <w:pPr>
        <w:widowControl/>
        <w:spacing w:line="360" w:lineRule="auto"/>
        <w:ind w:right="-2"/>
        <w:jc w:val="distribute"/>
        <w:rPr>
          <w:rFonts w:ascii="Arial Narrow" w:hAnsi="Arial Narrow" w:eastAsiaTheme="minorEastAsia"/>
          <w:kern w:val="0"/>
          <w:sz w:val="28"/>
          <w:szCs w:val="28"/>
          <w:lang w:eastAsia="zh-TW"/>
        </w:rPr>
      </w:pPr>
      <w:r>
        <w:rPr>
          <w:rFonts w:ascii="Arial Narrow" w:hAnsi="Arial Narrow" w:eastAsiaTheme="minorEastAsia"/>
          <w:b/>
          <w:kern w:val="0"/>
          <w:sz w:val="32"/>
          <w:szCs w:val="20"/>
          <w:lang w:eastAsia="zh-TW"/>
        </w:rPr>
        <w:t xml:space="preserve">Chongqing </w:t>
      </w:r>
      <w:r>
        <w:rPr>
          <w:rFonts w:ascii="Arial Narrow" w:hAnsi="Arial Narrow" w:eastAsiaTheme="minorEastAsia"/>
          <w:b/>
          <w:kern w:val="0"/>
          <w:sz w:val="32"/>
          <w:szCs w:val="20"/>
        </w:rPr>
        <w:t>MingHong</w:t>
      </w:r>
      <w:r>
        <w:rPr>
          <w:rFonts w:ascii="Arial Narrow" w:hAnsi="Arial Narrow" w:eastAsiaTheme="minorEastAsia"/>
          <w:b/>
          <w:kern w:val="0"/>
          <w:sz w:val="32"/>
          <w:szCs w:val="20"/>
          <w:lang w:eastAsia="zh-TW"/>
        </w:rPr>
        <w:t xml:space="preserve"> </w:t>
      </w:r>
      <w:r>
        <w:rPr>
          <w:rFonts w:ascii="Arial Narrow" w:hAnsi="Arial Narrow" w:eastAsiaTheme="minorEastAsia"/>
          <w:b/>
          <w:kern w:val="0"/>
          <w:sz w:val="32"/>
          <w:szCs w:val="20"/>
        </w:rPr>
        <w:t>JinQuan</w:t>
      </w:r>
      <w:r>
        <w:rPr>
          <w:rFonts w:ascii="Arial Narrow" w:hAnsi="Arial Narrow" w:eastAsiaTheme="minorEastAsia"/>
          <w:b/>
          <w:kern w:val="0"/>
          <w:sz w:val="32"/>
          <w:szCs w:val="20"/>
          <w:lang w:eastAsia="zh-TW"/>
        </w:rPr>
        <w:t xml:space="preserve"> Certified Public Accountants</w:t>
      </w:r>
    </w:p>
    <w:p w14:paraId="31C20536">
      <w:pPr>
        <w:spacing w:line="360" w:lineRule="auto"/>
        <w:jc w:val="center"/>
        <w:rPr>
          <w:rFonts w:ascii="Arial Narrow" w:hAnsi="Arial Narrow" w:eastAsiaTheme="minorEastAsia"/>
          <w:sz w:val="28"/>
          <w:szCs w:val="28"/>
        </w:rPr>
      </w:pPr>
      <w:r>
        <w:rPr>
          <w:rFonts w:ascii="Arial Narrow" w:hAnsi="Arial Narrow" w:eastAsiaTheme="minorEastAsia"/>
          <w:kern w:val="0"/>
          <w:sz w:val="28"/>
          <w:szCs w:val="28"/>
        </w:rPr>
        <w:t>铭</w:t>
      </w:r>
      <w:r>
        <w:rPr>
          <w:rFonts w:ascii="Arial Narrow" w:hAnsi="Arial Narrow" w:eastAsiaTheme="minorEastAsia"/>
          <w:sz w:val="28"/>
          <w:szCs w:val="28"/>
        </w:rPr>
        <w:t>鸿咨字〔2024〕第0032号</w:t>
      </w:r>
    </w:p>
    <w:p w14:paraId="1EDEB210">
      <w:pPr>
        <w:spacing w:line="360" w:lineRule="auto"/>
        <w:jc w:val="distribute"/>
        <w:rPr>
          <w:rFonts w:ascii="Arial Narrow" w:hAnsi="Arial Narrow" w:eastAsiaTheme="minorEastAsia"/>
          <w:w w:val="94"/>
        </w:rPr>
      </w:pPr>
      <w:r>
        <w:rPr>
          <w:rFonts w:hint="eastAsia" w:ascii="宋体" w:hAnsi="宋体" w:cs="宋体"/>
          <w:b/>
          <w:bCs/>
          <w:w w:val="94"/>
          <w:sz w:val="36"/>
          <w:szCs w:val="36"/>
        </w:rPr>
        <w:t>━━━━━━━━━━━━</w:t>
      </w:r>
      <w:r>
        <w:rPr>
          <w:rFonts w:ascii="Arial Narrow" w:hAnsi="Arial Narrow" w:eastAsiaTheme="minorEastAsia"/>
          <w:b/>
          <w:bCs/>
          <w:w w:val="94"/>
          <w:sz w:val="36"/>
          <w:szCs w:val="36"/>
        </w:rPr>
        <w:t xml:space="preserve"> </w:t>
      </w:r>
      <w:r>
        <w:rPr>
          <w:rFonts w:ascii="Segoe UI Symbol" w:hAnsi="Segoe UI Symbol" w:cs="Segoe UI Symbol" w:eastAsiaTheme="minorEastAsia"/>
          <w:b/>
          <w:bCs/>
          <w:w w:val="94"/>
          <w:sz w:val="36"/>
          <w:szCs w:val="36"/>
        </w:rPr>
        <w:t>★</w:t>
      </w:r>
      <w:r>
        <w:rPr>
          <w:rFonts w:ascii="Arial Narrow" w:hAnsi="Arial Narrow" w:eastAsiaTheme="minorEastAsia"/>
          <w:b/>
          <w:bCs/>
          <w:w w:val="94"/>
          <w:sz w:val="36"/>
          <w:szCs w:val="36"/>
        </w:rPr>
        <w:t xml:space="preserve"> </w:t>
      </w:r>
      <w:r>
        <w:rPr>
          <w:rFonts w:hint="eastAsia" w:ascii="宋体" w:hAnsi="宋体" w:cs="宋体"/>
          <w:b/>
          <w:bCs/>
          <w:w w:val="94"/>
          <w:sz w:val="36"/>
          <w:szCs w:val="36"/>
        </w:rPr>
        <w:t>━━━━━━━━━━━</w:t>
      </w:r>
      <w:bookmarkStart w:id="2" w:name="_Hlk51614207"/>
      <w:r>
        <w:rPr>
          <w:rFonts w:hint="eastAsia" w:ascii="宋体" w:hAnsi="宋体" w:cs="宋体"/>
          <w:b/>
          <w:bCs/>
          <w:w w:val="94"/>
          <w:sz w:val="36"/>
          <w:szCs w:val="36"/>
        </w:rPr>
        <w:t>━</w:t>
      </w:r>
      <w:bookmarkEnd w:id="2"/>
    </w:p>
    <w:p w14:paraId="7270EF38">
      <w:pPr>
        <w:adjustRightInd w:val="0"/>
        <w:snapToGrid w:val="0"/>
        <w:spacing w:line="360" w:lineRule="auto"/>
        <w:jc w:val="center"/>
        <w:rPr>
          <w:rFonts w:ascii="Arial Narrow" w:hAnsi="Arial Narrow" w:eastAsiaTheme="minorEastAsia"/>
          <w:b/>
          <w:sz w:val="36"/>
          <w:szCs w:val="36"/>
        </w:rPr>
      </w:pPr>
      <w:r>
        <w:rPr>
          <w:rStyle w:val="11"/>
          <w:rFonts w:ascii="Arial Narrow" w:hAnsi="Arial Narrow" w:eastAsiaTheme="minorEastAsia"/>
          <w:b/>
          <w:color w:val="auto"/>
          <w:sz w:val="36"/>
          <w:szCs w:val="36"/>
          <w:u w:val="none"/>
        </w:rPr>
        <w:t>重庆市铜梁区乡村振兴局产业保险等2个项目</w:t>
      </w:r>
      <w:r>
        <w:rPr>
          <w:rFonts w:ascii="Arial Narrow" w:hAnsi="Arial Narrow" w:eastAsiaTheme="minorEastAsia"/>
          <w:b/>
          <w:sz w:val="36"/>
          <w:szCs w:val="36"/>
        </w:rPr>
        <w:t>绩效评价报告</w:t>
      </w:r>
    </w:p>
    <w:p w14:paraId="7CC97FC3">
      <w:pPr>
        <w:pStyle w:val="14"/>
        <w:spacing w:line="360" w:lineRule="auto"/>
        <w:ind w:firstLine="480" w:firstLineChars="200"/>
        <w:jc w:val="both"/>
        <w:rPr>
          <w:rFonts w:ascii="Arial Narrow" w:hAnsi="Arial Narrow" w:eastAsiaTheme="minorEastAsia"/>
          <w:color w:val="auto"/>
        </w:rPr>
      </w:pPr>
      <w:r>
        <w:rPr>
          <w:rFonts w:ascii="Arial Narrow" w:hAnsi="Arial Narrow" w:eastAsiaTheme="minorEastAsia"/>
          <w:color w:val="auto"/>
        </w:rPr>
        <w:t>为深入贯彻落实党的十九大</w:t>
      </w:r>
      <w:r>
        <w:rPr>
          <w:rFonts w:hint="eastAsia" w:ascii="仿宋" w:hAnsi="仿宋" w:eastAsia="仿宋" w:cs="仿宋"/>
          <w:color w:val="auto"/>
        </w:rPr>
        <w:t>“</w:t>
      </w:r>
      <w:r>
        <w:rPr>
          <w:rFonts w:ascii="Arial Narrow" w:hAnsi="Arial Narrow" w:eastAsiaTheme="minorEastAsia"/>
          <w:color w:val="auto"/>
        </w:rPr>
        <w:t>全面实施绩效管理</w:t>
      </w:r>
      <w:r>
        <w:rPr>
          <w:rFonts w:hint="eastAsia" w:ascii="仿宋" w:hAnsi="仿宋" w:eastAsia="仿宋" w:cs="仿宋"/>
          <w:color w:val="auto"/>
        </w:rPr>
        <w:t>”</w:t>
      </w:r>
      <w:r>
        <w:rPr>
          <w:rFonts w:ascii="Arial Narrow" w:hAnsi="Arial Narrow" w:eastAsiaTheme="minorEastAsia"/>
          <w:color w:val="auto"/>
        </w:rPr>
        <w:t>决策部署，进一步提高政府投入资金的使用效益，促进公共服务资源的优化配置，根据《中华人民共和国预算法》、《项目支出绩效评价管理办法》（财预〔2020〕10号）</w:t>
      </w:r>
      <w:r>
        <w:rPr>
          <w:rFonts w:hint="eastAsia" w:ascii="Arial Narrow" w:hAnsi="Arial Narrow" w:eastAsiaTheme="minorEastAsia"/>
          <w:color w:val="auto"/>
          <w:lang w:eastAsia="zh-CN"/>
        </w:rPr>
        <w:t>、</w:t>
      </w:r>
      <w:r>
        <w:rPr>
          <w:rFonts w:ascii="Arial Narrow" w:hAnsi="Arial Narrow" w:eastAsiaTheme="minorEastAsia"/>
          <w:color w:val="auto"/>
        </w:rPr>
        <w:t>《重庆市市级政策和项目预算绩效管理办法（试行）》（渝财绩〔2019〕19号），受重庆市铜梁区财政局（以下简称</w:t>
      </w:r>
      <w:r>
        <w:rPr>
          <w:rFonts w:hint="eastAsia" w:ascii="仿宋" w:hAnsi="仿宋" w:eastAsia="仿宋" w:cs="仿宋"/>
          <w:color w:val="auto"/>
        </w:rPr>
        <w:t>“</w:t>
      </w:r>
      <w:r>
        <w:rPr>
          <w:rFonts w:ascii="Arial Narrow" w:hAnsi="Arial Narrow" w:eastAsiaTheme="minorEastAsia"/>
          <w:color w:val="auto"/>
        </w:rPr>
        <w:t>财政局</w:t>
      </w:r>
      <w:r>
        <w:rPr>
          <w:rFonts w:hint="eastAsia" w:ascii="仿宋" w:hAnsi="仿宋" w:eastAsia="仿宋" w:cs="仿宋"/>
          <w:color w:val="auto"/>
        </w:rPr>
        <w:t>”</w:t>
      </w:r>
      <w:r>
        <w:rPr>
          <w:rFonts w:ascii="Arial Narrow" w:hAnsi="Arial Narrow" w:eastAsiaTheme="minorEastAsia"/>
          <w:color w:val="auto"/>
        </w:rPr>
        <w:t>）的委托，我们对重庆市铜梁区乡村振兴局（以下简称</w:t>
      </w:r>
      <w:r>
        <w:rPr>
          <w:rFonts w:hint="eastAsia" w:ascii="仿宋" w:hAnsi="仿宋" w:eastAsia="仿宋" w:cs="仿宋"/>
          <w:color w:val="auto"/>
        </w:rPr>
        <w:t>“</w:t>
      </w:r>
      <w:r>
        <w:rPr>
          <w:rFonts w:ascii="Arial Narrow" w:hAnsi="Arial Narrow" w:eastAsiaTheme="minorEastAsia"/>
          <w:color w:val="auto"/>
        </w:rPr>
        <w:t>振兴局</w:t>
      </w:r>
      <w:r>
        <w:rPr>
          <w:rFonts w:hint="eastAsia" w:ascii="仿宋" w:hAnsi="仿宋" w:eastAsia="仿宋" w:cs="仿宋"/>
          <w:color w:val="auto"/>
        </w:rPr>
        <w:t>”</w:t>
      </w:r>
      <w:r>
        <w:rPr>
          <w:rFonts w:ascii="Arial Narrow" w:hAnsi="Arial Narrow" w:eastAsiaTheme="minorEastAsia"/>
          <w:color w:val="auto"/>
        </w:rPr>
        <w:t>）2023年产业保险项目和产业到户补助项目进行绩效评价，现将评价情况报告如下：</w:t>
      </w:r>
    </w:p>
    <w:p w14:paraId="66D60D1E">
      <w:pPr>
        <w:spacing w:before="240" w:beforeLines="100" w:line="360" w:lineRule="auto"/>
        <w:ind w:firstLine="482" w:firstLineChars="200"/>
        <w:jc w:val="left"/>
        <w:outlineLvl w:val="0"/>
        <w:rPr>
          <w:rFonts w:ascii="Arial Narrow" w:hAnsi="Arial Narrow" w:eastAsiaTheme="minorEastAsia"/>
          <w:b/>
          <w:sz w:val="24"/>
        </w:rPr>
      </w:pPr>
      <w:bookmarkStart w:id="3" w:name="_Toc171687777"/>
      <w:r>
        <w:rPr>
          <w:rFonts w:ascii="Arial Narrow" w:hAnsi="Arial Narrow" w:eastAsiaTheme="minorEastAsia"/>
          <w:b/>
          <w:sz w:val="24"/>
        </w:rPr>
        <w:t>一、基本情况</w:t>
      </w:r>
      <w:bookmarkEnd w:id="3"/>
    </w:p>
    <w:p w14:paraId="57DA51BF">
      <w:pPr>
        <w:spacing w:before="120" w:beforeLines="50" w:line="360" w:lineRule="auto"/>
        <w:ind w:firstLine="482" w:firstLineChars="200"/>
        <w:jc w:val="left"/>
        <w:outlineLvl w:val="0"/>
        <w:rPr>
          <w:rFonts w:ascii="Arial Narrow" w:hAnsi="Arial Narrow" w:cs="宋体" w:eastAsiaTheme="minorEastAsia"/>
          <w:b/>
          <w:bCs/>
          <w:kern w:val="0"/>
          <w:sz w:val="24"/>
        </w:rPr>
      </w:pPr>
      <w:bookmarkStart w:id="4" w:name="_Toc171600834"/>
      <w:bookmarkStart w:id="5" w:name="_Toc171687778"/>
      <w:bookmarkStart w:id="6" w:name="_Toc170300480"/>
      <w:r>
        <w:rPr>
          <w:rFonts w:ascii="Arial Narrow" w:hAnsi="Arial Narrow" w:cs="宋体" w:eastAsiaTheme="minorEastAsia"/>
          <w:b/>
          <w:bCs/>
          <w:kern w:val="0"/>
          <w:sz w:val="24"/>
        </w:rPr>
        <w:t>（一）</w:t>
      </w:r>
      <w:r>
        <w:rPr>
          <w:rFonts w:ascii="Arial Narrow" w:hAnsi="Arial Narrow" w:cs="宋体" w:eastAsiaTheme="minorEastAsia"/>
          <w:kern w:val="0"/>
          <w:sz w:val="24"/>
        </w:rPr>
        <w:t>项目情况</w:t>
      </w:r>
      <w:bookmarkEnd w:id="4"/>
      <w:bookmarkEnd w:id="5"/>
      <w:bookmarkEnd w:id="6"/>
    </w:p>
    <w:p w14:paraId="2C80C012">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1.2023年产业保险项目</w:t>
      </w:r>
    </w:p>
    <w:p w14:paraId="537C0F43">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实施单位：重庆市铜梁区乡村振兴局</w:t>
      </w:r>
    </w:p>
    <w:p w14:paraId="5044686D">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内容：安排产业保险资金84.5503万元。为巩固脱贫攻坚成果，提高乡村振兴重点帮扶村特色产业和脱贫户、监测户产业的风险抵抗力，安排产业保险资金84.5503万元用于7个乡村振兴重点帮扶村主导产业保险补助和全区脱贫户、监测户水稻保险，玉米保险、油菜保险自付部分。由区乡村振兴局组织实施。</w:t>
      </w:r>
    </w:p>
    <w:p w14:paraId="4F68CF99">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项目资金安排情况：该项目2023年计划投入90万元，调减项目资金5.4497万元，调减后项目资金为84.5503万元，均为上级补助资金。</w:t>
      </w:r>
    </w:p>
    <w:p w14:paraId="3B5A9B8A">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2.产业到户补助项目</w:t>
      </w:r>
    </w:p>
    <w:p w14:paraId="0CDB07C8">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实施单位：重庆市铜梁区乡村振兴局</w:t>
      </w:r>
    </w:p>
    <w:p w14:paraId="2063935D">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内容：重庆市铜梁区全区对自主发展种养殖业且有一定规模的脱贫户以及监测对象种养殖业进行补助。申报对象：全区在库脱贫户及监测户（未消除风险的监测户）；申报时间：2023年3月20日起至2023年7月30日止，补助标准：上限为：脱贫户每户不超过3000元，监测户（脱贫不稳定户、边缘易致贫户及突发严重困难户）每户不超过5000元。由区乡村振兴局组织实施。</w:t>
      </w:r>
    </w:p>
    <w:p w14:paraId="1924BA5A">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项目资金安排情况：</w:t>
      </w:r>
      <w:r>
        <w:rPr>
          <w:rFonts w:hint="eastAsia" w:ascii="Arial Narrow" w:hAnsi="Arial Narrow" w:cs="宋体" w:eastAsiaTheme="minorEastAsia"/>
          <w:kern w:val="0"/>
          <w:sz w:val="24"/>
          <w:lang w:val="en-US" w:eastAsia="zh-CN"/>
        </w:rPr>
        <w:t>该</w:t>
      </w:r>
      <w:r>
        <w:rPr>
          <w:rFonts w:ascii="Arial Narrow" w:hAnsi="Arial Narrow" w:cs="宋体" w:eastAsiaTheme="minorEastAsia"/>
          <w:kern w:val="0"/>
          <w:sz w:val="24"/>
        </w:rPr>
        <w:t>项目计划投入620.7312万元（具体金额以实际实施为准），实际投入620.7312万元，均为上级补助资金。</w:t>
      </w:r>
    </w:p>
    <w:p w14:paraId="7BD2DEDD">
      <w:pPr>
        <w:spacing w:line="360" w:lineRule="auto"/>
        <w:ind w:firstLine="482" w:firstLineChars="200"/>
        <w:jc w:val="left"/>
        <w:outlineLvl w:val="0"/>
        <w:rPr>
          <w:rFonts w:ascii="Arial Narrow" w:hAnsi="Arial Narrow" w:eastAsiaTheme="minorEastAsia"/>
          <w:b/>
          <w:sz w:val="24"/>
        </w:rPr>
      </w:pPr>
      <w:bookmarkStart w:id="7" w:name="_Toc171687779"/>
      <w:r>
        <w:rPr>
          <w:rFonts w:ascii="Arial Narrow" w:hAnsi="Arial Narrow" w:eastAsiaTheme="minorEastAsia"/>
          <w:b/>
          <w:sz w:val="24"/>
        </w:rPr>
        <w:t>二、绩效评价工作情况</w:t>
      </w:r>
      <w:bookmarkEnd w:id="7"/>
    </w:p>
    <w:p w14:paraId="7BA06A0F">
      <w:pPr>
        <w:spacing w:line="360" w:lineRule="auto"/>
        <w:ind w:firstLine="482" w:firstLineChars="200"/>
        <w:jc w:val="left"/>
        <w:outlineLvl w:val="0"/>
        <w:rPr>
          <w:rFonts w:ascii="Arial Narrow" w:hAnsi="Arial Narrow" w:eastAsiaTheme="minorEastAsia"/>
          <w:b/>
          <w:sz w:val="24"/>
        </w:rPr>
      </w:pPr>
      <w:bookmarkStart w:id="8" w:name="_Toc171687780"/>
      <w:bookmarkStart w:id="9" w:name="_Toc513775099"/>
      <w:r>
        <w:rPr>
          <w:rFonts w:ascii="Arial Narrow" w:hAnsi="Arial Narrow" w:eastAsiaTheme="minorEastAsia"/>
          <w:b/>
          <w:sz w:val="24"/>
        </w:rPr>
        <w:t>（一）绩效评价目的</w:t>
      </w:r>
      <w:bookmarkEnd w:id="8"/>
      <w:bookmarkEnd w:id="9"/>
    </w:p>
    <w:p w14:paraId="08508857">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通过实施财政重点绩效评价，总结项目实施主要成效，分析影响项目绩效的主要问题及成因，为进一步加强财政资金管理、提高资金使用效益提供依据。</w:t>
      </w:r>
    </w:p>
    <w:p w14:paraId="1D6DC3C5">
      <w:pPr>
        <w:spacing w:line="360" w:lineRule="auto"/>
        <w:ind w:firstLine="482" w:firstLineChars="200"/>
        <w:jc w:val="left"/>
        <w:outlineLvl w:val="0"/>
        <w:rPr>
          <w:rFonts w:ascii="Arial Narrow" w:hAnsi="Arial Narrow" w:eastAsiaTheme="minorEastAsia"/>
          <w:b/>
          <w:sz w:val="24"/>
        </w:rPr>
      </w:pPr>
      <w:bookmarkStart w:id="10" w:name="_Toc171687781"/>
      <w:bookmarkStart w:id="11" w:name="_Toc513775100"/>
      <w:r>
        <w:rPr>
          <w:rFonts w:ascii="Arial Narrow" w:hAnsi="Arial Narrow" w:eastAsiaTheme="minorEastAsia"/>
          <w:b/>
          <w:sz w:val="24"/>
        </w:rPr>
        <w:t>（二）绩效评价的基本内容</w:t>
      </w:r>
      <w:bookmarkEnd w:id="10"/>
    </w:p>
    <w:p w14:paraId="1F7C2364">
      <w:pPr>
        <w:pStyle w:val="14"/>
        <w:spacing w:line="360" w:lineRule="auto"/>
        <w:ind w:firstLine="480" w:firstLineChars="200"/>
        <w:rPr>
          <w:rFonts w:ascii="Arial Narrow" w:hAnsi="Arial Narrow" w:eastAsiaTheme="minorEastAsia"/>
          <w:color w:val="auto"/>
        </w:rPr>
      </w:pPr>
      <w:bookmarkStart w:id="12" w:name="_Toc166332968"/>
      <w:r>
        <w:rPr>
          <w:rFonts w:ascii="Arial Narrow" w:hAnsi="Arial Narrow" w:eastAsiaTheme="minorEastAsia"/>
          <w:color w:val="auto"/>
        </w:rPr>
        <w:t>1.绩效目标的设定情况；</w:t>
      </w:r>
    </w:p>
    <w:p w14:paraId="0314668A">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2.资金投入和使用情况；</w:t>
      </w:r>
    </w:p>
    <w:p w14:paraId="381161FE">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3.为实现绩效目标制定的制度、采取的措施等；</w:t>
      </w:r>
    </w:p>
    <w:p w14:paraId="4966053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4.绩效目标的实现程度及效果；</w:t>
      </w:r>
    </w:p>
    <w:p w14:paraId="71ADEB34">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5.根据实际情况需要评价的其他内容。</w:t>
      </w:r>
    </w:p>
    <w:p w14:paraId="7968E724">
      <w:pPr>
        <w:spacing w:line="360" w:lineRule="auto"/>
        <w:ind w:firstLine="482" w:firstLineChars="200"/>
        <w:jc w:val="left"/>
        <w:outlineLvl w:val="0"/>
        <w:rPr>
          <w:rFonts w:ascii="Arial Narrow" w:hAnsi="Arial Narrow" w:eastAsiaTheme="minorEastAsia"/>
          <w:b/>
          <w:sz w:val="24"/>
        </w:rPr>
      </w:pPr>
      <w:bookmarkStart w:id="13" w:name="_Toc171687782"/>
      <w:r>
        <w:rPr>
          <w:rFonts w:ascii="Arial Narrow" w:hAnsi="Arial Narrow" w:eastAsiaTheme="minorEastAsia"/>
          <w:b/>
          <w:sz w:val="24"/>
        </w:rPr>
        <w:t>（三）绩效评价依据</w:t>
      </w:r>
      <w:bookmarkEnd w:id="11"/>
      <w:bookmarkEnd w:id="12"/>
      <w:bookmarkEnd w:id="13"/>
      <w:bookmarkStart w:id="14" w:name="_Toc335040595"/>
    </w:p>
    <w:bookmarkEnd w:id="14"/>
    <w:p w14:paraId="7F29AFB1">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1.《重庆市铜梁区财政衔接推进乡村振兴补助资金绩效评价及考核办法》的通知（铜财〔2022〕678号）</w:t>
      </w:r>
    </w:p>
    <w:p w14:paraId="6C05D993">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2.《重庆市铜梁区财政局关于开展2023年度项目财政重点绩效评价的通知》（铜财〔2024〕237号）</w:t>
      </w:r>
    </w:p>
    <w:p w14:paraId="0863F28D">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3.《重庆市财政衔接推进乡村振兴补助资金绩效评价及考核办法》（渝财农〔2022〕2号</w:t>
      </w:r>
      <w:r>
        <w:rPr>
          <w:rFonts w:hint="eastAsia" w:ascii="Arial Narrow" w:hAnsi="Arial Narrow" w:eastAsiaTheme="minorEastAsia"/>
          <w:color w:val="auto"/>
          <w:lang w:eastAsia="zh-CN"/>
        </w:rPr>
        <w:t>）</w:t>
      </w:r>
      <w:r>
        <w:rPr>
          <w:rFonts w:ascii="Arial Narrow" w:hAnsi="Arial Narrow" w:eastAsiaTheme="minorEastAsia"/>
          <w:color w:val="auto"/>
        </w:rPr>
        <w:t xml:space="preserve"> </w:t>
      </w:r>
    </w:p>
    <w:p w14:paraId="763F9EDC">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4.《铜梁区区级政策和项目预算绩效管理办法(试行)》（铜财〔2022〕41号）</w:t>
      </w:r>
    </w:p>
    <w:p w14:paraId="1AC4EB03">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5.《重庆市财政局等6部门关于加强财政衔接推进乡村振兴补助资金使用管理的实施意见》（渝财农〔2022〕73号）</w:t>
      </w:r>
    </w:p>
    <w:p w14:paraId="3FBE7F12">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6.《铜梁区巩固拓展脱贫攻坚成果和衔接乡村振兴项目库建设管理实施细则》（铜乡振〔2021〕7号）</w:t>
      </w:r>
    </w:p>
    <w:p w14:paraId="1C3CA4D7">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7.《铜梁区财政衔接推进乡村振兴补助资金项目公告公示实施办法》（铜委农办〔2021〕19号）</w:t>
      </w:r>
    </w:p>
    <w:p w14:paraId="214DEA6C">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8.《项目支出绩效评价管理办法》（财预〔2020〕10号）</w:t>
      </w:r>
    </w:p>
    <w:p w14:paraId="31ED02D0">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9.《重庆市市级政策和项目预算绩效管理办法》（渝财绩〔2019〕19号）</w:t>
      </w:r>
    </w:p>
    <w:p w14:paraId="3B66DEA0">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10.《会计师事务所财政支出绩效评价业务指引》（注协</w:t>
      </w:r>
      <w:bookmarkStart w:id="15" w:name="_Hlk162597612"/>
      <w:r>
        <w:rPr>
          <w:rFonts w:ascii="Arial Narrow" w:hAnsi="Arial Narrow" w:eastAsiaTheme="minorEastAsia"/>
          <w:color w:val="auto"/>
        </w:rPr>
        <w:t>〔2016〕</w:t>
      </w:r>
      <w:bookmarkEnd w:id="15"/>
      <w:r>
        <w:rPr>
          <w:rFonts w:ascii="Arial Narrow" w:hAnsi="Arial Narrow" w:eastAsiaTheme="minorEastAsia"/>
          <w:color w:val="auto"/>
        </w:rPr>
        <w:t>10号）</w:t>
      </w:r>
    </w:p>
    <w:p w14:paraId="447A8EB4">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11. 评价工作人员通过现场调查、核实等获得的资料等</w:t>
      </w:r>
    </w:p>
    <w:p w14:paraId="475C98FC">
      <w:pPr>
        <w:spacing w:line="360" w:lineRule="auto"/>
        <w:ind w:firstLine="482" w:firstLineChars="200"/>
        <w:jc w:val="left"/>
        <w:outlineLvl w:val="0"/>
        <w:rPr>
          <w:rFonts w:ascii="Arial Narrow" w:hAnsi="Arial Narrow" w:eastAsiaTheme="minorEastAsia"/>
          <w:b/>
          <w:sz w:val="24"/>
        </w:rPr>
      </w:pPr>
      <w:bookmarkStart w:id="16" w:name="_Toc171687783"/>
      <w:r>
        <w:rPr>
          <w:rFonts w:ascii="Arial Narrow" w:hAnsi="Arial Narrow" w:eastAsiaTheme="minorEastAsia"/>
          <w:b/>
          <w:sz w:val="24"/>
        </w:rPr>
        <w:t>（四）绩效评价原则和指标体系</w:t>
      </w:r>
      <w:bookmarkEnd w:id="16"/>
    </w:p>
    <w:p w14:paraId="378460DE">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1.绩效评价主要遵循以下原则：</w:t>
      </w:r>
    </w:p>
    <w:p w14:paraId="47C934E3">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（1）相关性原则。应当与绩效目标有直接的联系，能够恰当反映目标的实现程度。</w:t>
      </w:r>
    </w:p>
    <w:p w14:paraId="2B590EB0">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（2）重要性原则。应当优先使用最具评价对象代表性、最能反映评价要求的核心指标。</w:t>
      </w:r>
    </w:p>
    <w:p w14:paraId="1F0C3D0E">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（3）可比性原则。对同类评价对象要设定共性的绩效评价指标，以便于评价结果可以相互比较。</w:t>
      </w:r>
    </w:p>
    <w:p w14:paraId="493DECFA">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（4）系统性原则。应当将定量指标与定性指标相结合，系统反映财政支出所产生的社会效益和可持续影响等。</w:t>
      </w:r>
    </w:p>
    <w:p w14:paraId="45EEE9C6">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（5）经济性原则。应当通俗易懂、简便易行，数据的获得应当考虑现实条件和可操作性，符合成本效益原则。</w:t>
      </w:r>
    </w:p>
    <w:p w14:paraId="1A097FC6">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2.绩效评价指标体系</w:t>
      </w:r>
    </w:p>
    <w:p w14:paraId="38E0102A">
      <w:pPr>
        <w:pStyle w:val="14"/>
        <w:spacing w:line="360" w:lineRule="auto"/>
        <w:ind w:firstLine="480" w:firstLineChars="200"/>
        <w:jc w:val="both"/>
        <w:rPr>
          <w:rFonts w:ascii="Arial Narrow" w:hAnsi="Arial Narrow" w:eastAsiaTheme="minorEastAsia"/>
          <w:color w:val="auto"/>
        </w:rPr>
      </w:pPr>
      <w:r>
        <w:rPr>
          <w:rFonts w:ascii="Arial Narrow" w:hAnsi="Arial Narrow" w:eastAsiaTheme="minorEastAsia"/>
          <w:color w:val="auto"/>
        </w:rPr>
        <w:t>根据《重庆市铜梁区财政衔接推进乡村振兴补助资金绩效评价及考核办法》的通知（铜财〔2022〕678号</w:t>
      </w:r>
      <w:r>
        <w:rPr>
          <w:rFonts w:hint="eastAsia" w:ascii="Arial Narrow" w:hAnsi="Arial Narrow" w:eastAsiaTheme="minorEastAsia"/>
          <w:color w:val="auto"/>
          <w:lang w:eastAsia="zh-CN"/>
        </w:rPr>
        <w:t>）</w:t>
      </w:r>
      <w:r>
        <w:rPr>
          <w:rFonts w:ascii="Arial Narrow" w:hAnsi="Arial Narrow" w:eastAsiaTheme="minorEastAsia"/>
          <w:color w:val="auto"/>
        </w:rPr>
        <w:t>，本次绩效评价及考核指标体系如下：</w:t>
      </w:r>
    </w:p>
    <w:p w14:paraId="67BB1E15">
      <w:pPr>
        <w:pStyle w:val="14"/>
        <w:spacing w:line="360" w:lineRule="auto"/>
        <w:ind w:firstLine="482" w:firstLineChars="200"/>
        <w:jc w:val="center"/>
        <w:rPr>
          <w:rFonts w:ascii="Arial Narrow" w:hAnsi="Arial Narrow" w:eastAsiaTheme="minorEastAsia"/>
          <w:b/>
          <w:bCs/>
          <w:color w:val="auto"/>
        </w:rPr>
      </w:pPr>
      <w:r>
        <w:rPr>
          <w:rFonts w:ascii="Arial Narrow" w:hAnsi="Arial Narrow" w:eastAsiaTheme="minorEastAsia"/>
          <w:b/>
          <w:bCs/>
          <w:color w:val="auto"/>
        </w:rPr>
        <w:t>铜梁区衔接资金项目绩效评价及考核指标评分表</w:t>
      </w:r>
    </w:p>
    <w:tbl>
      <w:tblPr>
        <w:tblStyle w:val="9"/>
        <w:tblW w:w="9491" w:type="dxa"/>
        <w:tblInd w:w="113" w:type="dxa"/>
        <w:tblLayout w:type="fixed"/>
        <w:tblCellMar>
          <w:top w:w="0" w:type="dxa"/>
          <w:left w:w="108" w:type="dxa"/>
          <w:bottom w:w="0" w:type="dxa"/>
          <w:right w:w="108" w:type="dxa"/>
        </w:tblCellMar>
      </w:tblPr>
      <w:tblGrid>
        <w:gridCol w:w="536"/>
        <w:gridCol w:w="1017"/>
        <w:gridCol w:w="1049"/>
        <w:gridCol w:w="536"/>
        <w:gridCol w:w="2762"/>
        <w:gridCol w:w="3591"/>
      </w:tblGrid>
      <w:tr w14:paraId="17BF4FAB">
        <w:tblPrEx>
          <w:tblCellMar>
            <w:top w:w="0" w:type="dxa"/>
            <w:left w:w="108" w:type="dxa"/>
            <w:bottom w:w="0" w:type="dxa"/>
            <w:right w:w="108" w:type="dxa"/>
          </w:tblCellMar>
        </w:tblPrEx>
        <w:trPr>
          <w:cantSplit/>
          <w:trHeight w:val="201" w:hRule="atLeast"/>
          <w:tblHeader/>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CCED82">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序号</w:t>
            </w:r>
          </w:p>
        </w:tc>
        <w:tc>
          <w:tcPr>
            <w:tcW w:w="1017" w:type="dxa"/>
            <w:tcBorders>
              <w:top w:val="single" w:color="auto" w:sz="4" w:space="0"/>
              <w:left w:val="nil"/>
              <w:bottom w:val="single" w:color="auto" w:sz="4" w:space="0"/>
              <w:right w:val="single" w:color="auto" w:sz="4" w:space="0"/>
            </w:tcBorders>
            <w:shd w:val="clear" w:color="auto" w:fill="auto"/>
            <w:noWrap/>
            <w:vAlign w:val="center"/>
          </w:tcPr>
          <w:p w14:paraId="2769FA7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一级指标</w:t>
            </w:r>
          </w:p>
        </w:tc>
        <w:tc>
          <w:tcPr>
            <w:tcW w:w="1049" w:type="dxa"/>
            <w:tcBorders>
              <w:top w:val="single" w:color="auto" w:sz="4" w:space="0"/>
              <w:left w:val="nil"/>
              <w:bottom w:val="single" w:color="auto" w:sz="4" w:space="0"/>
              <w:right w:val="single" w:color="auto" w:sz="4" w:space="0"/>
            </w:tcBorders>
            <w:shd w:val="clear" w:color="auto" w:fill="auto"/>
            <w:noWrap/>
            <w:vAlign w:val="center"/>
          </w:tcPr>
          <w:p w14:paraId="42980C52">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6F09D529">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分值</w:t>
            </w:r>
          </w:p>
        </w:tc>
        <w:tc>
          <w:tcPr>
            <w:tcW w:w="2762" w:type="dxa"/>
            <w:tcBorders>
              <w:top w:val="single" w:color="auto" w:sz="4" w:space="0"/>
              <w:left w:val="nil"/>
              <w:bottom w:val="single" w:color="auto" w:sz="4" w:space="0"/>
              <w:right w:val="single" w:color="auto" w:sz="4" w:space="0"/>
            </w:tcBorders>
            <w:shd w:val="clear" w:color="auto" w:fill="auto"/>
            <w:noWrap/>
            <w:vAlign w:val="center"/>
          </w:tcPr>
          <w:p w14:paraId="1DC4C25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指标释义</w:t>
            </w:r>
          </w:p>
        </w:tc>
        <w:tc>
          <w:tcPr>
            <w:tcW w:w="3591" w:type="dxa"/>
            <w:tcBorders>
              <w:top w:val="single" w:color="auto" w:sz="4" w:space="0"/>
              <w:left w:val="nil"/>
              <w:bottom w:val="single" w:color="auto" w:sz="4" w:space="0"/>
              <w:right w:val="single" w:color="auto" w:sz="4" w:space="0"/>
            </w:tcBorders>
            <w:shd w:val="clear" w:color="auto" w:fill="auto"/>
            <w:noWrap/>
            <w:vAlign w:val="center"/>
          </w:tcPr>
          <w:p w14:paraId="54787E8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评价标准</w:t>
            </w:r>
          </w:p>
        </w:tc>
      </w:tr>
      <w:tr w14:paraId="6DBFA06C">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B086B8D">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7D5EFBA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资金管理（5分）</w:t>
            </w:r>
          </w:p>
        </w:tc>
        <w:tc>
          <w:tcPr>
            <w:tcW w:w="1049" w:type="dxa"/>
            <w:tcBorders>
              <w:top w:val="nil"/>
              <w:left w:val="nil"/>
              <w:bottom w:val="single" w:color="auto" w:sz="4" w:space="0"/>
              <w:right w:val="single" w:color="auto" w:sz="4" w:space="0"/>
            </w:tcBorders>
            <w:shd w:val="clear" w:color="auto" w:fill="auto"/>
            <w:vAlign w:val="center"/>
          </w:tcPr>
          <w:p w14:paraId="4465E93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11651CE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2</w:t>
            </w:r>
          </w:p>
        </w:tc>
        <w:tc>
          <w:tcPr>
            <w:tcW w:w="2762" w:type="dxa"/>
            <w:tcBorders>
              <w:top w:val="nil"/>
              <w:left w:val="nil"/>
              <w:bottom w:val="single" w:color="auto" w:sz="4" w:space="0"/>
              <w:right w:val="single" w:color="auto" w:sz="4" w:space="0"/>
            </w:tcBorders>
            <w:shd w:val="clear" w:color="auto" w:fill="auto"/>
            <w:vAlign w:val="center"/>
          </w:tcPr>
          <w:p w14:paraId="131939F0">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91" w:type="dxa"/>
            <w:tcBorders>
              <w:top w:val="nil"/>
              <w:left w:val="nil"/>
              <w:bottom w:val="single" w:color="auto" w:sz="4" w:space="0"/>
              <w:right w:val="single" w:color="auto" w:sz="4" w:space="0"/>
            </w:tcBorders>
            <w:shd w:val="clear" w:color="auto" w:fill="auto"/>
            <w:vAlign w:val="center"/>
          </w:tcPr>
          <w:p w14:paraId="25269FF2">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资金使用方向符合文件规定（2分）。</w:t>
            </w:r>
          </w:p>
        </w:tc>
      </w:tr>
      <w:tr w14:paraId="44A91208">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8B32B44">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2</w:t>
            </w:r>
          </w:p>
        </w:tc>
        <w:tc>
          <w:tcPr>
            <w:tcW w:w="1017" w:type="dxa"/>
            <w:vMerge w:val="continue"/>
            <w:tcBorders>
              <w:top w:val="nil"/>
              <w:left w:val="single" w:color="auto" w:sz="4" w:space="0"/>
              <w:bottom w:val="single" w:color="auto" w:sz="4" w:space="0"/>
              <w:right w:val="single" w:color="auto" w:sz="4" w:space="0"/>
            </w:tcBorders>
            <w:vAlign w:val="center"/>
          </w:tcPr>
          <w:p w14:paraId="646A8F16">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36DBD6A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65AD3F27">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w:t>
            </w:r>
          </w:p>
        </w:tc>
        <w:tc>
          <w:tcPr>
            <w:tcW w:w="2762" w:type="dxa"/>
            <w:tcBorders>
              <w:top w:val="nil"/>
              <w:left w:val="nil"/>
              <w:bottom w:val="single" w:color="auto" w:sz="4" w:space="0"/>
              <w:right w:val="single" w:color="auto" w:sz="4" w:space="0"/>
            </w:tcBorders>
            <w:shd w:val="clear" w:color="auto" w:fill="auto"/>
            <w:vAlign w:val="center"/>
          </w:tcPr>
          <w:p w14:paraId="78643E2E">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评价区级业务主管部门分解下达当年资金及次年提前批资金进度情况。</w:t>
            </w:r>
          </w:p>
        </w:tc>
        <w:tc>
          <w:tcPr>
            <w:tcW w:w="3591" w:type="dxa"/>
            <w:tcBorders>
              <w:top w:val="nil"/>
              <w:left w:val="nil"/>
              <w:bottom w:val="single" w:color="auto" w:sz="4" w:space="0"/>
              <w:right w:val="single" w:color="auto" w:sz="4" w:space="0"/>
            </w:tcBorders>
            <w:shd w:val="clear" w:color="auto" w:fill="auto"/>
            <w:vAlign w:val="center"/>
          </w:tcPr>
          <w:p w14:paraId="2256BE12">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区财政局下达资金文件时间到区级业务主管部门下达项目及资金计划文件时间间隔≤30日（3分）。</w:t>
            </w:r>
          </w:p>
        </w:tc>
      </w:tr>
      <w:tr w14:paraId="628A4E50">
        <w:tblPrEx>
          <w:tblCellMar>
            <w:top w:w="0" w:type="dxa"/>
            <w:left w:w="108" w:type="dxa"/>
            <w:bottom w:w="0" w:type="dxa"/>
            <w:right w:w="108" w:type="dxa"/>
          </w:tblCellMar>
        </w:tblPrEx>
        <w:trPr>
          <w:cantSplit/>
          <w:trHeight w:val="108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A2E682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1E970C0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项目管理（55分）</w:t>
            </w:r>
          </w:p>
        </w:tc>
        <w:tc>
          <w:tcPr>
            <w:tcW w:w="1049" w:type="dxa"/>
            <w:tcBorders>
              <w:top w:val="nil"/>
              <w:left w:val="nil"/>
              <w:bottom w:val="single" w:color="auto" w:sz="4" w:space="0"/>
              <w:right w:val="single" w:color="auto" w:sz="4" w:space="0"/>
            </w:tcBorders>
            <w:shd w:val="clear" w:color="auto" w:fill="auto"/>
            <w:vAlign w:val="center"/>
          </w:tcPr>
          <w:p w14:paraId="429504E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项目库建设管理情况</w:t>
            </w:r>
          </w:p>
        </w:tc>
        <w:tc>
          <w:tcPr>
            <w:tcW w:w="536" w:type="dxa"/>
            <w:tcBorders>
              <w:top w:val="nil"/>
              <w:left w:val="nil"/>
              <w:bottom w:val="single" w:color="auto" w:sz="4" w:space="0"/>
              <w:right w:val="single" w:color="auto" w:sz="4" w:space="0"/>
            </w:tcBorders>
            <w:shd w:val="clear" w:color="auto" w:fill="auto"/>
            <w:noWrap/>
            <w:vAlign w:val="center"/>
          </w:tcPr>
          <w:p w14:paraId="4ABB1F0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nil"/>
              <w:right w:val="nil"/>
            </w:tcBorders>
            <w:shd w:val="clear" w:color="auto" w:fill="auto"/>
            <w:vAlign w:val="center"/>
          </w:tcPr>
          <w:p w14:paraId="4BC87B6A">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评价落实《铜梁区巩固拓展脱贫攻坚成果和衔接乡村振兴项目库建设管理实施细则》（铜乡振〔2021〕7号）落实情况。根据抽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nil"/>
              <w:left w:val="single" w:color="auto" w:sz="4" w:space="0"/>
              <w:bottom w:val="single" w:color="auto" w:sz="4" w:space="0"/>
              <w:right w:val="single" w:color="auto" w:sz="4" w:space="0"/>
            </w:tcBorders>
            <w:shd w:val="clear" w:color="auto" w:fill="auto"/>
            <w:vAlign w:val="center"/>
          </w:tcPr>
          <w:p w14:paraId="230F7ADE">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1.项目入库及时充分、程序规范、内容完整（3分）；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2.入库项目具备实施条件（2分）；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3.衔接资金用于项目库之外的项目（-5分）。</w:t>
            </w:r>
          </w:p>
        </w:tc>
      </w:tr>
      <w:tr w14:paraId="7E165108">
        <w:tblPrEx>
          <w:tblCellMar>
            <w:top w:w="0" w:type="dxa"/>
            <w:left w:w="108" w:type="dxa"/>
            <w:bottom w:w="0" w:type="dxa"/>
            <w:right w:w="108" w:type="dxa"/>
          </w:tblCellMar>
        </w:tblPrEx>
        <w:trPr>
          <w:cantSplit/>
          <w:trHeight w:val="162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4688F52">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4</w:t>
            </w:r>
          </w:p>
        </w:tc>
        <w:tc>
          <w:tcPr>
            <w:tcW w:w="1017" w:type="dxa"/>
            <w:vMerge w:val="continue"/>
            <w:tcBorders>
              <w:top w:val="nil"/>
              <w:left w:val="single" w:color="auto" w:sz="4" w:space="0"/>
              <w:bottom w:val="single" w:color="auto" w:sz="4" w:space="0"/>
              <w:right w:val="single" w:color="auto" w:sz="4" w:space="0"/>
            </w:tcBorders>
            <w:vAlign w:val="center"/>
          </w:tcPr>
          <w:p w14:paraId="21000F8D">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4BD5996A">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项目绩效管理情况</w:t>
            </w:r>
          </w:p>
        </w:tc>
        <w:tc>
          <w:tcPr>
            <w:tcW w:w="536" w:type="dxa"/>
            <w:tcBorders>
              <w:top w:val="nil"/>
              <w:left w:val="nil"/>
              <w:bottom w:val="single" w:color="auto" w:sz="4" w:space="0"/>
              <w:right w:val="single" w:color="auto" w:sz="4" w:space="0"/>
            </w:tcBorders>
            <w:shd w:val="clear" w:color="auto" w:fill="auto"/>
            <w:noWrap/>
            <w:vAlign w:val="center"/>
          </w:tcPr>
          <w:p w14:paraId="1CED831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2762" w:type="dxa"/>
            <w:tcBorders>
              <w:top w:val="single" w:color="auto" w:sz="4" w:space="0"/>
              <w:left w:val="nil"/>
              <w:bottom w:val="single" w:color="auto" w:sz="4" w:space="0"/>
              <w:right w:val="single" w:color="auto" w:sz="4" w:space="0"/>
            </w:tcBorders>
            <w:shd w:val="clear" w:color="auto" w:fill="auto"/>
            <w:vAlign w:val="center"/>
          </w:tcPr>
          <w:p w14:paraId="3B4ABC11">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评价具体项目实施方案明确绩效目标情况、开展跟踪监督绩效监控情况、事后评价情况等。根据抽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17F93E2E">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1.及时制定绩效目标、审核绩效目标（2分）；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2.开展绩效监控不少于1次（2分）；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3.对绩效目标偏离项目采取纠偏措施（2分）；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4.项目实施完毕后立即开展绩效自评，并形成绩效自评报告及绩效自评表。（2分）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5.项目绩效是否达到预期。（2分）</w:t>
            </w:r>
          </w:p>
        </w:tc>
      </w:tr>
      <w:tr w14:paraId="2EAB1A9F">
        <w:tblPrEx>
          <w:tblCellMar>
            <w:top w:w="0" w:type="dxa"/>
            <w:left w:w="108" w:type="dxa"/>
            <w:bottom w:w="0" w:type="dxa"/>
            <w:right w:w="108" w:type="dxa"/>
          </w:tblCellMar>
        </w:tblPrEx>
        <w:trPr>
          <w:cantSplit/>
          <w:trHeight w:val="2425"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25DD0E22">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1017" w:type="dxa"/>
            <w:vMerge w:val="continue"/>
            <w:tcBorders>
              <w:top w:val="single" w:color="auto" w:sz="4" w:space="0"/>
              <w:left w:val="single" w:color="auto" w:sz="4" w:space="0"/>
              <w:bottom w:val="single" w:color="auto" w:sz="4" w:space="0"/>
              <w:right w:val="single" w:color="auto" w:sz="4" w:space="0"/>
            </w:tcBorders>
            <w:vAlign w:val="center"/>
          </w:tcPr>
          <w:p w14:paraId="4B3594A0">
            <w:pPr>
              <w:widowControl/>
              <w:jc w:val="left"/>
              <w:rPr>
                <w:rFonts w:ascii="Arial Narrow" w:hAnsi="Arial Narrow" w:cs="宋体" w:eastAsiaTheme="minorEastAsia"/>
                <w:kern w:val="0"/>
                <w:sz w:val="16"/>
                <w:szCs w:val="16"/>
              </w:rPr>
            </w:pPr>
          </w:p>
        </w:tc>
        <w:tc>
          <w:tcPr>
            <w:tcW w:w="1049" w:type="dxa"/>
            <w:tcBorders>
              <w:top w:val="single" w:color="auto" w:sz="4" w:space="0"/>
              <w:left w:val="nil"/>
              <w:bottom w:val="single" w:color="auto" w:sz="4" w:space="0"/>
              <w:right w:val="single" w:color="auto" w:sz="4" w:space="0"/>
            </w:tcBorders>
            <w:shd w:val="clear" w:color="auto" w:fill="auto"/>
            <w:vAlign w:val="center"/>
          </w:tcPr>
          <w:p w14:paraId="380B500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项目建设管理情况</w:t>
            </w:r>
          </w:p>
        </w:tc>
        <w:tc>
          <w:tcPr>
            <w:tcW w:w="536" w:type="dxa"/>
            <w:tcBorders>
              <w:top w:val="single" w:color="auto" w:sz="4" w:space="0"/>
              <w:left w:val="nil"/>
              <w:bottom w:val="single" w:color="auto" w:sz="4" w:space="0"/>
              <w:right w:val="single" w:color="auto" w:sz="4" w:space="0"/>
            </w:tcBorders>
            <w:shd w:val="clear" w:color="auto" w:fill="auto"/>
            <w:vAlign w:val="center"/>
          </w:tcPr>
          <w:p w14:paraId="0C7115C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6</w:t>
            </w:r>
          </w:p>
        </w:tc>
        <w:tc>
          <w:tcPr>
            <w:tcW w:w="2762" w:type="dxa"/>
            <w:tcBorders>
              <w:top w:val="single" w:color="auto" w:sz="4" w:space="0"/>
              <w:left w:val="nil"/>
              <w:bottom w:val="single" w:color="auto" w:sz="4" w:space="0"/>
              <w:right w:val="single" w:color="auto" w:sz="4" w:space="0"/>
            </w:tcBorders>
            <w:shd w:val="clear" w:color="auto" w:fill="auto"/>
            <w:vAlign w:val="center"/>
          </w:tcPr>
          <w:p w14:paraId="0A8D3357">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评价有序推进项目前期工作、组织实施、项目验收、资料报送等情况。根据抽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single" w:color="auto" w:sz="4" w:space="0"/>
              <w:left w:val="nil"/>
              <w:bottom w:val="single" w:color="auto" w:sz="4" w:space="0"/>
              <w:right w:val="single" w:color="auto" w:sz="4" w:space="0"/>
            </w:tcBorders>
            <w:shd w:val="clear" w:color="auto" w:fill="auto"/>
            <w:vAlign w:val="center"/>
          </w:tcPr>
          <w:p w14:paraId="04451CD0">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1.项目实施方法存在变更是否按规定报批；（1分）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2.是否定期对项目实施情况进行监督检查，对检查中发现的问题进行整改；（2分）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3.是否按照项目实施节点按时提交项目报账资料；（1分）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4.日常管理资料是否及时归档整理；（1分）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5.项目完工后是否在规定时间内进行验收。（1分）</w:t>
            </w:r>
          </w:p>
        </w:tc>
      </w:tr>
      <w:tr w14:paraId="773EFD3F">
        <w:tblPrEx>
          <w:tblCellMar>
            <w:top w:w="0" w:type="dxa"/>
            <w:left w:w="108" w:type="dxa"/>
            <w:bottom w:w="0" w:type="dxa"/>
            <w:right w:w="108" w:type="dxa"/>
          </w:tblCellMar>
        </w:tblPrEx>
        <w:trPr>
          <w:cantSplit/>
          <w:trHeight w:val="4058"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1B21FFE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6</w:t>
            </w:r>
          </w:p>
        </w:tc>
        <w:tc>
          <w:tcPr>
            <w:tcW w:w="1017" w:type="dxa"/>
            <w:vMerge w:val="continue"/>
            <w:tcBorders>
              <w:top w:val="single" w:color="auto" w:sz="4" w:space="0"/>
              <w:left w:val="single" w:color="auto" w:sz="4" w:space="0"/>
              <w:bottom w:val="single" w:color="auto" w:sz="4" w:space="0"/>
              <w:right w:val="single" w:color="auto" w:sz="4" w:space="0"/>
            </w:tcBorders>
            <w:vAlign w:val="center"/>
          </w:tcPr>
          <w:p w14:paraId="6BC5D9A1">
            <w:pPr>
              <w:widowControl/>
              <w:jc w:val="left"/>
              <w:rPr>
                <w:rFonts w:ascii="Arial Narrow" w:hAnsi="Arial Narrow" w:cs="宋体" w:eastAsiaTheme="minorEastAsia"/>
                <w:kern w:val="0"/>
                <w:sz w:val="16"/>
                <w:szCs w:val="16"/>
              </w:rPr>
            </w:pPr>
          </w:p>
        </w:tc>
        <w:tc>
          <w:tcPr>
            <w:tcW w:w="1049" w:type="dxa"/>
            <w:tcBorders>
              <w:top w:val="single" w:color="auto" w:sz="4" w:space="0"/>
              <w:left w:val="nil"/>
              <w:bottom w:val="single" w:color="auto" w:sz="4" w:space="0"/>
              <w:right w:val="single" w:color="auto" w:sz="4" w:space="0"/>
            </w:tcBorders>
            <w:shd w:val="clear" w:color="auto" w:fill="auto"/>
            <w:vAlign w:val="center"/>
          </w:tcPr>
          <w:p w14:paraId="12799CC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预算执行率情况</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50DA5147">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12</w:t>
            </w:r>
          </w:p>
        </w:tc>
        <w:tc>
          <w:tcPr>
            <w:tcW w:w="2762" w:type="dxa"/>
            <w:tcBorders>
              <w:top w:val="single" w:color="auto" w:sz="4" w:space="0"/>
              <w:left w:val="nil"/>
              <w:bottom w:val="single" w:color="auto" w:sz="4" w:space="0"/>
              <w:right w:val="single" w:color="auto" w:sz="4" w:space="0"/>
            </w:tcBorders>
            <w:shd w:val="clear" w:color="auto" w:fill="auto"/>
            <w:vAlign w:val="center"/>
          </w:tcPr>
          <w:p w14:paraId="6437D85E">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评价有序推进项目工作和资金支付情况。根据抽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single" w:color="auto" w:sz="4" w:space="0"/>
              <w:left w:val="nil"/>
              <w:bottom w:val="single" w:color="auto" w:sz="4" w:space="0"/>
              <w:right w:val="single" w:color="auto" w:sz="4" w:space="0"/>
            </w:tcBorders>
            <w:shd w:val="clear" w:color="auto" w:fill="auto"/>
            <w:vAlign w:val="center"/>
          </w:tcPr>
          <w:p w14:paraId="4571B6E9">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主要通过支出进度评价有序推进项目工作和资金支付情况，于7月末、10月中旬定期调度。</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1.7月末支出进度评分4分。资金支出进度达到全区平均进度或者序时进度的，得满分；未达到的按照与序时进度的比例扣分；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2.10月中旬支出进度评分4分。资金支出进度达到全区平均进度或者序时进度的，得满分；未达到的按照与序时进度的比例扣分；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5A81096E">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97CE66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7</w:t>
            </w:r>
          </w:p>
        </w:tc>
        <w:tc>
          <w:tcPr>
            <w:tcW w:w="1017" w:type="dxa"/>
            <w:vMerge w:val="continue"/>
            <w:tcBorders>
              <w:top w:val="nil"/>
              <w:left w:val="single" w:color="auto" w:sz="4" w:space="0"/>
              <w:bottom w:val="single" w:color="auto" w:sz="4" w:space="0"/>
              <w:right w:val="single" w:color="auto" w:sz="4" w:space="0"/>
            </w:tcBorders>
            <w:vAlign w:val="center"/>
          </w:tcPr>
          <w:p w14:paraId="551150E4">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2DAD98C9">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跟踪督促及发现问题整改情况</w:t>
            </w:r>
          </w:p>
        </w:tc>
        <w:tc>
          <w:tcPr>
            <w:tcW w:w="536" w:type="dxa"/>
            <w:tcBorders>
              <w:top w:val="nil"/>
              <w:left w:val="nil"/>
              <w:bottom w:val="single" w:color="auto" w:sz="4" w:space="0"/>
              <w:right w:val="single" w:color="auto" w:sz="4" w:space="0"/>
            </w:tcBorders>
            <w:shd w:val="clear" w:color="auto" w:fill="auto"/>
            <w:noWrap/>
            <w:vAlign w:val="center"/>
          </w:tcPr>
          <w:p w14:paraId="0CD5063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8</w:t>
            </w:r>
          </w:p>
        </w:tc>
        <w:tc>
          <w:tcPr>
            <w:tcW w:w="2762" w:type="dxa"/>
            <w:tcBorders>
              <w:top w:val="nil"/>
              <w:left w:val="nil"/>
              <w:bottom w:val="single" w:color="auto" w:sz="4" w:space="0"/>
              <w:right w:val="single" w:color="auto" w:sz="4" w:space="0"/>
            </w:tcBorders>
            <w:shd w:val="clear" w:color="auto" w:fill="auto"/>
            <w:vAlign w:val="center"/>
          </w:tcPr>
          <w:p w14:paraId="0362F1EE">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评价定期开展监督检查情况、发现问题整改情况。根据未处理问题比例扣减。根据抽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2E9C48E6">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1.定期开展项目实施和资金支出进度等跟踪督促情况，落实到位的得2分，未完全落实到位的酌情扣分；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2.跟踪督促及各类检查发现问题整改到位情况，满分5分，根据未整改问题比例扣减；</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3.全国12317防止返贫监测和乡村振兴咨询服务平台（简称12317平台）反馈问题处理情况，满分1分。</w:t>
            </w:r>
          </w:p>
        </w:tc>
      </w:tr>
      <w:tr w14:paraId="63B8CCC4">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6CDE7A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8</w:t>
            </w:r>
          </w:p>
        </w:tc>
        <w:tc>
          <w:tcPr>
            <w:tcW w:w="1017" w:type="dxa"/>
            <w:vMerge w:val="continue"/>
            <w:tcBorders>
              <w:top w:val="nil"/>
              <w:left w:val="single" w:color="auto" w:sz="4" w:space="0"/>
              <w:bottom w:val="single" w:color="auto" w:sz="4" w:space="0"/>
              <w:right w:val="single" w:color="auto" w:sz="4" w:space="0"/>
            </w:tcBorders>
            <w:vAlign w:val="center"/>
          </w:tcPr>
          <w:p w14:paraId="54E0749E">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30F232B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3D9D70A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50755D41">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评价账务处理，资产转固，收益管理、档案管理等情况。根据抽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045AEBCC">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1.财务处理是否规范，原始凭证是否齐全，建成资产是否及时转固、收益管理是否合规；（4分）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2.档案管理是否完整、合规、真实。（1分）</w:t>
            </w:r>
          </w:p>
        </w:tc>
      </w:tr>
      <w:tr w14:paraId="144F0460">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3CC8BD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9</w:t>
            </w:r>
          </w:p>
        </w:tc>
        <w:tc>
          <w:tcPr>
            <w:tcW w:w="1017" w:type="dxa"/>
            <w:vMerge w:val="continue"/>
            <w:tcBorders>
              <w:top w:val="nil"/>
              <w:left w:val="single" w:color="auto" w:sz="4" w:space="0"/>
              <w:bottom w:val="single" w:color="auto" w:sz="4" w:space="0"/>
              <w:right w:val="single" w:color="auto" w:sz="4" w:space="0"/>
            </w:tcBorders>
            <w:vAlign w:val="center"/>
          </w:tcPr>
          <w:p w14:paraId="38A00303">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3DD1E8B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5C67048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9</w:t>
            </w:r>
          </w:p>
        </w:tc>
        <w:tc>
          <w:tcPr>
            <w:tcW w:w="2762" w:type="dxa"/>
            <w:tcBorders>
              <w:top w:val="nil"/>
              <w:left w:val="nil"/>
              <w:bottom w:val="single" w:color="auto" w:sz="4" w:space="0"/>
              <w:right w:val="single" w:color="auto" w:sz="4" w:space="0"/>
            </w:tcBorders>
            <w:shd w:val="clear" w:color="auto" w:fill="auto"/>
            <w:vAlign w:val="center"/>
          </w:tcPr>
          <w:p w14:paraId="63213443">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评价区级、镇级、村级落实《铜梁区财政衔接推进乡村振兴补助资金项目公告公示实施办法》（铜委农办〔2021〕19号）文件要求情况。根据抽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7451D770">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分区级、镇级、村级进行评价。</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1.抽查区级公示公开情况，满分3分，未完整公开酌情扣分；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2.抽查镇级公示公开情况，满分3分，未完整公开酌情扣分；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3.抽查村级公示公开情况，满分3分，未完整公开酌情扣分。</w:t>
            </w:r>
          </w:p>
        </w:tc>
      </w:tr>
      <w:tr w14:paraId="68D3EF03">
        <w:tblPrEx>
          <w:tblCellMar>
            <w:top w:w="0" w:type="dxa"/>
            <w:left w:w="108" w:type="dxa"/>
            <w:bottom w:w="0" w:type="dxa"/>
            <w:right w:w="108" w:type="dxa"/>
          </w:tblCellMar>
        </w:tblPrEx>
        <w:trPr>
          <w:cantSplit/>
          <w:trHeight w:val="2981"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4F0DC2F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10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A2E664">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使用成效及通报情况（40分）</w:t>
            </w:r>
          </w:p>
        </w:tc>
        <w:tc>
          <w:tcPr>
            <w:tcW w:w="1049" w:type="dxa"/>
            <w:tcBorders>
              <w:top w:val="single" w:color="auto" w:sz="4" w:space="0"/>
              <w:left w:val="nil"/>
              <w:bottom w:val="single" w:color="auto" w:sz="4" w:space="0"/>
              <w:right w:val="single" w:color="auto" w:sz="4" w:space="0"/>
            </w:tcBorders>
            <w:shd w:val="clear" w:color="auto" w:fill="auto"/>
            <w:vAlign w:val="center"/>
          </w:tcPr>
          <w:p w14:paraId="51F0DADA">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资金使用效益</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0D5E513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35</w:t>
            </w:r>
          </w:p>
        </w:tc>
        <w:tc>
          <w:tcPr>
            <w:tcW w:w="2762" w:type="dxa"/>
            <w:tcBorders>
              <w:top w:val="single" w:color="auto" w:sz="4" w:space="0"/>
              <w:left w:val="nil"/>
              <w:bottom w:val="single" w:color="auto" w:sz="4" w:space="0"/>
              <w:right w:val="single" w:color="auto" w:sz="4" w:space="0"/>
            </w:tcBorders>
            <w:shd w:val="clear" w:color="auto" w:fill="auto"/>
            <w:vAlign w:val="center"/>
          </w:tcPr>
          <w:p w14:paraId="0108C3CA">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评价项目是否达到预期成效，后续管护是否存在问题等。根据抽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single" w:color="auto" w:sz="4" w:space="0"/>
              <w:left w:val="nil"/>
              <w:bottom w:val="single" w:color="auto" w:sz="4" w:space="0"/>
              <w:right w:val="single" w:color="auto" w:sz="4" w:space="0"/>
            </w:tcBorders>
            <w:shd w:val="clear" w:color="auto" w:fill="auto"/>
            <w:vAlign w:val="center"/>
          </w:tcPr>
          <w:p w14:paraId="3148558C">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满分35分，根据抽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项目情况赋分。项目管理各环节，每存在一例不符合相关规定的，扣0.5分，扣完为止。</w:t>
            </w:r>
          </w:p>
        </w:tc>
      </w:tr>
      <w:tr w14:paraId="458AB2CA">
        <w:tblPrEx>
          <w:tblCellMar>
            <w:top w:w="0" w:type="dxa"/>
            <w:left w:w="108" w:type="dxa"/>
            <w:bottom w:w="0" w:type="dxa"/>
            <w:right w:w="108" w:type="dxa"/>
          </w:tblCellMar>
        </w:tblPrEx>
        <w:trPr>
          <w:cantSplit/>
          <w:trHeight w:val="1076"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587139C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11</w:t>
            </w:r>
          </w:p>
        </w:tc>
        <w:tc>
          <w:tcPr>
            <w:tcW w:w="1017" w:type="dxa"/>
            <w:vMerge w:val="continue"/>
            <w:tcBorders>
              <w:top w:val="single" w:color="auto" w:sz="4" w:space="0"/>
              <w:left w:val="single" w:color="auto" w:sz="4" w:space="0"/>
              <w:bottom w:val="single" w:color="auto" w:sz="4" w:space="0"/>
              <w:right w:val="single" w:color="auto" w:sz="4" w:space="0"/>
            </w:tcBorders>
            <w:vAlign w:val="center"/>
          </w:tcPr>
          <w:p w14:paraId="5E5F0CF9">
            <w:pPr>
              <w:widowControl/>
              <w:jc w:val="left"/>
              <w:rPr>
                <w:rFonts w:ascii="Arial Narrow" w:hAnsi="Arial Narrow" w:cs="宋体" w:eastAsiaTheme="minorEastAsia"/>
                <w:kern w:val="0"/>
                <w:sz w:val="16"/>
                <w:szCs w:val="16"/>
              </w:rPr>
            </w:pPr>
          </w:p>
        </w:tc>
        <w:tc>
          <w:tcPr>
            <w:tcW w:w="1049" w:type="dxa"/>
            <w:tcBorders>
              <w:top w:val="single" w:color="auto" w:sz="4" w:space="0"/>
              <w:left w:val="nil"/>
              <w:bottom w:val="single" w:color="auto" w:sz="4" w:space="0"/>
              <w:right w:val="single" w:color="auto" w:sz="4" w:space="0"/>
            </w:tcBorders>
            <w:shd w:val="clear" w:color="auto" w:fill="auto"/>
            <w:vAlign w:val="center"/>
          </w:tcPr>
          <w:p w14:paraId="57EE625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通报情况</w:t>
            </w:r>
          </w:p>
        </w:tc>
        <w:tc>
          <w:tcPr>
            <w:tcW w:w="536" w:type="dxa"/>
            <w:tcBorders>
              <w:top w:val="single" w:color="auto" w:sz="4" w:space="0"/>
              <w:left w:val="nil"/>
              <w:bottom w:val="single" w:color="auto" w:sz="4" w:space="0"/>
              <w:right w:val="single" w:color="auto" w:sz="4" w:space="0"/>
            </w:tcBorders>
            <w:shd w:val="clear" w:color="auto" w:fill="auto"/>
            <w:vAlign w:val="center"/>
          </w:tcPr>
          <w:p w14:paraId="3546DBD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single" w:color="auto" w:sz="4" w:space="0"/>
              <w:left w:val="nil"/>
              <w:bottom w:val="single" w:color="auto" w:sz="4" w:space="0"/>
              <w:right w:val="single" w:color="auto" w:sz="4" w:space="0"/>
            </w:tcBorders>
            <w:shd w:val="clear" w:color="auto" w:fill="auto"/>
            <w:vAlign w:val="center"/>
          </w:tcPr>
          <w:p w14:paraId="308F9DAE">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评价日常表现情况。</w:t>
            </w:r>
          </w:p>
        </w:tc>
        <w:tc>
          <w:tcPr>
            <w:tcW w:w="3591" w:type="dxa"/>
            <w:tcBorders>
              <w:top w:val="single" w:color="auto" w:sz="4" w:space="0"/>
              <w:left w:val="nil"/>
              <w:bottom w:val="single" w:color="auto" w:sz="4" w:space="0"/>
              <w:right w:val="single" w:color="auto" w:sz="4" w:space="0"/>
            </w:tcBorders>
            <w:shd w:val="clear" w:color="auto" w:fill="auto"/>
            <w:vAlign w:val="center"/>
          </w:tcPr>
          <w:p w14:paraId="11EFE5BA">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56C5FBEF">
        <w:tblPrEx>
          <w:tblCellMar>
            <w:top w:w="0" w:type="dxa"/>
            <w:left w:w="108" w:type="dxa"/>
            <w:bottom w:w="0" w:type="dxa"/>
            <w:right w:w="108" w:type="dxa"/>
          </w:tblCellMar>
        </w:tblPrEx>
        <w:trPr>
          <w:cantSplit/>
          <w:trHeight w:val="134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FE3281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12</w:t>
            </w:r>
          </w:p>
        </w:tc>
        <w:tc>
          <w:tcPr>
            <w:tcW w:w="1017" w:type="dxa"/>
            <w:vMerge w:val="restart"/>
            <w:tcBorders>
              <w:top w:val="nil"/>
              <w:left w:val="single" w:color="auto" w:sz="4" w:space="0"/>
              <w:bottom w:val="single" w:color="000000" w:sz="4" w:space="0"/>
              <w:right w:val="single" w:color="auto" w:sz="4" w:space="0"/>
            </w:tcBorders>
            <w:shd w:val="clear" w:color="auto" w:fill="auto"/>
            <w:vAlign w:val="center"/>
          </w:tcPr>
          <w:p w14:paraId="1625079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加减分指标</w:t>
            </w:r>
          </w:p>
        </w:tc>
        <w:tc>
          <w:tcPr>
            <w:tcW w:w="1049" w:type="dxa"/>
            <w:tcBorders>
              <w:top w:val="nil"/>
              <w:left w:val="nil"/>
              <w:bottom w:val="single" w:color="auto" w:sz="4" w:space="0"/>
              <w:right w:val="single" w:color="auto" w:sz="4" w:space="0"/>
            </w:tcBorders>
            <w:shd w:val="clear" w:color="auto" w:fill="auto"/>
            <w:vAlign w:val="center"/>
          </w:tcPr>
          <w:p w14:paraId="5450AF8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加分项</w:t>
            </w:r>
          </w:p>
        </w:tc>
        <w:tc>
          <w:tcPr>
            <w:tcW w:w="536" w:type="dxa"/>
            <w:tcBorders>
              <w:top w:val="nil"/>
              <w:left w:val="nil"/>
              <w:bottom w:val="single" w:color="auto" w:sz="4" w:space="0"/>
              <w:right w:val="single" w:color="auto" w:sz="4" w:space="0"/>
            </w:tcBorders>
            <w:shd w:val="clear" w:color="auto" w:fill="auto"/>
            <w:vAlign w:val="center"/>
          </w:tcPr>
          <w:p w14:paraId="1D2A6A4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166F2727">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评价机制创新情况。最高加5分。</w:t>
            </w:r>
          </w:p>
        </w:tc>
        <w:tc>
          <w:tcPr>
            <w:tcW w:w="3591" w:type="dxa"/>
            <w:tcBorders>
              <w:top w:val="nil"/>
              <w:left w:val="nil"/>
              <w:bottom w:val="single" w:color="auto" w:sz="4" w:space="0"/>
              <w:right w:val="single" w:color="auto" w:sz="4" w:space="0"/>
            </w:tcBorders>
            <w:shd w:val="clear" w:color="auto" w:fill="auto"/>
            <w:vAlign w:val="center"/>
          </w:tcPr>
          <w:p w14:paraId="4469CC7F">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1.在财政衔接资金分配、使用、监管等方面存在机制创新；（2分）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2.国家、市级对我区财政衔接资金绩效评价中，被财政部、国家乡村振兴局及其第三方总结经验做法，并调研推广的。（3分）</w:t>
            </w:r>
          </w:p>
        </w:tc>
      </w:tr>
      <w:tr w14:paraId="1B753ADD">
        <w:tblPrEx>
          <w:tblCellMar>
            <w:top w:w="0" w:type="dxa"/>
            <w:left w:w="108" w:type="dxa"/>
            <w:bottom w:w="0" w:type="dxa"/>
            <w:right w:w="108" w:type="dxa"/>
          </w:tblCellMar>
        </w:tblPrEx>
        <w:trPr>
          <w:cantSplit/>
          <w:trHeight w:val="81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353C2F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13</w:t>
            </w:r>
          </w:p>
        </w:tc>
        <w:tc>
          <w:tcPr>
            <w:tcW w:w="1017" w:type="dxa"/>
            <w:vMerge w:val="continue"/>
            <w:tcBorders>
              <w:top w:val="nil"/>
              <w:left w:val="single" w:color="auto" w:sz="4" w:space="0"/>
              <w:bottom w:val="single" w:color="000000" w:sz="4" w:space="0"/>
              <w:right w:val="single" w:color="auto" w:sz="4" w:space="0"/>
            </w:tcBorders>
            <w:vAlign w:val="center"/>
          </w:tcPr>
          <w:p w14:paraId="666E54A9">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675B83A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扣分项</w:t>
            </w:r>
          </w:p>
        </w:tc>
        <w:tc>
          <w:tcPr>
            <w:tcW w:w="536" w:type="dxa"/>
            <w:tcBorders>
              <w:top w:val="nil"/>
              <w:left w:val="nil"/>
              <w:bottom w:val="single" w:color="auto" w:sz="4" w:space="0"/>
              <w:right w:val="single" w:color="auto" w:sz="4" w:space="0"/>
            </w:tcBorders>
            <w:shd w:val="clear" w:color="auto" w:fill="auto"/>
            <w:vAlign w:val="center"/>
          </w:tcPr>
          <w:p w14:paraId="618C110D">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2762" w:type="dxa"/>
            <w:tcBorders>
              <w:top w:val="nil"/>
              <w:left w:val="nil"/>
              <w:bottom w:val="single" w:color="auto" w:sz="4" w:space="0"/>
              <w:right w:val="single" w:color="auto" w:sz="4" w:space="0"/>
            </w:tcBorders>
            <w:shd w:val="clear" w:color="auto" w:fill="auto"/>
            <w:vAlign w:val="center"/>
          </w:tcPr>
          <w:p w14:paraId="67F9334A">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反映提供材料的真实性，有效性以及相关工作合法合规情况。（用于负面清单事项）</w:t>
            </w:r>
          </w:p>
        </w:tc>
        <w:tc>
          <w:tcPr>
            <w:tcW w:w="3591" w:type="dxa"/>
            <w:tcBorders>
              <w:top w:val="nil"/>
              <w:left w:val="nil"/>
              <w:bottom w:val="single" w:color="auto" w:sz="4" w:space="0"/>
              <w:right w:val="single" w:color="auto" w:sz="4" w:space="0"/>
            </w:tcBorders>
            <w:shd w:val="clear" w:color="auto" w:fill="auto"/>
            <w:vAlign w:val="center"/>
          </w:tcPr>
          <w:p w14:paraId="1F592AAB">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考核材料、数据中存在虚假信息的，或经有关部门监督检查发现问题的，视情节严重程度扣1-10分。</w:t>
            </w:r>
          </w:p>
        </w:tc>
      </w:tr>
    </w:tbl>
    <w:p w14:paraId="11EB581B">
      <w:pPr>
        <w:spacing w:before="120" w:beforeLines="50" w:line="360" w:lineRule="auto"/>
        <w:ind w:firstLine="482" w:firstLineChars="200"/>
        <w:jc w:val="left"/>
        <w:outlineLvl w:val="0"/>
        <w:rPr>
          <w:rFonts w:ascii="Arial Narrow" w:hAnsi="Arial Narrow" w:eastAsiaTheme="minorEastAsia"/>
          <w:b/>
          <w:sz w:val="24"/>
        </w:rPr>
      </w:pPr>
      <w:bookmarkStart w:id="17" w:name="_Toc171687784"/>
      <w:r>
        <w:rPr>
          <w:rFonts w:ascii="Arial Narrow" w:hAnsi="Arial Narrow" w:eastAsiaTheme="minorEastAsia"/>
          <w:b/>
          <w:sz w:val="24"/>
        </w:rPr>
        <w:t>（五）绩效评价标准和评价方法</w:t>
      </w:r>
      <w:bookmarkEnd w:id="17"/>
    </w:p>
    <w:p w14:paraId="5662DD9B">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1.绩效评价标准</w:t>
      </w:r>
    </w:p>
    <w:p w14:paraId="03B9F405">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绩效评价标准采用定量评分，满分为100分。指标分值我们是根据确定的指标内容及项目实施的具体情况综合分析确定的，详见附件。</w:t>
      </w:r>
    </w:p>
    <w:p w14:paraId="7D0234A7">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绩效评价结果分为优（得分</w:t>
      </w:r>
      <w:bookmarkStart w:id="18" w:name="_Hlk162596803"/>
      <w:r>
        <w:rPr>
          <w:rFonts w:ascii="Arial Narrow" w:hAnsi="Arial Narrow" w:eastAsiaTheme="minorEastAsia"/>
          <w:color w:val="auto"/>
        </w:rPr>
        <w:t>≥90</w:t>
      </w:r>
      <w:bookmarkEnd w:id="18"/>
      <w:r>
        <w:rPr>
          <w:rFonts w:ascii="Arial Narrow" w:hAnsi="Arial Narrow" w:eastAsiaTheme="minorEastAsia"/>
          <w:color w:val="auto"/>
        </w:rPr>
        <w:t>）、良</w:t>
      </w:r>
      <w:bookmarkStart w:id="19" w:name="_Hlk168473502"/>
      <w:r>
        <w:rPr>
          <w:rFonts w:ascii="Arial Narrow" w:hAnsi="Arial Narrow" w:eastAsiaTheme="minorEastAsia"/>
          <w:color w:val="auto"/>
        </w:rPr>
        <w:t>（90＞得分≥80）</w:t>
      </w:r>
      <w:bookmarkEnd w:id="19"/>
      <w:r>
        <w:rPr>
          <w:rFonts w:ascii="Arial Narrow" w:hAnsi="Arial Narrow" w:eastAsiaTheme="minorEastAsia"/>
          <w:color w:val="auto"/>
        </w:rPr>
        <w:t>、中（80＞得分≥60）、差（得分＜60）四个等级，按百分制综合得分高低按分值划段确定。</w:t>
      </w:r>
    </w:p>
    <w:p w14:paraId="6386146A">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2.绩效评价方法</w:t>
      </w:r>
    </w:p>
    <w:p w14:paraId="2C4E996D">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绩效评价技术方法主要有成本效益分析法、比较法、因素分析法、最低成本法、公众评判法等。</w:t>
      </w:r>
    </w:p>
    <w:p w14:paraId="21CAE796">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成本效益分析法。是指将一定时期内的支出与效益进行对比分析，以评价绩效目标的实现程度。</w:t>
      </w:r>
    </w:p>
    <w:p w14:paraId="635E54B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比较法。是指通过对绩效目标与实施效果、历史与当期情况、不同部门和地区同类支出的比较，综合分析绩效目标实现程度。</w:t>
      </w:r>
    </w:p>
    <w:p w14:paraId="27FE1888">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因素分析法。是指通过综合分析影响绩效目标实现、实施效果的内外因素，评价绩效目标实现程度。</w:t>
      </w:r>
    </w:p>
    <w:p w14:paraId="3E56DDFA">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最低成本法。是指对效益确定却不易计量的多个同类对象的实施成本进行比较，评价绩效目标实现程度。</w:t>
      </w:r>
    </w:p>
    <w:p w14:paraId="41774F3D">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公众评判法。是指通过专家评估、公众问卷及抽样调查等对预算支出效果进行评判，评价绩效目标实现程度。</w:t>
      </w:r>
    </w:p>
    <w:p w14:paraId="6C2AFFEE">
      <w:pPr>
        <w:spacing w:line="360" w:lineRule="auto"/>
        <w:ind w:firstLine="482" w:firstLineChars="200"/>
        <w:jc w:val="left"/>
        <w:outlineLvl w:val="0"/>
        <w:rPr>
          <w:rFonts w:ascii="Arial Narrow" w:hAnsi="Arial Narrow" w:eastAsiaTheme="minorEastAsia"/>
          <w:b/>
          <w:sz w:val="24"/>
        </w:rPr>
      </w:pPr>
      <w:bookmarkStart w:id="20" w:name="_Toc437528932"/>
      <w:bookmarkStart w:id="21" w:name="_Toc171687785"/>
      <w:r>
        <w:rPr>
          <w:rFonts w:ascii="Arial Narrow" w:hAnsi="Arial Narrow" w:eastAsiaTheme="minorEastAsia"/>
          <w:b/>
          <w:sz w:val="24"/>
        </w:rPr>
        <w:t>（六）绩效评价</w:t>
      </w:r>
      <w:bookmarkEnd w:id="20"/>
      <w:r>
        <w:rPr>
          <w:rFonts w:ascii="Arial Narrow" w:hAnsi="Arial Narrow" w:eastAsiaTheme="minorEastAsia"/>
          <w:b/>
          <w:sz w:val="24"/>
        </w:rPr>
        <w:t>工作过程</w:t>
      </w:r>
      <w:bookmarkEnd w:id="21"/>
    </w:p>
    <w:p w14:paraId="2FEE7CE3">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1.经铜梁区财政局确定为</w:t>
      </w:r>
      <w:r>
        <w:rPr>
          <w:rFonts w:hint="eastAsia" w:ascii="仿宋" w:hAnsi="仿宋" w:eastAsia="仿宋" w:cs="仿宋"/>
          <w:color w:val="auto"/>
        </w:rPr>
        <w:t>“</w:t>
      </w:r>
      <w:r>
        <w:rPr>
          <w:rFonts w:ascii="Arial Narrow" w:hAnsi="Arial Narrow" w:eastAsiaTheme="minorEastAsia"/>
          <w:color w:val="auto"/>
        </w:rPr>
        <w:t>2023年财政专项衔接资金项目</w:t>
      </w:r>
      <w:r>
        <w:rPr>
          <w:rFonts w:hint="eastAsia" w:ascii="仿宋" w:hAnsi="仿宋" w:eastAsia="仿宋" w:cs="仿宋"/>
          <w:color w:val="auto"/>
        </w:rPr>
        <w:t>”</w:t>
      </w:r>
      <w:r>
        <w:rPr>
          <w:rFonts w:ascii="Arial Narrow" w:hAnsi="Arial Narrow" w:eastAsiaTheme="minorEastAsia"/>
          <w:color w:val="auto"/>
        </w:rPr>
        <w:t>项目绩效评价服务单位后我所成立了绩效评价工作小组。</w:t>
      </w:r>
    </w:p>
    <w:p w14:paraId="5274B8A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2.根据项目实际情况收集项目基础资料及数据深入了解项目整体情况。</w:t>
      </w:r>
    </w:p>
    <w:p w14:paraId="10F2A903">
      <w:pPr>
        <w:pStyle w:val="14"/>
        <w:spacing w:line="360" w:lineRule="auto"/>
        <w:ind w:firstLine="480" w:firstLineChars="200"/>
        <w:rPr>
          <w:rFonts w:hint="eastAsia" w:ascii="Arial Narrow" w:hAnsi="Arial Narrow" w:eastAsiaTheme="minorEastAsia"/>
          <w:color w:val="auto"/>
          <w:lang w:eastAsia="zh-CN"/>
        </w:rPr>
      </w:pPr>
      <w:r>
        <w:rPr>
          <w:rFonts w:ascii="Arial Narrow" w:hAnsi="Arial Narrow" w:eastAsiaTheme="minorEastAsia"/>
          <w:color w:val="auto"/>
        </w:rPr>
        <w:t>3.组织实施现场调查、检查、走访等具体工作</w:t>
      </w:r>
      <w:r>
        <w:rPr>
          <w:rFonts w:hint="eastAsia" w:ascii="Arial Narrow" w:hAnsi="Arial Narrow" w:eastAsiaTheme="minorEastAsia"/>
          <w:color w:val="auto"/>
          <w:lang w:eastAsia="zh-CN"/>
        </w:rPr>
        <w:t>。</w:t>
      </w:r>
    </w:p>
    <w:p w14:paraId="61528DF4">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4.依据收集到的项目相关资料和数据，比照经贵单位审定的评价指标体系的评分标准，分别对项目评价打分，汇总后加权平均形成综合评价得分，并对该项目的绩效评价等级进行确认。</w:t>
      </w:r>
    </w:p>
    <w:p w14:paraId="104C850C">
      <w:pPr>
        <w:spacing w:line="360" w:lineRule="auto"/>
        <w:ind w:firstLine="482" w:firstLineChars="200"/>
        <w:jc w:val="left"/>
        <w:outlineLvl w:val="0"/>
        <w:rPr>
          <w:rFonts w:ascii="Arial Narrow" w:hAnsi="Arial Narrow" w:eastAsiaTheme="minorEastAsia"/>
          <w:b/>
          <w:sz w:val="24"/>
        </w:rPr>
      </w:pPr>
      <w:bookmarkStart w:id="22" w:name="_Toc437528933"/>
      <w:bookmarkStart w:id="23" w:name="_Toc171687786"/>
      <w:r>
        <w:rPr>
          <w:rFonts w:ascii="Arial Narrow" w:hAnsi="Arial Narrow" w:eastAsiaTheme="minorEastAsia"/>
          <w:b/>
          <w:sz w:val="24"/>
        </w:rPr>
        <w:t>三、项目评价</w:t>
      </w:r>
      <w:bookmarkEnd w:id="22"/>
      <w:r>
        <w:rPr>
          <w:rFonts w:ascii="Arial Narrow" w:hAnsi="Arial Narrow" w:eastAsiaTheme="minorEastAsia"/>
          <w:b/>
          <w:sz w:val="24"/>
        </w:rPr>
        <w:t>结论</w:t>
      </w:r>
      <w:bookmarkEnd w:id="23"/>
    </w:p>
    <w:p w14:paraId="58ED3351">
      <w:pPr>
        <w:spacing w:line="360" w:lineRule="auto"/>
        <w:ind w:left="420" w:leftChars="200"/>
        <w:jc w:val="left"/>
        <w:rPr>
          <w:rFonts w:ascii="Arial Narrow" w:hAnsi="Arial Narrow" w:eastAsiaTheme="minorEastAsia"/>
          <w:sz w:val="24"/>
        </w:rPr>
      </w:pPr>
      <w:r>
        <w:rPr>
          <w:rFonts w:ascii="Arial Narrow" w:hAnsi="Arial Narrow" w:cs="宋体" w:eastAsiaTheme="minorEastAsia"/>
          <w:kern w:val="0"/>
          <w:sz w:val="24"/>
        </w:rPr>
        <w:t>产业保险项目</w:t>
      </w:r>
      <w:r>
        <w:rPr>
          <w:rFonts w:ascii="Arial Narrow" w:hAnsi="Arial Narrow" w:eastAsiaTheme="minorEastAsia"/>
          <w:sz w:val="24"/>
        </w:rPr>
        <w:t>绩效评价得分98.50分，绩效评价等级为：优；</w:t>
      </w:r>
    </w:p>
    <w:p w14:paraId="2B997F6A">
      <w:pPr>
        <w:spacing w:line="360" w:lineRule="auto"/>
        <w:ind w:firstLine="424" w:firstLineChars="177"/>
        <w:jc w:val="left"/>
        <w:rPr>
          <w:rFonts w:ascii="Arial Narrow" w:hAnsi="Arial Narrow" w:eastAsiaTheme="minorEastAsia"/>
          <w:sz w:val="24"/>
        </w:rPr>
      </w:pPr>
      <w:r>
        <w:rPr>
          <w:rFonts w:ascii="Arial Narrow" w:hAnsi="Arial Narrow" w:cs="宋体" w:eastAsiaTheme="minorEastAsia"/>
          <w:kern w:val="0"/>
          <w:sz w:val="24"/>
        </w:rPr>
        <w:t>产业到户补助项目绩效评价得分99.00分，绩效评价等级为：优。</w:t>
      </w:r>
    </w:p>
    <w:p w14:paraId="47918101">
      <w:pPr>
        <w:spacing w:line="360" w:lineRule="auto"/>
        <w:ind w:firstLine="482" w:firstLineChars="200"/>
        <w:outlineLvl w:val="0"/>
        <w:rPr>
          <w:rFonts w:ascii="Arial Narrow" w:hAnsi="Arial Narrow" w:eastAsiaTheme="minorEastAsia"/>
          <w:b/>
          <w:sz w:val="24"/>
        </w:rPr>
      </w:pPr>
      <w:bookmarkStart w:id="24" w:name="_Toc171687787"/>
      <w:r>
        <w:rPr>
          <w:rFonts w:ascii="Arial Narrow" w:hAnsi="Arial Narrow" w:eastAsiaTheme="minorEastAsia"/>
          <w:b/>
          <w:sz w:val="24"/>
        </w:rPr>
        <w:t>四、综合评价情况</w:t>
      </w:r>
      <w:bookmarkEnd w:id="24"/>
    </w:p>
    <w:p w14:paraId="4145DBFF">
      <w:pPr>
        <w:spacing w:line="360" w:lineRule="auto"/>
        <w:ind w:firstLine="482" w:firstLineChars="200"/>
        <w:jc w:val="left"/>
        <w:outlineLvl w:val="0"/>
        <w:rPr>
          <w:rFonts w:ascii="Arial Narrow" w:hAnsi="Arial Narrow" w:eastAsiaTheme="minorEastAsia"/>
          <w:b/>
          <w:sz w:val="24"/>
        </w:rPr>
      </w:pPr>
      <w:bookmarkStart w:id="25" w:name="_Toc171687788"/>
      <w:r>
        <w:rPr>
          <w:rFonts w:ascii="Arial Narrow" w:hAnsi="Arial Narrow" w:eastAsiaTheme="minorEastAsia"/>
          <w:b/>
          <w:sz w:val="24"/>
        </w:rPr>
        <w:t>（一）资金管理</w:t>
      </w:r>
      <w:bookmarkEnd w:id="25"/>
    </w:p>
    <w:p w14:paraId="24870150">
      <w:pPr>
        <w:adjustRightInd w:val="0"/>
        <w:snapToGrid w:val="0"/>
        <w:spacing w:line="360" w:lineRule="auto"/>
        <w:ind w:firstLine="480" w:firstLineChars="2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1.财政衔接资金安排情况</w:t>
      </w:r>
    </w:p>
    <w:p w14:paraId="1248870D">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项目按照《重庆市财政局关于提前下达2023年市财政衔接推进乡村振兴补助资金预算的通知》</w:t>
      </w:r>
      <w:r>
        <w:rPr>
          <w:rFonts w:hint="eastAsia" w:ascii="Arial Narrow" w:hAnsi="Arial Narrow" w:eastAsiaTheme="minorEastAsia"/>
          <w:sz w:val="24"/>
          <w:lang w:eastAsia="zh-CN"/>
        </w:rPr>
        <w:t>（</w:t>
      </w:r>
      <w:r>
        <w:rPr>
          <w:rFonts w:ascii="Arial Narrow" w:hAnsi="Arial Narrow" w:eastAsiaTheme="minorEastAsia"/>
          <w:sz w:val="24"/>
        </w:rPr>
        <w:t>渝财农〔2022〕146</w:t>
      </w:r>
      <w:r>
        <w:rPr>
          <w:rFonts w:hint="eastAsia" w:ascii="Arial Narrow" w:hAnsi="Arial Narrow" w:eastAsiaTheme="minorEastAsia"/>
          <w:sz w:val="24"/>
          <w:lang w:val="en-US" w:eastAsia="zh-CN"/>
        </w:rPr>
        <w:t>号</w:t>
      </w:r>
      <w:r>
        <w:rPr>
          <w:rFonts w:hint="eastAsia" w:ascii="Arial Narrow" w:hAnsi="Arial Narrow" w:eastAsiaTheme="minorEastAsia"/>
          <w:sz w:val="24"/>
          <w:lang w:eastAsia="zh-CN"/>
        </w:rPr>
        <w:t>）</w:t>
      </w:r>
      <w:r>
        <w:rPr>
          <w:rFonts w:ascii="Arial Narrow" w:hAnsi="Arial Narrow" w:eastAsiaTheme="minorEastAsia"/>
          <w:sz w:val="24"/>
        </w:rPr>
        <w:t>、《重庆市铜梁区财政局关于提前下达2023年中央财政衔接推进乡村振兴补助资金预算的通知》（铜财〔2022〕550号）、《重庆市铜梁区财政局关于下达2023年区级财政衔接推进乡村振兴补助资金预算的通知》</w:t>
      </w:r>
      <w:r>
        <w:rPr>
          <w:rFonts w:hint="eastAsia" w:ascii="Arial Narrow" w:hAnsi="Arial Narrow" w:eastAsiaTheme="minorEastAsia"/>
          <w:sz w:val="24"/>
          <w:lang w:eastAsia="zh-CN"/>
        </w:rPr>
        <w:t>（</w:t>
      </w:r>
      <w:r>
        <w:rPr>
          <w:rFonts w:ascii="Arial Narrow" w:hAnsi="Arial Narrow" w:eastAsiaTheme="minorEastAsia"/>
          <w:sz w:val="24"/>
        </w:rPr>
        <w:t>铜财〔2023〕46号</w:t>
      </w:r>
      <w:r>
        <w:rPr>
          <w:rFonts w:hint="eastAsia" w:ascii="Arial Narrow" w:hAnsi="Arial Narrow" w:eastAsiaTheme="minorEastAsia"/>
          <w:sz w:val="24"/>
          <w:lang w:eastAsia="zh-CN"/>
        </w:rPr>
        <w:t>）</w:t>
      </w:r>
      <w:r>
        <w:rPr>
          <w:rFonts w:ascii="Arial Narrow" w:hAnsi="Arial Narrow" w:eastAsiaTheme="minorEastAsia"/>
          <w:sz w:val="24"/>
        </w:rPr>
        <w:t>等相关政策性文件规定落实衔接资金。</w:t>
      </w:r>
    </w:p>
    <w:p w14:paraId="4173CE94">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2.资金分解下达进度</w:t>
      </w:r>
    </w:p>
    <w:p w14:paraId="56C63AD2">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以上2个项目资金从区财政局下达资金文件时间到区级业务主管部门下达项目及资金计划文件时间间隔小于30天。</w:t>
      </w:r>
    </w:p>
    <w:p w14:paraId="2ED1CDFB">
      <w:pPr>
        <w:spacing w:line="360" w:lineRule="auto"/>
        <w:ind w:firstLine="482" w:firstLineChars="200"/>
        <w:jc w:val="left"/>
        <w:outlineLvl w:val="0"/>
        <w:rPr>
          <w:rFonts w:ascii="Arial Narrow" w:hAnsi="Arial Narrow" w:eastAsiaTheme="minorEastAsia"/>
          <w:b/>
          <w:sz w:val="24"/>
        </w:rPr>
      </w:pPr>
      <w:bookmarkStart w:id="26" w:name="_Toc171687789"/>
      <w:r>
        <w:rPr>
          <w:rFonts w:ascii="Arial Narrow" w:hAnsi="Arial Narrow" w:eastAsiaTheme="minorEastAsia"/>
          <w:b/>
          <w:sz w:val="24"/>
        </w:rPr>
        <w:t>（二）项目管理</w:t>
      </w:r>
      <w:bookmarkEnd w:id="26"/>
    </w:p>
    <w:p w14:paraId="62E599C3">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1.项目库建设管理情况</w:t>
      </w:r>
    </w:p>
    <w:p w14:paraId="48DB8A67">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项目入库及时充分、程序规范、内容完整，制定</w:t>
      </w:r>
      <w:r>
        <w:rPr>
          <w:rFonts w:hint="eastAsia" w:ascii="Arial Narrow" w:hAnsi="Arial Narrow" w:eastAsiaTheme="minorEastAsia"/>
          <w:sz w:val="24"/>
        </w:rPr>
        <w:t>了</w:t>
      </w:r>
      <w:r>
        <w:rPr>
          <w:rFonts w:ascii="Arial Narrow" w:hAnsi="Arial Narrow" w:eastAsiaTheme="minorEastAsia"/>
          <w:sz w:val="24"/>
        </w:rPr>
        <w:t>切合实际的实施方案，具备实施条件，衔接资金未用于项目库之外的项目。</w:t>
      </w:r>
    </w:p>
    <w:p w14:paraId="2D52F30A">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2.项目绩效管理情况</w:t>
      </w:r>
    </w:p>
    <w:p w14:paraId="03A8F934">
      <w:pPr>
        <w:adjustRightInd w:val="0"/>
        <w:snapToGrid w:val="0"/>
        <w:spacing w:line="360" w:lineRule="auto"/>
        <w:ind w:firstLine="480" w:firstLineChars="200"/>
        <w:rPr>
          <w:rFonts w:ascii="Arial Narrow" w:hAnsi="Arial Narrow" w:eastAsiaTheme="minorEastAsia"/>
          <w:sz w:val="24"/>
        </w:rPr>
      </w:pPr>
      <w:r>
        <w:rPr>
          <w:rFonts w:ascii="Arial Narrow" w:hAnsi="Arial Narrow" w:cs="宋体" w:eastAsiaTheme="minorEastAsia"/>
          <w:kern w:val="0"/>
          <w:sz w:val="24"/>
        </w:rPr>
        <w:t>项目及时制定了明确的绩效目标，实施过程中对绩效目标进行监控，对绩效目标偏离项目采取纠偏措施。在项目实施完毕后开展了绩效自评，并形成绩效自评表，项目绩效基本达到预期，项目实施完毕后及时形成自评报告。</w:t>
      </w:r>
    </w:p>
    <w:p w14:paraId="12A5F3E7">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3.项目建设管理情况</w:t>
      </w:r>
    </w:p>
    <w:p w14:paraId="134C6511">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项目实施方案不存在变更情况，实施</w:t>
      </w:r>
      <w:r>
        <w:rPr>
          <w:rFonts w:hint="eastAsia" w:ascii="Arial Narrow" w:hAnsi="Arial Narrow" w:eastAsiaTheme="minorEastAsia"/>
          <w:sz w:val="24"/>
          <w:lang w:val="en-US" w:eastAsia="zh-CN"/>
        </w:rPr>
        <w:t>过程</w:t>
      </w:r>
      <w:r>
        <w:rPr>
          <w:rFonts w:ascii="Arial Narrow" w:hAnsi="Arial Narrow" w:eastAsiaTheme="minorEastAsia"/>
          <w:sz w:val="24"/>
        </w:rPr>
        <w:t>中由重庆市铜梁区乡村振兴局进行监督检查，检查中未发现重大问题，项目按照实施节点按时提交项目报账资料，项目资料归档整理及时。</w:t>
      </w:r>
    </w:p>
    <w:p w14:paraId="0C3A5769">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4.预算执行率情况</w:t>
      </w:r>
    </w:p>
    <w:p w14:paraId="375D0A00">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产业保险项目七月末、十月末资金支出进度均超过全区平均水平，八月末的资金预算执行率达到100%。</w:t>
      </w:r>
    </w:p>
    <w:p w14:paraId="5B1CE3BF">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产业到户补助项目七月末、十月末资金支出进度均超过全区平均水平，十一月末的资金预算执行率达到100%。</w:t>
      </w:r>
    </w:p>
    <w:p w14:paraId="69615FFA">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5.跟踪督促及发现问题整改情况</w:t>
      </w:r>
    </w:p>
    <w:p w14:paraId="0F934C7E">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通过实施单位提供的监控表、自评表等资料显示，项目实施单位定期开展项目实施和资金支出进度等跟踪督促，跟踪督促及各类检查发现问题整改到位。</w:t>
      </w:r>
    </w:p>
    <w:p w14:paraId="22756259">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6.账务处理及档案管理等情况</w:t>
      </w:r>
    </w:p>
    <w:p w14:paraId="2446D977">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项目实施单位对产业到户补助项目和产业保险项目的账务处理规范完整，档案管理中产业保险项目缺村镇公示资料。</w:t>
      </w:r>
    </w:p>
    <w:p w14:paraId="591826CD">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7.信息公开和公告公示制度落实情况</w:t>
      </w:r>
    </w:p>
    <w:p w14:paraId="0AE3B26D">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重庆市铜梁区乡村振兴局对以上2个项目入库情况、资金计划完成情况等进行了公告公示。</w:t>
      </w:r>
    </w:p>
    <w:p w14:paraId="623E560E">
      <w:pPr>
        <w:spacing w:line="360" w:lineRule="auto"/>
        <w:ind w:firstLine="482" w:firstLineChars="200"/>
        <w:jc w:val="left"/>
        <w:outlineLvl w:val="0"/>
        <w:rPr>
          <w:rFonts w:ascii="Arial Narrow" w:hAnsi="Arial Narrow" w:eastAsiaTheme="minorEastAsia"/>
          <w:b/>
          <w:sz w:val="24"/>
        </w:rPr>
      </w:pPr>
      <w:bookmarkStart w:id="27" w:name="_Toc171687790"/>
      <w:r>
        <w:rPr>
          <w:rFonts w:ascii="Arial Narrow" w:hAnsi="Arial Narrow" w:eastAsiaTheme="minorEastAsia"/>
          <w:b/>
          <w:sz w:val="24"/>
        </w:rPr>
        <w:t>（三）使用成效及通报情况</w:t>
      </w:r>
      <w:bookmarkEnd w:id="27"/>
    </w:p>
    <w:p w14:paraId="15E60D33">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1.资金使用效益</w:t>
      </w:r>
    </w:p>
    <w:p w14:paraId="3514A827">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项目总体资金均专款专用，项目完成进度和及时性达到计划预期目的。完成项目的质量能够达标，完成进行了自评、项目资金完整。</w:t>
      </w:r>
    </w:p>
    <w:p w14:paraId="23B70F9C">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2.通报情况</w:t>
      </w:r>
    </w:p>
    <w:p w14:paraId="62095131">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产业保险项目实施管理日常表现良好，未被通报和问题反馈情况；产业到户项目因资金支付达80%未完工被重庆市铜梁区乡村振兴局（铜乡振〔2023〕19号）通报一次。</w:t>
      </w:r>
    </w:p>
    <w:p w14:paraId="0156B5FF">
      <w:pPr>
        <w:spacing w:line="360" w:lineRule="auto"/>
        <w:ind w:firstLine="482" w:firstLineChars="200"/>
        <w:outlineLvl w:val="0"/>
        <w:rPr>
          <w:rFonts w:ascii="Arial Narrow" w:hAnsi="Arial Narrow" w:eastAsiaTheme="minorEastAsia"/>
          <w:b/>
          <w:sz w:val="24"/>
        </w:rPr>
      </w:pPr>
      <w:bookmarkStart w:id="28" w:name="_Toc171687791"/>
      <w:r>
        <w:rPr>
          <w:rFonts w:ascii="Arial Narrow" w:hAnsi="Arial Narrow" w:eastAsiaTheme="minorEastAsia"/>
          <w:b/>
          <w:sz w:val="24"/>
        </w:rPr>
        <w:t>五、存在的问题和建议</w:t>
      </w:r>
      <w:bookmarkEnd w:id="28"/>
    </w:p>
    <w:p w14:paraId="10CAF81D">
      <w:pPr>
        <w:spacing w:line="360" w:lineRule="auto"/>
        <w:ind w:firstLine="482" w:firstLineChars="200"/>
        <w:jc w:val="left"/>
        <w:outlineLvl w:val="0"/>
        <w:rPr>
          <w:rFonts w:ascii="Arial Narrow" w:hAnsi="Arial Narrow" w:eastAsiaTheme="minorEastAsia"/>
          <w:b/>
          <w:sz w:val="24"/>
        </w:rPr>
      </w:pPr>
      <w:bookmarkStart w:id="29" w:name="_Toc171687792"/>
      <w:r>
        <w:rPr>
          <w:rFonts w:ascii="Arial Narrow" w:hAnsi="Arial Narrow" w:eastAsiaTheme="minorEastAsia"/>
          <w:b/>
          <w:sz w:val="24"/>
        </w:rPr>
        <w:t>（一）存在问题</w:t>
      </w:r>
      <w:bookmarkEnd w:id="29"/>
    </w:p>
    <w:p w14:paraId="7410B781">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资料归档不及时：纸质归档资料中缺村镇公示资料。</w:t>
      </w:r>
    </w:p>
    <w:p w14:paraId="7F48A9E0">
      <w:pPr>
        <w:spacing w:line="360" w:lineRule="auto"/>
        <w:ind w:firstLine="482" w:firstLineChars="200"/>
        <w:jc w:val="left"/>
        <w:outlineLvl w:val="0"/>
        <w:rPr>
          <w:rFonts w:ascii="Arial Narrow" w:hAnsi="Arial Narrow" w:eastAsiaTheme="minorEastAsia"/>
          <w:b/>
          <w:sz w:val="24"/>
        </w:rPr>
      </w:pPr>
      <w:bookmarkStart w:id="30" w:name="_Toc171687793"/>
      <w:r>
        <w:rPr>
          <w:rFonts w:ascii="Arial Narrow" w:hAnsi="Arial Narrow" w:eastAsiaTheme="minorEastAsia"/>
          <w:b/>
          <w:sz w:val="24"/>
        </w:rPr>
        <w:t>（二）建议</w:t>
      </w:r>
      <w:bookmarkEnd w:id="30"/>
    </w:p>
    <w:p w14:paraId="18C17318">
      <w:pPr>
        <w:adjustRightInd w:val="0"/>
        <w:snapToGrid w:val="0"/>
        <w:spacing w:line="360" w:lineRule="auto"/>
        <w:ind w:firstLine="480" w:firstLineChars="2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严格按照项目档案管理要求进行资料归档，及时归档确保资料的完整性，避免资料缺失遗漏。</w:t>
      </w:r>
    </w:p>
    <w:p w14:paraId="711001EA">
      <w:pPr>
        <w:adjustRightInd w:val="0"/>
        <w:snapToGrid w:val="0"/>
        <w:spacing w:line="360" w:lineRule="auto"/>
        <w:ind w:firstLine="480" w:firstLineChars="200"/>
        <w:rPr>
          <w:rStyle w:val="11"/>
          <w:rFonts w:ascii="Arial Narrow" w:hAnsi="Arial Narrow" w:eastAsiaTheme="minorEastAsia"/>
          <w:color w:val="auto"/>
          <w:sz w:val="24"/>
          <w:u w:val="none"/>
        </w:rPr>
      </w:pPr>
    </w:p>
    <w:p w14:paraId="09D60C3E">
      <w:pPr>
        <w:adjustRightInd w:val="0"/>
        <w:snapToGrid w:val="0"/>
        <w:spacing w:line="360" w:lineRule="auto"/>
        <w:rPr>
          <w:rStyle w:val="11"/>
          <w:rFonts w:ascii="Arial Narrow" w:hAnsi="Arial Narrow" w:eastAsiaTheme="minorEastAsia"/>
          <w:color w:val="auto"/>
          <w:u w:val="none"/>
        </w:rPr>
      </w:pPr>
    </w:p>
    <w:p w14:paraId="155BA776">
      <w:pPr>
        <w:adjustRightInd w:val="0"/>
        <w:snapToGrid w:val="0"/>
        <w:spacing w:line="360" w:lineRule="auto"/>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附件：1</w:t>
      </w:r>
      <w:r>
        <w:rPr>
          <w:rStyle w:val="11"/>
          <w:rFonts w:hint="eastAsia" w:ascii="Arial Narrow" w:hAnsi="Arial Narrow" w:eastAsiaTheme="minorEastAsia"/>
          <w:color w:val="auto"/>
          <w:sz w:val="24"/>
          <w:u w:val="none"/>
          <w:lang w:val="en-US" w:eastAsia="zh-CN"/>
        </w:rPr>
        <w:t>.</w:t>
      </w:r>
      <w:r>
        <w:rPr>
          <w:rStyle w:val="11"/>
          <w:rFonts w:ascii="Arial Narrow" w:hAnsi="Arial Narrow" w:eastAsiaTheme="minorEastAsia"/>
          <w:color w:val="auto"/>
          <w:sz w:val="24"/>
          <w:u w:val="none"/>
        </w:rPr>
        <w:t>铜梁区衔接资金项目绩效评价及考核指标评分表；</w:t>
      </w:r>
    </w:p>
    <w:p w14:paraId="6A9CB3B4">
      <w:pPr>
        <w:adjustRightInd w:val="0"/>
        <w:snapToGrid w:val="0"/>
        <w:spacing w:line="360" w:lineRule="auto"/>
        <w:ind w:firstLine="720" w:firstLineChars="3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2</w:t>
      </w:r>
      <w:r>
        <w:rPr>
          <w:rStyle w:val="11"/>
          <w:rFonts w:hint="eastAsia" w:ascii="Arial Narrow" w:hAnsi="Arial Narrow" w:eastAsiaTheme="minorEastAsia"/>
          <w:color w:val="auto"/>
          <w:sz w:val="24"/>
          <w:u w:val="none"/>
          <w:lang w:val="en-US" w:eastAsia="zh-CN"/>
        </w:rPr>
        <w:t>.</w:t>
      </w:r>
      <w:r>
        <w:rPr>
          <w:rStyle w:val="11"/>
          <w:rFonts w:ascii="Arial Narrow" w:hAnsi="Arial Narrow" w:eastAsiaTheme="minorEastAsia"/>
          <w:color w:val="auto"/>
          <w:sz w:val="24"/>
          <w:u w:val="none"/>
        </w:rPr>
        <w:t>会计师事务所营业执照和资质复印件。</w:t>
      </w:r>
    </w:p>
    <w:p w14:paraId="5DA0C963">
      <w:pPr>
        <w:adjustRightInd w:val="0"/>
        <w:snapToGrid w:val="0"/>
        <w:spacing w:line="360" w:lineRule="auto"/>
        <w:ind w:firstLine="720" w:firstLineChars="300"/>
        <w:rPr>
          <w:rStyle w:val="11"/>
          <w:rFonts w:ascii="Arial Narrow" w:hAnsi="Arial Narrow" w:eastAsiaTheme="minorEastAsia"/>
          <w:color w:val="auto"/>
          <w:sz w:val="24"/>
          <w:u w:val="none"/>
        </w:rPr>
      </w:pPr>
    </w:p>
    <w:p w14:paraId="47504BF7">
      <w:pPr>
        <w:adjustRightInd w:val="0"/>
        <w:snapToGrid w:val="0"/>
        <w:spacing w:line="360" w:lineRule="auto"/>
        <w:ind w:firstLine="720" w:firstLineChars="300"/>
        <w:rPr>
          <w:rStyle w:val="11"/>
          <w:rFonts w:ascii="Arial Narrow" w:hAnsi="Arial Narrow" w:eastAsiaTheme="minorEastAsia"/>
          <w:color w:val="auto"/>
          <w:sz w:val="24"/>
          <w:u w:val="none"/>
        </w:rPr>
      </w:pPr>
    </w:p>
    <w:p w14:paraId="762A5952">
      <w:pPr>
        <w:adjustRightInd w:val="0"/>
        <w:snapToGrid w:val="0"/>
        <w:spacing w:line="360" w:lineRule="auto"/>
        <w:ind w:firstLine="720" w:firstLineChars="300"/>
        <w:rPr>
          <w:rStyle w:val="11"/>
          <w:rFonts w:ascii="Arial Narrow" w:hAnsi="Arial Narrow" w:eastAsiaTheme="minorEastAsia"/>
          <w:color w:val="auto"/>
          <w:sz w:val="24"/>
          <w:u w:val="none"/>
        </w:rPr>
      </w:pPr>
    </w:p>
    <w:p w14:paraId="7939F23F">
      <w:pPr>
        <w:adjustRightInd w:val="0"/>
        <w:snapToGrid w:val="0"/>
        <w:spacing w:line="360" w:lineRule="auto"/>
        <w:jc w:val="right"/>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 xml:space="preserve"> 重庆铭鸿金全会计师事务所有限责任公司</w:t>
      </w:r>
    </w:p>
    <w:p w14:paraId="70F99510">
      <w:pPr>
        <w:adjustRightInd w:val="0"/>
        <w:snapToGrid w:val="0"/>
        <w:spacing w:line="360" w:lineRule="auto"/>
        <w:ind w:right="960" w:firstLine="4800" w:firstLineChars="2000"/>
        <w:jc w:val="right"/>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二</w:t>
      </w:r>
      <w:r>
        <w:rPr>
          <w:rStyle w:val="11"/>
          <w:rFonts w:hint="eastAsia" w:ascii="Arial Narrow" w:hAnsi="Arial Narrow" w:eastAsiaTheme="minorEastAsia"/>
          <w:color w:val="auto"/>
          <w:sz w:val="24"/>
          <w:u w:val="none"/>
          <w:lang w:val="en-US" w:eastAsia="zh-CN"/>
        </w:rPr>
        <w:t>〇</w:t>
      </w:r>
      <w:bookmarkStart w:id="31" w:name="_GoBack"/>
      <w:bookmarkEnd w:id="31"/>
      <w:r>
        <w:rPr>
          <w:rStyle w:val="11"/>
          <w:rFonts w:ascii="Arial Narrow" w:hAnsi="Arial Narrow" w:eastAsiaTheme="minorEastAsia"/>
          <w:color w:val="auto"/>
          <w:sz w:val="24"/>
          <w:u w:val="none"/>
        </w:rPr>
        <w:t>二四年六月三十日</w:t>
      </w:r>
    </w:p>
    <w:sectPr>
      <w:headerReference r:id="rId4" w:type="default"/>
      <w:footerReference r:id="rId5" w:type="default"/>
      <w:pgSz w:w="11906" w:h="16838"/>
      <w:pgMar w:top="1418" w:right="1418" w:bottom="1134" w:left="1134" w:header="851" w:footer="851"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06F" w:usb1="1200FBEF" w:usb2="0064C000" w:usb3="00000002" w:csb0="00000001" w:csb1="4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47C1E">
    <w:pPr>
      <w:pStyle w:val="5"/>
      <w:jc w:val="center"/>
      <w:rPr>
        <w:rFonts w:hint="eastAsia"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87577">
    <w:pPr>
      <w:pStyle w:val="5"/>
      <w:jc w:val="center"/>
      <w:rPr>
        <w:rFonts w:hint="eastAsia" w:ascii="宋体" w:hAnsi="宋体"/>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1283E7">
                          <w:pPr>
                            <w:pStyle w:val="5"/>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31283E7">
                    <w:pPr>
                      <w:pStyle w:val="5"/>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2EAE20">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03CC9"/>
    <w:rsid w:val="00007A67"/>
    <w:rsid w:val="00010C13"/>
    <w:rsid w:val="00021B73"/>
    <w:rsid w:val="00023EC4"/>
    <w:rsid w:val="000343D6"/>
    <w:rsid w:val="000549FD"/>
    <w:rsid w:val="000553CC"/>
    <w:rsid w:val="00060BD2"/>
    <w:rsid w:val="000637E7"/>
    <w:rsid w:val="00063E0B"/>
    <w:rsid w:val="00072E97"/>
    <w:rsid w:val="000767FF"/>
    <w:rsid w:val="00076916"/>
    <w:rsid w:val="000769EE"/>
    <w:rsid w:val="00086903"/>
    <w:rsid w:val="00096EF3"/>
    <w:rsid w:val="000B69A7"/>
    <w:rsid w:val="000C0416"/>
    <w:rsid w:val="000D1A3B"/>
    <w:rsid w:val="000E4529"/>
    <w:rsid w:val="000E6695"/>
    <w:rsid w:val="000E6A52"/>
    <w:rsid w:val="000F48F5"/>
    <w:rsid w:val="0010003E"/>
    <w:rsid w:val="00104568"/>
    <w:rsid w:val="00107B6E"/>
    <w:rsid w:val="00125922"/>
    <w:rsid w:val="0013351F"/>
    <w:rsid w:val="00134388"/>
    <w:rsid w:val="00143A99"/>
    <w:rsid w:val="00152152"/>
    <w:rsid w:val="00160F77"/>
    <w:rsid w:val="00164C87"/>
    <w:rsid w:val="001819DF"/>
    <w:rsid w:val="00187224"/>
    <w:rsid w:val="001A42EB"/>
    <w:rsid w:val="001A5651"/>
    <w:rsid w:val="001C6F32"/>
    <w:rsid w:val="001E0132"/>
    <w:rsid w:val="001F3624"/>
    <w:rsid w:val="001F43AE"/>
    <w:rsid w:val="00204413"/>
    <w:rsid w:val="00216472"/>
    <w:rsid w:val="00224D96"/>
    <w:rsid w:val="00226E7E"/>
    <w:rsid w:val="00245725"/>
    <w:rsid w:val="002663D6"/>
    <w:rsid w:val="00276D1C"/>
    <w:rsid w:val="00282997"/>
    <w:rsid w:val="002914F2"/>
    <w:rsid w:val="00294F41"/>
    <w:rsid w:val="002B1561"/>
    <w:rsid w:val="002C083D"/>
    <w:rsid w:val="002C36AE"/>
    <w:rsid w:val="002C4BF0"/>
    <w:rsid w:val="002C5020"/>
    <w:rsid w:val="002C7EFA"/>
    <w:rsid w:val="00303BEA"/>
    <w:rsid w:val="00314819"/>
    <w:rsid w:val="00314D84"/>
    <w:rsid w:val="00324E2F"/>
    <w:rsid w:val="00331DC5"/>
    <w:rsid w:val="003403BC"/>
    <w:rsid w:val="00364CA3"/>
    <w:rsid w:val="0037066E"/>
    <w:rsid w:val="00384C3C"/>
    <w:rsid w:val="003879CE"/>
    <w:rsid w:val="003A00D8"/>
    <w:rsid w:val="003A1ECE"/>
    <w:rsid w:val="003A3770"/>
    <w:rsid w:val="003B42BF"/>
    <w:rsid w:val="003C31C4"/>
    <w:rsid w:val="003C5771"/>
    <w:rsid w:val="004077FE"/>
    <w:rsid w:val="00414A58"/>
    <w:rsid w:val="004200C2"/>
    <w:rsid w:val="00420AA7"/>
    <w:rsid w:val="00421C71"/>
    <w:rsid w:val="00470930"/>
    <w:rsid w:val="00477B31"/>
    <w:rsid w:val="004A52B3"/>
    <w:rsid w:val="004A7B95"/>
    <w:rsid w:val="004C1F3A"/>
    <w:rsid w:val="004C38B4"/>
    <w:rsid w:val="004D1145"/>
    <w:rsid w:val="004D2A6E"/>
    <w:rsid w:val="004E6833"/>
    <w:rsid w:val="004F367F"/>
    <w:rsid w:val="004F7A0F"/>
    <w:rsid w:val="00501A64"/>
    <w:rsid w:val="00536985"/>
    <w:rsid w:val="00565296"/>
    <w:rsid w:val="00572DD6"/>
    <w:rsid w:val="005944ED"/>
    <w:rsid w:val="005949B9"/>
    <w:rsid w:val="005D5AF3"/>
    <w:rsid w:val="005E133F"/>
    <w:rsid w:val="005E4847"/>
    <w:rsid w:val="005F01BA"/>
    <w:rsid w:val="005F3C4E"/>
    <w:rsid w:val="0060606D"/>
    <w:rsid w:val="006078DB"/>
    <w:rsid w:val="0061001E"/>
    <w:rsid w:val="006125DB"/>
    <w:rsid w:val="00613DCA"/>
    <w:rsid w:val="0061417A"/>
    <w:rsid w:val="0064024A"/>
    <w:rsid w:val="0064349E"/>
    <w:rsid w:val="006553BC"/>
    <w:rsid w:val="00655510"/>
    <w:rsid w:val="0068522F"/>
    <w:rsid w:val="00690F90"/>
    <w:rsid w:val="0069678B"/>
    <w:rsid w:val="006A2431"/>
    <w:rsid w:val="006A58E0"/>
    <w:rsid w:val="006D14F7"/>
    <w:rsid w:val="006E75D6"/>
    <w:rsid w:val="006E7DA1"/>
    <w:rsid w:val="006F4FC7"/>
    <w:rsid w:val="006F7CBD"/>
    <w:rsid w:val="007052F1"/>
    <w:rsid w:val="00717B7E"/>
    <w:rsid w:val="0072082C"/>
    <w:rsid w:val="0073019B"/>
    <w:rsid w:val="00730A8E"/>
    <w:rsid w:val="00740E9D"/>
    <w:rsid w:val="00741402"/>
    <w:rsid w:val="007545D5"/>
    <w:rsid w:val="00754C77"/>
    <w:rsid w:val="00786924"/>
    <w:rsid w:val="007963CF"/>
    <w:rsid w:val="007A6BE6"/>
    <w:rsid w:val="007C2213"/>
    <w:rsid w:val="007D2E63"/>
    <w:rsid w:val="00824435"/>
    <w:rsid w:val="00827385"/>
    <w:rsid w:val="00832CEC"/>
    <w:rsid w:val="00842151"/>
    <w:rsid w:val="00856815"/>
    <w:rsid w:val="008952B1"/>
    <w:rsid w:val="00897B6D"/>
    <w:rsid w:val="008A2B15"/>
    <w:rsid w:val="008A3E89"/>
    <w:rsid w:val="008C2A4F"/>
    <w:rsid w:val="008D0C1C"/>
    <w:rsid w:val="008D4F7C"/>
    <w:rsid w:val="008E609D"/>
    <w:rsid w:val="0090729E"/>
    <w:rsid w:val="00911EE0"/>
    <w:rsid w:val="009309C0"/>
    <w:rsid w:val="00931593"/>
    <w:rsid w:val="0093667D"/>
    <w:rsid w:val="00973421"/>
    <w:rsid w:val="0097685B"/>
    <w:rsid w:val="00983CB7"/>
    <w:rsid w:val="00992ADC"/>
    <w:rsid w:val="0099506C"/>
    <w:rsid w:val="009957B8"/>
    <w:rsid w:val="00995CE1"/>
    <w:rsid w:val="0099666C"/>
    <w:rsid w:val="009A2080"/>
    <w:rsid w:val="009B4F6B"/>
    <w:rsid w:val="009D32FD"/>
    <w:rsid w:val="009D47A6"/>
    <w:rsid w:val="009E4A98"/>
    <w:rsid w:val="009E7D5D"/>
    <w:rsid w:val="009F1C42"/>
    <w:rsid w:val="009F3FC6"/>
    <w:rsid w:val="00A066D6"/>
    <w:rsid w:val="00A14650"/>
    <w:rsid w:val="00A352D4"/>
    <w:rsid w:val="00A43B8B"/>
    <w:rsid w:val="00A51C28"/>
    <w:rsid w:val="00A922C5"/>
    <w:rsid w:val="00A95CA5"/>
    <w:rsid w:val="00AA6E87"/>
    <w:rsid w:val="00AB0136"/>
    <w:rsid w:val="00AB1779"/>
    <w:rsid w:val="00AC3880"/>
    <w:rsid w:val="00AD0284"/>
    <w:rsid w:val="00AE470F"/>
    <w:rsid w:val="00AF58DD"/>
    <w:rsid w:val="00B134A6"/>
    <w:rsid w:val="00B25A79"/>
    <w:rsid w:val="00B34082"/>
    <w:rsid w:val="00B37BAB"/>
    <w:rsid w:val="00B65271"/>
    <w:rsid w:val="00B7289F"/>
    <w:rsid w:val="00B928E8"/>
    <w:rsid w:val="00B977FA"/>
    <w:rsid w:val="00BA142A"/>
    <w:rsid w:val="00BA212E"/>
    <w:rsid w:val="00BB3674"/>
    <w:rsid w:val="00BC0CE4"/>
    <w:rsid w:val="00BC2692"/>
    <w:rsid w:val="00BC2787"/>
    <w:rsid w:val="00BC7BED"/>
    <w:rsid w:val="00BD6FFD"/>
    <w:rsid w:val="00BD75F7"/>
    <w:rsid w:val="00BF4A94"/>
    <w:rsid w:val="00C02FB6"/>
    <w:rsid w:val="00C107C7"/>
    <w:rsid w:val="00C12443"/>
    <w:rsid w:val="00C1679A"/>
    <w:rsid w:val="00C35442"/>
    <w:rsid w:val="00C36A73"/>
    <w:rsid w:val="00C43388"/>
    <w:rsid w:val="00C56AE8"/>
    <w:rsid w:val="00C60A62"/>
    <w:rsid w:val="00C76045"/>
    <w:rsid w:val="00C8677E"/>
    <w:rsid w:val="00C87D50"/>
    <w:rsid w:val="00CB530A"/>
    <w:rsid w:val="00CB54FB"/>
    <w:rsid w:val="00CC769D"/>
    <w:rsid w:val="00CE181A"/>
    <w:rsid w:val="00CF0849"/>
    <w:rsid w:val="00CF5DC5"/>
    <w:rsid w:val="00D02D08"/>
    <w:rsid w:val="00D02EDC"/>
    <w:rsid w:val="00D1562E"/>
    <w:rsid w:val="00D254D3"/>
    <w:rsid w:val="00D26E16"/>
    <w:rsid w:val="00D415D5"/>
    <w:rsid w:val="00D61F80"/>
    <w:rsid w:val="00D85646"/>
    <w:rsid w:val="00D87042"/>
    <w:rsid w:val="00DB3B16"/>
    <w:rsid w:val="00DB55F0"/>
    <w:rsid w:val="00DD1941"/>
    <w:rsid w:val="00DE0C9C"/>
    <w:rsid w:val="00DF0376"/>
    <w:rsid w:val="00DF26D2"/>
    <w:rsid w:val="00DF625C"/>
    <w:rsid w:val="00E065AA"/>
    <w:rsid w:val="00E106E3"/>
    <w:rsid w:val="00E1143D"/>
    <w:rsid w:val="00E13E82"/>
    <w:rsid w:val="00E23D6E"/>
    <w:rsid w:val="00E27A95"/>
    <w:rsid w:val="00E27E14"/>
    <w:rsid w:val="00E340AE"/>
    <w:rsid w:val="00E35F30"/>
    <w:rsid w:val="00E53B0A"/>
    <w:rsid w:val="00E66C12"/>
    <w:rsid w:val="00E67B82"/>
    <w:rsid w:val="00E709E2"/>
    <w:rsid w:val="00E80BDA"/>
    <w:rsid w:val="00E872F3"/>
    <w:rsid w:val="00E91097"/>
    <w:rsid w:val="00EA195F"/>
    <w:rsid w:val="00EA1C10"/>
    <w:rsid w:val="00EA30BF"/>
    <w:rsid w:val="00EB474C"/>
    <w:rsid w:val="00EB52C5"/>
    <w:rsid w:val="00ED08EA"/>
    <w:rsid w:val="00ED0A8C"/>
    <w:rsid w:val="00ED342A"/>
    <w:rsid w:val="00ED736C"/>
    <w:rsid w:val="00EE279E"/>
    <w:rsid w:val="00EE53BE"/>
    <w:rsid w:val="00F167DA"/>
    <w:rsid w:val="00F31057"/>
    <w:rsid w:val="00F34AA4"/>
    <w:rsid w:val="00F36680"/>
    <w:rsid w:val="00F4160A"/>
    <w:rsid w:val="00F41870"/>
    <w:rsid w:val="00F45323"/>
    <w:rsid w:val="00F54C3F"/>
    <w:rsid w:val="00F612AC"/>
    <w:rsid w:val="00F61D28"/>
    <w:rsid w:val="00F64D50"/>
    <w:rsid w:val="00F6551E"/>
    <w:rsid w:val="00F84DF0"/>
    <w:rsid w:val="00F85329"/>
    <w:rsid w:val="00F87442"/>
    <w:rsid w:val="00F91D4D"/>
    <w:rsid w:val="00F96185"/>
    <w:rsid w:val="00FA6718"/>
    <w:rsid w:val="00FB7D4B"/>
    <w:rsid w:val="00FD1A79"/>
    <w:rsid w:val="00FD334E"/>
    <w:rsid w:val="00FD5F18"/>
    <w:rsid w:val="00FD6255"/>
    <w:rsid w:val="00FE1E65"/>
    <w:rsid w:val="00FE37C7"/>
    <w:rsid w:val="00FE5705"/>
    <w:rsid w:val="00FF09B7"/>
    <w:rsid w:val="00FF5AA5"/>
    <w:rsid w:val="02717C9D"/>
    <w:rsid w:val="067D6EBE"/>
    <w:rsid w:val="0C955D75"/>
    <w:rsid w:val="10FD0312"/>
    <w:rsid w:val="120E6874"/>
    <w:rsid w:val="1C4650E9"/>
    <w:rsid w:val="20BF1236"/>
    <w:rsid w:val="23E24EFD"/>
    <w:rsid w:val="270731DD"/>
    <w:rsid w:val="2A0A789F"/>
    <w:rsid w:val="357129F4"/>
    <w:rsid w:val="371050B8"/>
    <w:rsid w:val="41B12153"/>
    <w:rsid w:val="43D16C25"/>
    <w:rsid w:val="45947F31"/>
    <w:rsid w:val="4A501E8E"/>
    <w:rsid w:val="4DF1278B"/>
    <w:rsid w:val="4F6A4B63"/>
    <w:rsid w:val="60087B46"/>
    <w:rsid w:val="629B4EDD"/>
    <w:rsid w:val="6C0B491D"/>
    <w:rsid w:val="706C5AAF"/>
    <w:rsid w:val="74457E42"/>
    <w:rsid w:val="771415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qFormat/>
    <w:uiPriority w:val="0"/>
    <w:pPr>
      <w:jc w:val="left"/>
    </w:pPr>
  </w:style>
  <w:style w:type="paragraph" w:styleId="4">
    <w:name w:val="Date"/>
    <w:basedOn w:val="1"/>
    <w:next w:val="1"/>
    <w:link w:val="18"/>
    <w:qFormat/>
    <w:uiPriority w:val="0"/>
    <w:pPr>
      <w:ind w:left="100" w:leftChars="2500"/>
    </w:pPr>
  </w:style>
  <w:style w:type="paragraph" w:styleId="5">
    <w:name w:val="footer"/>
    <w:basedOn w:val="1"/>
    <w:qFormat/>
    <w:uiPriority w:val="99"/>
    <w:pPr>
      <w:tabs>
        <w:tab w:val="center" w:pos="4153"/>
        <w:tab w:val="right" w:pos="8306"/>
      </w:tabs>
      <w:snapToGrid w:val="0"/>
      <w:jc w:val="left"/>
    </w:pPr>
    <w:rPr>
      <w:sz w:val="18"/>
      <w:szCs w:val="18"/>
      <w:lang w:val="zh-CN"/>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7">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8">
    <w:name w:val="annotation subject"/>
    <w:basedOn w:val="3"/>
    <w:next w:val="3"/>
    <w:link w:val="16"/>
    <w:qFormat/>
    <w:uiPriority w:val="0"/>
    <w:rPr>
      <w:b/>
      <w:bCs/>
    </w:rPr>
  </w:style>
  <w:style w:type="character" w:styleId="11">
    <w:name w:val="Hyperlink"/>
    <w:qFormat/>
    <w:uiPriority w:val="99"/>
    <w:rPr>
      <w:color w:val="0000FF"/>
      <w:u w:val="single"/>
    </w:rPr>
  </w:style>
  <w:style w:type="character" w:styleId="12">
    <w:name w:val="annotation reference"/>
    <w:basedOn w:val="10"/>
    <w:qFormat/>
    <w:uiPriority w:val="0"/>
    <w:rPr>
      <w:sz w:val="21"/>
      <w:szCs w:val="21"/>
    </w:rPr>
  </w:style>
  <w:style w:type="paragraph" w:customStyle="1" w:styleId="13">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5">
    <w:name w:val="批注文字 字符"/>
    <w:basedOn w:val="10"/>
    <w:link w:val="3"/>
    <w:qFormat/>
    <w:uiPriority w:val="0"/>
    <w:rPr>
      <w:kern w:val="2"/>
      <w:sz w:val="21"/>
      <w:szCs w:val="24"/>
    </w:rPr>
  </w:style>
  <w:style w:type="character" w:customStyle="1" w:styleId="16">
    <w:name w:val="批注主题 字符"/>
    <w:basedOn w:val="15"/>
    <w:link w:val="8"/>
    <w:qFormat/>
    <w:uiPriority w:val="0"/>
    <w:rPr>
      <w:b/>
      <w:bCs/>
      <w:kern w:val="2"/>
      <w:sz w:val="21"/>
      <w:szCs w:val="24"/>
    </w:rPr>
  </w:style>
  <w:style w:type="paragraph" w:styleId="17">
    <w:name w:val="List Paragraph"/>
    <w:basedOn w:val="1"/>
    <w:unhideWhenUsed/>
    <w:qFormat/>
    <w:uiPriority w:val="99"/>
    <w:pPr>
      <w:ind w:firstLine="420" w:firstLineChars="200"/>
    </w:pPr>
  </w:style>
  <w:style w:type="character" w:customStyle="1" w:styleId="18">
    <w:name w:val="日期 字符"/>
    <w:basedOn w:val="10"/>
    <w:link w:val="4"/>
    <w:qFormat/>
    <w:uiPriority w:val="0"/>
    <w:rPr>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5804</Words>
  <Characters>6175</Characters>
  <Lines>53</Lines>
  <Paragraphs>15</Paragraphs>
  <TotalTime>3</TotalTime>
  <ScaleCrop>false</ScaleCrop>
  <LinksUpToDate>false</LinksUpToDate>
  <CharactersWithSpaces>6205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2024-07-29T09:40:00Z</cp:lastPrinted>
  <dcterms:modified xsi:type="dcterms:W3CDTF">2024-11-19T09:46:25Z</dcterms:modified>
  <cp:revision>254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