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24205">
      <w:pPr>
        <w:spacing w:line="360" w:lineRule="auto"/>
        <w:jc w:val="center"/>
        <w:rPr>
          <w:rFonts w:ascii="Arial Narrow" w:hAnsi="Arial Narrow"/>
          <w:b/>
          <w:bCs/>
          <w:sz w:val="36"/>
          <w:szCs w:val="36"/>
        </w:rPr>
      </w:pPr>
    </w:p>
    <w:p w14:paraId="7119B1A3">
      <w:pPr>
        <w:spacing w:line="360" w:lineRule="auto"/>
        <w:jc w:val="center"/>
        <w:rPr>
          <w:rFonts w:ascii="Arial Narrow" w:hAnsi="Arial Narrow"/>
          <w:b/>
          <w:bCs/>
          <w:sz w:val="36"/>
          <w:szCs w:val="36"/>
        </w:rPr>
      </w:pPr>
    </w:p>
    <w:p w14:paraId="4F78B939">
      <w:pPr>
        <w:spacing w:line="360" w:lineRule="auto"/>
        <w:jc w:val="center"/>
        <w:rPr>
          <w:rFonts w:ascii="Arial Narrow" w:hAnsi="Arial Narrow"/>
          <w:b/>
          <w:bCs/>
          <w:sz w:val="36"/>
          <w:szCs w:val="36"/>
        </w:rPr>
      </w:pPr>
    </w:p>
    <w:p w14:paraId="69184617">
      <w:pPr>
        <w:spacing w:line="360" w:lineRule="auto"/>
        <w:jc w:val="center"/>
        <w:rPr>
          <w:rFonts w:ascii="Arial Narrow" w:hAnsi="Arial Narrow"/>
          <w:b/>
          <w:bCs/>
          <w:sz w:val="36"/>
          <w:szCs w:val="36"/>
        </w:rPr>
      </w:pPr>
    </w:p>
    <w:p w14:paraId="5528163F">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lang w:val="en-US" w:eastAsia="zh-CN"/>
        </w:rPr>
        <w:t>重庆市</w:t>
      </w:r>
      <w:r>
        <w:rPr>
          <w:rFonts w:hint="eastAsia" w:ascii="Arial Narrow" w:hAnsi="Arial Narrow" w:eastAsia="仿宋"/>
          <w:b/>
          <w:sz w:val="36"/>
          <w:szCs w:val="36"/>
        </w:rPr>
        <w:t>铜梁区民族宗教事务委员会少数民族发展资金项目财政专项衔接资金</w:t>
      </w:r>
    </w:p>
    <w:p w14:paraId="44938172">
      <w:pPr>
        <w:adjustRightInd w:val="0"/>
        <w:snapToGrid w:val="0"/>
        <w:spacing w:line="360" w:lineRule="auto"/>
        <w:jc w:val="center"/>
        <w:rPr>
          <w:rFonts w:ascii="Arial Narrow" w:hAnsi="Arial Narrow"/>
          <w:b/>
          <w:sz w:val="36"/>
          <w:szCs w:val="36"/>
        </w:rPr>
      </w:pPr>
    </w:p>
    <w:p w14:paraId="2191038A">
      <w:pPr>
        <w:adjustRightInd w:val="0"/>
        <w:snapToGrid w:val="0"/>
        <w:spacing w:line="360" w:lineRule="auto"/>
        <w:jc w:val="center"/>
        <w:rPr>
          <w:rFonts w:ascii="Arial Narrow" w:hAnsi="Arial Narrow"/>
          <w:b/>
          <w:spacing w:val="100"/>
          <w:sz w:val="32"/>
          <w:szCs w:val="32"/>
        </w:rPr>
      </w:pPr>
    </w:p>
    <w:p w14:paraId="1AF9EA22">
      <w:pPr>
        <w:adjustRightInd w:val="0"/>
        <w:snapToGrid w:val="0"/>
        <w:spacing w:line="360" w:lineRule="auto"/>
        <w:jc w:val="center"/>
        <w:rPr>
          <w:rFonts w:ascii="Arial Narrow" w:hAnsi="Arial Narrow"/>
          <w:b/>
          <w:spacing w:val="100"/>
          <w:sz w:val="32"/>
          <w:szCs w:val="32"/>
        </w:rPr>
      </w:pPr>
    </w:p>
    <w:p w14:paraId="3E3A9FE1">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4DCF4EAE">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015</w:t>
      </w:r>
      <w:r>
        <w:rPr>
          <w:rFonts w:ascii="Arial Narrow" w:hAnsi="Arial Narrow" w:eastAsia="仿宋"/>
          <w:bCs/>
          <w:sz w:val="32"/>
          <w:szCs w:val="32"/>
        </w:rPr>
        <w:t>号</w:t>
      </w:r>
    </w:p>
    <w:p w14:paraId="64BF3559">
      <w:pPr>
        <w:adjustRightInd w:val="0"/>
        <w:snapToGrid w:val="0"/>
        <w:spacing w:line="360" w:lineRule="auto"/>
        <w:jc w:val="center"/>
        <w:rPr>
          <w:rFonts w:ascii="Arial Narrow" w:hAnsi="Arial Narrow"/>
          <w:b/>
          <w:spacing w:val="100"/>
          <w:sz w:val="32"/>
          <w:szCs w:val="32"/>
        </w:rPr>
      </w:pPr>
    </w:p>
    <w:p w14:paraId="47CCF907">
      <w:pPr>
        <w:adjustRightInd w:val="0"/>
        <w:snapToGrid w:val="0"/>
        <w:spacing w:line="360" w:lineRule="auto"/>
        <w:jc w:val="center"/>
        <w:rPr>
          <w:rFonts w:ascii="Arial Narrow" w:hAnsi="Arial Narrow"/>
          <w:b/>
          <w:spacing w:val="100"/>
          <w:sz w:val="32"/>
          <w:szCs w:val="32"/>
        </w:rPr>
      </w:pPr>
    </w:p>
    <w:p w14:paraId="56670C8C">
      <w:pPr>
        <w:adjustRightInd w:val="0"/>
        <w:snapToGrid w:val="0"/>
        <w:spacing w:line="360" w:lineRule="auto"/>
        <w:jc w:val="center"/>
        <w:rPr>
          <w:rFonts w:ascii="Arial Narrow" w:hAnsi="Arial Narrow"/>
          <w:b/>
          <w:spacing w:val="100"/>
          <w:sz w:val="32"/>
          <w:szCs w:val="32"/>
        </w:rPr>
      </w:pPr>
    </w:p>
    <w:p w14:paraId="022FBCD7">
      <w:pPr>
        <w:adjustRightInd w:val="0"/>
        <w:snapToGrid w:val="0"/>
        <w:spacing w:line="360" w:lineRule="auto"/>
        <w:jc w:val="center"/>
        <w:rPr>
          <w:rFonts w:ascii="Arial Narrow" w:hAnsi="Arial Narrow"/>
          <w:b/>
          <w:spacing w:val="100"/>
          <w:sz w:val="32"/>
          <w:szCs w:val="32"/>
        </w:rPr>
      </w:pPr>
    </w:p>
    <w:p w14:paraId="587CD858">
      <w:pPr>
        <w:adjustRightInd w:val="0"/>
        <w:snapToGrid w:val="0"/>
        <w:spacing w:line="360" w:lineRule="auto"/>
        <w:jc w:val="center"/>
        <w:rPr>
          <w:rFonts w:ascii="Arial Narrow" w:hAnsi="Arial Narrow"/>
          <w:b/>
          <w:spacing w:val="100"/>
          <w:sz w:val="32"/>
          <w:szCs w:val="32"/>
        </w:rPr>
      </w:pPr>
    </w:p>
    <w:p w14:paraId="0955500B">
      <w:pPr>
        <w:adjustRightInd w:val="0"/>
        <w:snapToGrid w:val="0"/>
        <w:spacing w:line="360" w:lineRule="auto"/>
        <w:jc w:val="center"/>
        <w:rPr>
          <w:rFonts w:ascii="Arial Narrow" w:hAnsi="Arial Narrow"/>
          <w:b/>
          <w:spacing w:val="100"/>
          <w:sz w:val="32"/>
          <w:szCs w:val="32"/>
        </w:rPr>
      </w:pPr>
    </w:p>
    <w:p w14:paraId="2818075C">
      <w:pPr>
        <w:adjustRightInd w:val="0"/>
        <w:snapToGrid w:val="0"/>
        <w:spacing w:line="360" w:lineRule="auto"/>
        <w:jc w:val="center"/>
        <w:rPr>
          <w:rFonts w:ascii="Arial Narrow" w:hAnsi="Arial Narrow"/>
          <w:b/>
          <w:spacing w:val="100"/>
          <w:sz w:val="32"/>
          <w:szCs w:val="32"/>
        </w:rPr>
      </w:pPr>
    </w:p>
    <w:p w14:paraId="72AC97A5">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1C4BE531">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目录</w:t>
      </w:r>
    </w:p>
    <w:p w14:paraId="6AB2CF3F">
      <w:pPr>
        <w:spacing w:line="360" w:lineRule="auto"/>
        <w:jc w:val="center"/>
        <w:rPr>
          <w:rFonts w:ascii="Arial Narrow" w:hAnsi="Arial Narrow"/>
          <w:sz w:val="24"/>
        </w:rPr>
      </w:pPr>
    </w:p>
    <w:p w14:paraId="29ADAD2A">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_Toc2923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_Toc2923 \h </w:instrText>
      </w:r>
      <w:r>
        <w:fldChar w:fldCharType="separate"/>
      </w:r>
      <w:r>
        <w:t>1</w:t>
      </w:r>
      <w:r>
        <w:fldChar w:fldCharType="end"/>
      </w:r>
      <w:r>
        <w:rPr>
          <w:rFonts w:ascii="仿宋" w:hAnsi="仿宋" w:eastAsia="仿宋"/>
          <w:bCs w:val="0"/>
          <w:color w:val="auto"/>
          <w:szCs w:val="21"/>
          <w:u w:val="none"/>
        </w:rPr>
        <w:fldChar w:fldCharType="end"/>
      </w:r>
    </w:p>
    <w:p w14:paraId="12EBC0D9">
      <w:pPr>
        <w:pStyle w:val="6"/>
        <w:tabs>
          <w:tab w:val="right" w:leader="dot" w:pos="8788"/>
          <w:tab w:val="clear" w:pos="8778"/>
        </w:tabs>
      </w:pPr>
      <w:r>
        <w:rPr>
          <w:color w:val="auto"/>
          <w:szCs w:val="21"/>
          <w:u w:val="none"/>
        </w:rPr>
        <w:fldChar w:fldCharType="begin"/>
      </w:r>
      <w:r>
        <w:rPr>
          <w:szCs w:val="21"/>
        </w:rPr>
        <w:instrText xml:space="preserve"> HYPERLINK \l _Toc23643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_Toc23643 \h </w:instrText>
      </w:r>
      <w:r>
        <w:fldChar w:fldCharType="separate"/>
      </w:r>
      <w:r>
        <w:t>1</w:t>
      </w:r>
      <w:r>
        <w:fldChar w:fldCharType="end"/>
      </w:r>
      <w:r>
        <w:rPr>
          <w:color w:val="auto"/>
          <w:szCs w:val="21"/>
          <w:u w:val="none"/>
        </w:rPr>
        <w:fldChar w:fldCharType="end"/>
      </w:r>
    </w:p>
    <w:p w14:paraId="4A304E2D">
      <w:pPr>
        <w:pStyle w:val="6"/>
        <w:tabs>
          <w:tab w:val="right" w:leader="dot" w:pos="8788"/>
          <w:tab w:val="clear" w:pos="8778"/>
        </w:tabs>
      </w:pPr>
      <w:r>
        <w:rPr>
          <w:color w:val="auto"/>
          <w:szCs w:val="21"/>
          <w:u w:val="none"/>
        </w:rPr>
        <w:fldChar w:fldCharType="begin"/>
      </w:r>
      <w:r>
        <w:rPr>
          <w:szCs w:val="21"/>
        </w:rPr>
        <w:instrText xml:space="preserve"> HYPERLINK \l _Toc26191 </w:instrText>
      </w:r>
      <w:r>
        <w:rPr>
          <w:szCs w:val="21"/>
        </w:rPr>
        <w:fldChar w:fldCharType="separate"/>
      </w:r>
      <w:r>
        <w:rPr>
          <w:rFonts w:ascii="Arial Narrow" w:hAnsi="Arial Narrow" w:eastAsia="仿宋_GB2312"/>
        </w:rPr>
        <w:t>二、绩效评价工作情况</w:t>
      </w:r>
      <w:r>
        <w:tab/>
      </w:r>
      <w:r>
        <w:fldChar w:fldCharType="begin"/>
      </w:r>
      <w:r>
        <w:instrText xml:space="preserve"> PAGEREF _Toc26191 \h </w:instrText>
      </w:r>
      <w:r>
        <w:fldChar w:fldCharType="separate"/>
      </w:r>
      <w:r>
        <w:t>1</w:t>
      </w:r>
      <w:r>
        <w:fldChar w:fldCharType="end"/>
      </w:r>
      <w:r>
        <w:rPr>
          <w:color w:val="auto"/>
          <w:szCs w:val="21"/>
          <w:u w:val="none"/>
        </w:rPr>
        <w:fldChar w:fldCharType="end"/>
      </w:r>
    </w:p>
    <w:p w14:paraId="5B080129">
      <w:pPr>
        <w:pStyle w:val="6"/>
        <w:tabs>
          <w:tab w:val="right" w:leader="dot" w:pos="8788"/>
          <w:tab w:val="clear" w:pos="8778"/>
        </w:tabs>
      </w:pPr>
      <w:r>
        <w:rPr>
          <w:color w:val="auto"/>
          <w:szCs w:val="21"/>
          <w:u w:val="none"/>
        </w:rPr>
        <w:fldChar w:fldCharType="begin"/>
      </w:r>
      <w:r>
        <w:rPr>
          <w:szCs w:val="21"/>
        </w:rPr>
        <w:instrText xml:space="preserve"> HYPERLINK \l _Toc7064 </w:instrText>
      </w:r>
      <w:r>
        <w:rPr>
          <w:szCs w:val="21"/>
        </w:rPr>
        <w:fldChar w:fldCharType="separate"/>
      </w:r>
      <w:r>
        <w:rPr>
          <w:rFonts w:ascii="Arial Narrow" w:hAnsi="Arial Narrow" w:eastAsia="仿宋_GB2312"/>
        </w:rPr>
        <w:t>（一）绩效评价目的</w:t>
      </w:r>
      <w:r>
        <w:tab/>
      </w:r>
      <w:r>
        <w:fldChar w:fldCharType="begin"/>
      </w:r>
      <w:r>
        <w:instrText xml:space="preserve"> PAGEREF _Toc7064 \h </w:instrText>
      </w:r>
      <w:r>
        <w:fldChar w:fldCharType="separate"/>
      </w:r>
      <w:r>
        <w:t>1</w:t>
      </w:r>
      <w:r>
        <w:fldChar w:fldCharType="end"/>
      </w:r>
      <w:r>
        <w:rPr>
          <w:color w:val="auto"/>
          <w:szCs w:val="21"/>
          <w:u w:val="none"/>
        </w:rPr>
        <w:fldChar w:fldCharType="end"/>
      </w:r>
    </w:p>
    <w:p w14:paraId="0A80119C">
      <w:pPr>
        <w:pStyle w:val="6"/>
        <w:tabs>
          <w:tab w:val="right" w:leader="dot" w:pos="8788"/>
          <w:tab w:val="clear" w:pos="8778"/>
        </w:tabs>
      </w:pPr>
      <w:r>
        <w:rPr>
          <w:color w:val="auto"/>
          <w:szCs w:val="21"/>
          <w:u w:val="none"/>
        </w:rPr>
        <w:fldChar w:fldCharType="begin"/>
      </w:r>
      <w:r>
        <w:rPr>
          <w:szCs w:val="21"/>
        </w:rPr>
        <w:instrText xml:space="preserve"> HYPERLINK \l _Toc26111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_Toc26111 \h </w:instrText>
      </w:r>
      <w:r>
        <w:fldChar w:fldCharType="separate"/>
      </w:r>
      <w:r>
        <w:t>2</w:t>
      </w:r>
      <w:r>
        <w:fldChar w:fldCharType="end"/>
      </w:r>
      <w:r>
        <w:rPr>
          <w:color w:val="auto"/>
          <w:szCs w:val="21"/>
          <w:u w:val="none"/>
        </w:rPr>
        <w:fldChar w:fldCharType="end"/>
      </w:r>
    </w:p>
    <w:p w14:paraId="7EAA86B9">
      <w:pPr>
        <w:pStyle w:val="6"/>
        <w:tabs>
          <w:tab w:val="right" w:leader="dot" w:pos="8788"/>
          <w:tab w:val="clear" w:pos="8778"/>
        </w:tabs>
      </w:pPr>
      <w:r>
        <w:rPr>
          <w:color w:val="auto"/>
          <w:szCs w:val="21"/>
          <w:u w:val="none"/>
        </w:rPr>
        <w:fldChar w:fldCharType="begin"/>
      </w:r>
      <w:r>
        <w:rPr>
          <w:szCs w:val="21"/>
        </w:rPr>
        <w:instrText xml:space="preserve"> HYPERLINK \l _Toc23799 </w:instrText>
      </w:r>
      <w:r>
        <w:rPr>
          <w:szCs w:val="21"/>
        </w:rPr>
        <w:fldChar w:fldCharType="separate"/>
      </w:r>
      <w:r>
        <w:rPr>
          <w:rFonts w:ascii="Arial Narrow" w:hAnsi="Arial Narrow" w:eastAsia="仿宋_GB2312"/>
        </w:rPr>
        <w:t>（三）绩效评价依据</w:t>
      </w:r>
      <w:r>
        <w:tab/>
      </w:r>
      <w:r>
        <w:fldChar w:fldCharType="begin"/>
      </w:r>
      <w:r>
        <w:instrText xml:space="preserve"> PAGEREF _Toc23799 \h </w:instrText>
      </w:r>
      <w:r>
        <w:fldChar w:fldCharType="separate"/>
      </w:r>
      <w:r>
        <w:t>2</w:t>
      </w:r>
      <w:r>
        <w:fldChar w:fldCharType="end"/>
      </w:r>
      <w:r>
        <w:rPr>
          <w:color w:val="auto"/>
          <w:szCs w:val="21"/>
          <w:u w:val="none"/>
        </w:rPr>
        <w:fldChar w:fldCharType="end"/>
      </w:r>
    </w:p>
    <w:p w14:paraId="364BD398">
      <w:pPr>
        <w:pStyle w:val="6"/>
        <w:tabs>
          <w:tab w:val="right" w:leader="dot" w:pos="8788"/>
          <w:tab w:val="clear" w:pos="8778"/>
        </w:tabs>
      </w:pPr>
      <w:r>
        <w:rPr>
          <w:color w:val="auto"/>
          <w:szCs w:val="21"/>
          <w:u w:val="none"/>
        </w:rPr>
        <w:fldChar w:fldCharType="begin"/>
      </w:r>
      <w:r>
        <w:rPr>
          <w:szCs w:val="21"/>
        </w:rPr>
        <w:instrText xml:space="preserve"> HYPERLINK \l _Toc30389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_Toc30389 \h </w:instrText>
      </w:r>
      <w:r>
        <w:fldChar w:fldCharType="separate"/>
      </w:r>
      <w:r>
        <w:t>2</w:t>
      </w:r>
      <w:r>
        <w:fldChar w:fldCharType="end"/>
      </w:r>
      <w:r>
        <w:rPr>
          <w:color w:val="auto"/>
          <w:szCs w:val="21"/>
          <w:u w:val="none"/>
        </w:rPr>
        <w:fldChar w:fldCharType="end"/>
      </w:r>
    </w:p>
    <w:p w14:paraId="3B7D5EDE">
      <w:pPr>
        <w:pStyle w:val="6"/>
        <w:tabs>
          <w:tab w:val="right" w:leader="dot" w:pos="8788"/>
          <w:tab w:val="clear" w:pos="8778"/>
        </w:tabs>
      </w:pPr>
      <w:r>
        <w:rPr>
          <w:color w:val="auto"/>
          <w:szCs w:val="21"/>
          <w:u w:val="none"/>
        </w:rPr>
        <w:fldChar w:fldCharType="begin"/>
      </w:r>
      <w:r>
        <w:rPr>
          <w:szCs w:val="21"/>
        </w:rPr>
        <w:instrText xml:space="preserve"> HYPERLINK \l _Toc27132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_Toc27132 \h </w:instrText>
      </w:r>
      <w:r>
        <w:fldChar w:fldCharType="separate"/>
      </w:r>
      <w:r>
        <w:t>5</w:t>
      </w:r>
      <w:r>
        <w:fldChar w:fldCharType="end"/>
      </w:r>
      <w:r>
        <w:rPr>
          <w:color w:val="auto"/>
          <w:szCs w:val="21"/>
          <w:u w:val="none"/>
        </w:rPr>
        <w:fldChar w:fldCharType="end"/>
      </w:r>
    </w:p>
    <w:p w14:paraId="5D271234">
      <w:pPr>
        <w:pStyle w:val="6"/>
        <w:tabs>
          <w:tab w:val="right" w:leader="dot" w:pos="8788"/>
          <w:tab w:val="clear" w:pos="8778"/>
        </w:tabs>
      </w:pPr>
      <w:r>
        <w:rPr>
          <w:color w:val="auto"/>
          <w:szCs w:val="21"/>
          <w:u w:val="none"/>
        </w:rPr>
        <w:fldChar w:fldCharType="begin"/>
      </w:r>
      <w:r>
        <w:rPr>
          <w:szCs w:val="21"/>
        </w:rPr>
        <w:instrText xml:space="preserve"> HYPERLINK \l _Toc22862 </w:instrText>
      </w:r>
      <w:r>
        <w:rPr>
          <w:szCs w:val="21"/>
        </w:rPr>
        <w:fldChar w:fldCharType="separate"/>
      </w:r>
      <w:r>
        <w:rPr>
          <w:rFonts w:ascii="Arial Narrow" w:hAnsi="Arial Narrow" w:eastAsia="仿宋_GB2312"/>
        </w:rPr>
        <w:t>（六）绩效评价工作过程</w:t>
      </w:r>
      <w:r>
        <w:tab/>
      </w:r>
      <w:r>
        <w:fldChar w:fldCharType="begin"/>
      </w:r>
      <w:r>
        <w:instrText xml:space="preserve"> PAGEREF _Toc22862 \h </w:instrText>
      </w:r>
      <w:r>
        <w:fldChar w:fldCharType="separate"/>
      </w:r>
      <w:r>
        <w:t>5</w:t>
      </w:r>
      <w:r>
        <w:fldChar w:fldCharType="end"/>
      </w:r>
      <w:r>
        <w:rPr>
          <w:color w:val="auto"/>
          <w:szCs w:val="21"/>
          <w:u w:val="none"/>
        </w:rPr>
        <w:fldChar w:fldCharType="end"/>
      </w:r>
    </w:p>
    <w:p w14:paraId="0321D790">
      <w:pPr>
        <w:pStyle w:val="6"/>
        <w:tabs>
          <w:tab w:val="right" w:leader="dot" w:pos="8788"/>
          <w:tab w:val="clear" w:pos="8778"/>
        </w:tabs>
      </w:pPr>
      <w:r>
        <w:rPr>
          <w:color w:val="auto"/>
          <w:szCs w:val="21"/>
          <w:u w:val="none"/>
        </w:rPr>
        <w:fldChar w:fldCharType="begin"/>
      </w:r>
      <w:r>
        <w:rPr>
          <w:szCs w:val="21"/>
        </w:rPr>
        <w:instrText xml:space="preserve"> HYPERLINK \l _Toc20436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_Toc20436 \h </w:instrText>
      </w:r>
      <w:r>
        <w:fldChar w:fldCharType="separate"/>
      </w:r>
      <w:r>
        <w:t>6</w:t>
      </w:r>
      <w:r>
        <w:fldChar w:fldCharType="end"/>
      </w:r>
      <w:r>
        <w:rPr>
          <w:color w:val="auto"/>
          <w:szCs w:val="21"/>
          <w:u w:val="none"/>
        </w:rPr>
        <w:fldChar w:fldCharType="end"/>
      </w:r>
    </w:p>
    <w:p w14:paraId="62646178">
      <w:pPr>
        <w:pStyle w:val="6"/>
        <w:tabs>
          <w:tab w:val="right" w:leader="dot" w:pos="8788"/>
          <w:tab w:val="clear" w:pos="8778"/>
        </w:tabs>
      </w:pPr>
      <w:r>
        <w:rPr>
          <w:color w:val="auto"/>
          <w:szCs w:val="21"/>
          <w:u w:val="none"/>
        </w:rPr>
        <w:fldChar w:fldCharType="begin"/>
      </w:r>
      <w:r>
        <w:rPr>
          <w:szCs w:val="21"/>
        </w:rPr>
        <w:instrText xml:space="preserve"> HYPERLINK \l _Toc32515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_Toc32515 \h </w:instrText>
      </w:r>
      <w:r>
        <w:fldChar w:fldCharType="separate"/>
      </w:r>
      <w:r>
        <w:t>6</w:t>
      </w:r>
      <w:r>
        <w:fldChar w:fldCharType="end"/>
      </w:r>
      <w:r>
        <w:rPr>
          <w:color w:val="auto"/>
          <w:szCs w:val="21"/>
          <w:u w:val="none"/>
        </w:rPr>
        <w:fldChar w:fldCharType="end"/>
      </w:r>
    </w:p>
    <w:p w14:paraId="700F57B7">
      <w:pPr>
        <w:pStyle w:val="6"/>
        <w:tabs>
          <w:tab w:val="right" w:leader="dot" w:pos="8788"/>
          <w:tab w:val="clear" w:pos="8778"/>
        </w:tabs>
      </w:pPr>
      <w:r>
        <w:rPr>
          <w:color w:val="auto"/>
          <w:szCs w:val="21"/>
          <w:u w:val="none"/>
        </w:rPr>
        <w:fldChar w:fldCharType="begin"/>
      </w:r>
      <w:r>
        <w:rPr>
          <w:szCs w:val="21"/>
        </w:rPr>
        <w:instrText xml:space="preserve"> HYPERLINK \l _Toc22691 </w:instrText>
      </w:r>
      <w:r>
        <w:rPr>
          <w:szCs w:val="21"/>
        </w:rPr>
        <w:fldChar w:fldCharType="separate"/>
      </w:r>
      <w:r>
        <w:rPr>
          <w:rFonts w:hint="eastAsia" w:ascii="仿宋_GB2312" w:eastAsia="仿宋_GB2312"/>
        </w:rPr>
        <w:t>（一）资金管理</w:t>
      </w:r>
      <w:r>
        <w:tab/>
      </w:r>
      <w:r>
        <w:fldChar w:fldCharType="begin"/>
      </w:r>
      <w:r>
        <w:instrText xml:space="preserve"> PAGEREF _Toc22691 \h </w:instrText>
      </w:r>
      <w:r>
        <w:fldChar w:fldCharType="separate"/>
      </w:r>
      <w:r>
        <w:t>6</w:t>
      </w:r>
      <w:r>
        <w:fldChar w:fldCharType="end"/>
      </w:r>
      <w:r>
        <w:rPr>
          <w:color w:val="auto"/>
          <w:szCs w:val="21"/>
          <w:u w:val="none"/>
        </w:rPr>
        <w:fldChar w:fldCharType="end"/>
      </w:r>
    </w:p>
    <w:p w14:paraId="6818C67F">
      <w:pPr>
        <w:pStyle w:val="6"/>
        <w:tabs>
          <w:tab w:val="right" w:leader="dot" w:pos="8788"/>
          <w:tab w:val="clear" w:pos="8778"/>
        </w:tabs>
      </w:pPr>
      <w:r>
        <w:rPr>
          <w:color w:val="auto"/>
          <w:szCs w:val="21"/>
          <w:u w:val="none"/>
        </w:rPr>
        <w:fldChar w:fldCharType="begin"/>
      </w:r>
      <w:r>
        <w:rPr>
          <w:szCs w:val="21"/>
        </w:rPr>
        <w:instrText xml:space="preserve"> HYPERLINK \l _Toc30699 </w:instrText>
      </w:r>
      <w:r>
        <w:rPr>
          <w:szCs w:val="21"/>
        </w:rPr>
        <w:fldChar w:fldCharType="separate"/>
      </w:r>
      <w:r>
        <w:rPr>
          <w:rFonts w:hint="eastAsia" w:ascii="仿宋_GB2312" w:eastAsia="仿宋_GB2312"/>
        </w:rPr>
        <w:t>（二）项目管理</w:t>
      </w:r>
      <w:r>
        <w:tab/>
      </w:r>
      <w:r>
        <w:fldChar w:fldCharType="begin"/>
      </w:r>
      <w:r>
        <w:instrText xml:space="preserve"> PAGEREF _Toc30699 \h </w:instrText>
      </w:r>
      <w:r>
        <w:fldChar w:fldCharType="separate"/>
      </w:r>
      <w:r>
        <w:t>6</w:t>
      </w:r>
      <w:r>
        <w:fldChar w:fldCharType="end"/>
      </w:r>
      <w:r>
        <w:rPr>
          <w:color w:val="auto"/>
          <w:szCs w:val="21"/>
          <w:u w:val="none"/>
        </w:rPr>
        <w:fldChar w:fldCharType="end"/>
      </w:r>
    </w:p>
    <w:p w14:paraId="71E07653">
      <w:pPr>
        <w:pStyle w:val="6"/>
        <w:tabs>
          <w:tab w:val="right" w:leader="dot" w:pos="8788"/>
          <w:tab w:val="clear" w:pos="8778"/>
        </w:tabs>
      </w:pPr>
      <w:r>
        <w:rPr>
          <w:color w:val="auto"/>
          <w:szCs w:val="21"/>
          <w:u w:val="none"/>
        </w:rPr>
        <w:fldChar w:fldCharType="begin"/>
      </w:r>
      <w:r>
        <w:rPr>
          <w:szCs w:val="21"/>
        </w:rPr>
        <w:instrText xml:space="preserve"> HYPERLINK \l _Toc12421 </w:instrText>
      </w:r>
      <w:r>
        <w:rPr>
          <w:szCs w:val="21"/>
        </w:rPr>
        <w:fldChar w:fldCharType="separate"/>
      </w:r>
      <w:r>
        <w:rPr>
          <w:rFonts w:hint="eastAsia" w:ascii="仿宋_GB2312" w:eastAsia="仿宋_GB2312"/>
        </w:rPr>
        <w:t>（三）使用成效及通报情况</w:t>
      </w:r>
      <w:r>
        <w:tab/>
      </w:r>
      <w:r>
        <w:fldChar w:fldCharType="begin"/>
      </w:r>
      <w:r>
        <w:instrText xml:space="preserve"> PAGEREF _Toc12421 \h </w:instrText>
      </w:r>
      <w:r>
        <w:fldChar w:fldCharType="separate"/>
      </w:r>
      <w:r>
        <w:t>7</w:t>
      </w:r>
      <w:r>
        <w:fldChar w:fldCharType="end"/>
      </w:r>
      <w:r>
        <w:rPr>
          <w:color w:val="auto"/>
          <w:szCs w:val="21"/>
          <w:u w:val="none"/>
        </w:rPr>
        <w:fldChar w:fldCharType="end"/>
      </w:r>
    </w:p>
    <w:p w14:paraId="521E8340">
      <w:pPr>
        <w:pStyle w:val="6"/>
        <w:tabs>
          <w:tab w:val="right" w:leader="dot" w:pos="8788"/>
          <w:tab w:val="clear" w:pos="8778"/>
        </w:tabs>
      </w:pPr>
      <w:r>
        <w:rPr>
          <w:color w:val="auto"/>
          <w:szCs w:val="21"/>
          <w:u w:val="none"/>
        </w:rPr>
        <w:fldChar w:fldCharType="begin"/>
      </w:r>
      <w:r>
        <w:rPr>
          <w:szCs w:val="21"/>
        </w:rPr>
        <w:instrText xml:space="preserve"> HYPERLINK \l _Toc12945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_Toc12945 \h </w:instrText>
      </w:r>
      <w:r>
        <w:fldChar w:fldCharType="separate"/>
      </w:r>
      <w:r>
        <w:t>7</w:t>
      </w:r>
      <w:r>
        <w:fldChar w:fldCharType="end"/>
      </w:r>
      <w:r>
        <w:rPr>
          <w:color w:val="auto"/>
          <w:szCs w:val="21"/>
          <w:u w:val="none"/>
        </w:rPr>
        <w:fldChar w:fldCharType="end"/>
      </w:r>
    </w:p>
    <w:p w14:paraId="5C2A08F4">
      <w:pPr>
        <w:pStyle w:val="6"/>
        <w:tabs>
          <w:tab w:val="right" w:leader="dot" w:pos="8788"/>
          <w:tab w:val="clear" w:pos="8778"/>
        </w:tabs>
      </w:pPr>
      <w:r>
        <w:rPr>
          <w:color w:val="auto"/>
          <w:szCs w:val="21"/>
          <w:u w:val="none"/>
        </w:rPr>
        <w:fldChar w:fldCharType="begin"/>
      </w:r>
      <w:r>
        <w:rPr>
          <w:szCs w:val="21"/>
        </w:rPr>
        <w:instrText xml:space="preserve"> HYPERLINK \l _Toc6993 </w:instrText>
      </w:r>
      <w:r>
        <w:rPr>
          <w:szCs w:val="21"/>
        </w:rPr>
        <w:fldChar w:fldCharType="separate"/>
      </w:r>
      <w:r>
        <w:rPr>
          <w:rFonts w:hint="eastAsia" w:ascii="仿宋_GB2312" w:eastAsia="仿宋_GB2312"/>
        </w:rPr>
        <w:t>（一）存在问题</w:t>
      </w:r>
      <w:r>
        <w:tab/>
      </w:r>
      <w:r>
        <w:fldChar w:fldCharType="begin"/>
      </w:r>
      <w:r>
        <w:instrText xml:space="preserve"> PAGEREF _Toc6993 \h </w:instrText>
      </w:r>
      <w:r>
        <w:fldChar w:fldCharType="separate"/>
      </w:r>
      <w:r>
        <w:t>7</w:t>
      </w:r>
      <w:r>
        <w:fldChar w:fldCharType="end"/>
      </w:r>
      <w:r>
        <w:rPr>
          <w:color w:val="auto"/>
          <w:szCs w:val="21"/>
          <w:u w:val="none"/>
        </w:rPr>
        <w:fldChar w:fldCharType="end"/>
      </w:r>
    </w:p>
    <w:p w14:paraId="55C5CC4A">
      <w:pPr>
        <w:pStyle w:val="6"/>
        <w:tabs>
          <w:tab w:val="right" w:leader="dot" w:pos="8788"/>
          <w:tab w:val="clear" w:pos="8778"/>
        </w:tabs>
      </w:pPr>
      <w:r>
        <w:rPr>
          <w:color w:val="auto"/>
          <w:szCs w:val="21"/>
          <w:u w:val="none"/>
        </w:rPr>
        <w:fldChar w:fldCharType="begin"/>
      </w:r>
      <w:r>
        <w:rPr>
          <w:szCs w:val="21"/>
        </w:rPr>
        <w:instrText xml:space="preserve"> HYPERLINK \l _Toc32027 </w:instrText>
      </w:r>
      <w:r>
        <w:rPr>
          <w:szCs w:val="21"/>
        </w:rPr>
        <w:fldChar w:fldCharType="separate"/>
      </w:r>
      <w:r>
        <w:rPr>
          <w:rFonts w:hint="eastAsia" w:ascii="仿宋_GB2312" w:eastAsia="仿宋_GB2312"/>
        </w:rPr>
        <w:t>（二）建议</w:t>
      </w:r>
      <w:r>
        <w:tab/>
      </w:r>
      <w:r>
        <w:fldChar w:fldCharType="begin"/>
      </w:r>
      <w:r>
        <w:instrText xml:space="preserve"> PAGEREF _Toc32027 \h </w:instrText>
      </w:r>
      <w:r>
        <w:fldChar w:fldCharType="separate"/>
      </w:r>
      <w:r>
        <w:t>7</w:t>
      </w:r>
      <w:r>
        <w:fldChar w:fldCharType="end"/>
      </w:r>
      <w:r>
        <w:rPr>
          <w:color w:val="auto"/>
          <w:szCs w:val="21"/>
          <w:u w:val="none"/>
        </w:rPr>
        <w:fldChar w:fldCharType="end"/>
      </w:r>
    </w:p>
    <w:p w14:paraId="7701F75E">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413A2C27">
      <w:pPr>
        <w:spacing w:line="360" w:lineRule="auto"/>
        <w:jc w:val="right"/>
        <w:rPr>
          <w:rFonts w:ascii="Arial Narrow" w:hAnsi="Arial Narrow"/>
          <w:bCs/>
          <w:w w:val="80"/>
          <w:sz w:val="28"/>
          <w:szCs w:val="28"/>
        </w:rPr>
      </w:pPr>
    </w:p>
    <w:p w14:paraId="7151E67E">
      <w:pPr>
        <w:spacing w:line="360" w:lineRule="auto"/>
        <w:jc w:val="right"/>
        <w:rPr>
          <w:rFonts w:ascii="Arial Narrow" w:hAnsi="Arial Narrow"/>
          <w:bCs/>
          <w:w w:val="80"/>
          <w:sz w:val="28"/>
          <w:szCs w:val="28"/>
        </w:rPr>
      </w:pPr>
    </w:p>
    <w:p w14:paraId="6DD75C8D">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539F22BC">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ascii="MS Mincho" w:hAnsi="MS Mincho" w:eastAsia="MS Mincho"/>
          <w:b/>
          <w:kern w:val="0"/>
          <w:sz w:val="32"/>
          <w:szCs w:val="20"/>
        </w:rPr>
        <w:t>MingHongJinQuan</w:t>
      </w:r>
      <w:r>
        <w:rPr>
          <w:rFonts w:ascii="MS Mincho" w:hAnsi="MS Mincho" w:eastAsia="MS Mincho"/>
          <w:b/>
          <w:kern w:val="0"/>
          <w:sz w:val="32"/>
          <w:szCs w:val="20"/>
          <w:lang w:eastAsia="zh-TW"/>
        </w:rPr>
        <w:t>CertifiedPublicAccountants</w:t>
      </w:r>
    </w:p>
    <w:p w14:paraId="104DCDAB">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015</w:t>
      </w:r>
      <w:r>
        <w:rPr>
          <w:rFonts w:hint="eastAsia" w:ascii="Arial Narrow" w:hAnsi="Arial Narrow" w:eastAsia="仿宋_GB2312"/>
          <w:sz w:val="28"/>
          <w:szCs w:val="28"/>
        </w:rPr>
        <w:t>号</w:t>
      </w:r>
    </w:p>
    <w:p w14:paraId="782B0A10">
      <w:pPr>
        <w:spacing w:line="360" w:lineRule="auto"/>
        <w:jc w:val="distribute"/>
        <w:rPr>
          <w:rFonts w:ascii="Arial Narrow" w:hAnsi="Arial Narrow"/>
          <w:w w:val="94"/>
        </w:rPr>
      </w:pPr>
      <w:r>
        <w:rPr>
          <w:rFonts w:hint="eastAsia" w:ascii="宋体" w:hAnsi="宋体" w:cs="宋体"/>
          <w:b/>
          <w:bCs/>
          <w:w w:val="94"/>
          <w:sz w:val="36"/>
          <w:szCs w:val="36"/>
        </w:rPr>
        <w:t>━━━━━━━━━━━━</w:t>
      </w:r>
      <w:r>
        <w:rPr>
          <w:rFonts w:ascii="Segoe UI Symbol" w:hAnsi="Segoe UI Symbol" w:cs="Segoe UI Symbol"/>
          <w:b/>
          <w:bCs/>
          <w:w w:val="94"/>
          <w:sz w:val="36"/>
          <w:szCs w:val="36"/>
        </w:rPr>
        <w:t>★</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0FD07A00">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lang w:val="en-US" w:eastAsia="zh-CN"/>
        </w:rPr>
        <w:t>铜梁区</w:t>
      </w:r>
      <w:r>
        <w:rPr>
          <w:rStyle w:val="10"/>
          <w:rFonts w:hint="eastAsia" w:ascii="Arial Narrow" w:hAnsi="Arial Narrow" w:eastAsia="仿宋_GB2312"/>
          <w:b/>
          <w:color w:val="auto"/>
          <w:sz w:val="36"/>
          <w:szCs w:val="36"/>
          <w:u w:val="none"/>
        </w:rPr>
        <w:t>民族宗教事务委员会少数</w:t>
      </w:r>
      <w:r>
        <w:rPr>
          <w:rStyle w:val="10"/>
          <w:rFonts w:hint="eastAsia" w:ascii="Arial Narrow" w:hAnsi="Arial Narrow" w:eastAsia="仿宋_GB2312"/>
          <w:b/>
          <w:color w:val="auto"/>
          <w:sz w:val="36"/>
          <w:szCs w:val="36"/>
          <w:u w:val="none"/>
          <w:lang w:eastAsia="zh-CN"/>
        </w:rPr>
        <w:t>民</w:t>
      </w:r>
      <w:r>
        <w:rPr>
          <w:rStyle w:val="10"/>
          <w:rFonts w:hint="eastAsia" w:ascii="Arial Narrow" w:hAnsi="Arial Narrow" w:eastAsia="仿宋_GB2312"/>
          <w:b/>
          <w:color w:val="auto"/>
          <w:sz w:val="36"/>
          <w:szCs w:val="36"/>
          <w:u w:val="none"/>
        </w:rPr>
        <w:t>族发展资金项目</w:t>
      </w:r>
    </w:p>
    <w:p w14:paraId="1F33CD86">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60AC04EC">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lang w:val="en-US" w:eastAsia="zh-CN"/>
        </w:rPr>
        <w:t>铜梁区</w:t>
      </w:r>
      <w:r>
        <w:rPr>
          <w:rFonts w:hint="eastAsia" w:ascii="Arial Narrow" w:hAnsi="Arial Narrow" w:eastAsia="仿宋_GB2312"/>
          <w:color w:val="auto"/>
        </w:rPr>
        <w:t>民族宗教事务委员会（以下简称</w:t>
      </w:r>
      <w:r>
        <w:rPr>
          <w:rFonts w:hint="eastAsia" w:ascii="Arial Narrow" w:hAnsi="Arial Narrow" w:eastAsia="仿宋_GB2312"/>
          <w:color w:val="auto"/>
          <w:lang w:eastAsia="zh-CN"/>
        </w:rPr>
        <w:t>“</w:t>
      </w:r>
      <w:r>
        <w:rPr>
          <w:rFonts w:hint="eastAsia" w:ascii="Arial Narrow" w:hAnsi="Arial Narrow" w:eastAsia="仿宋_GB2312"/>
          <w:color w:val="auto"/>
        </w:rPr>
        <w:t>区民宗委</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少数</w:t>
      </w:r>
      <w:r>
        <w:rPr>
          <w:rFonts w:hint="eastAsia" w:ascii="Arial Narrow" w:hAnsi="Arial Narrow" w:eastAsia="仿宋_GB2312"/>
          <w:color w:val="auto"/>
          <w:lang w:eastAsia="zh-CN"/>
        </w:rPr>
        <w:t>民</w:t>
      </w:r>
      <w:r>
        <w:rPr>
          <w:rFonts w:hint="eastAsia" w:ascii="Arial Narrow" w:hAnsi="Arial Narrow" w:eastAsia="仿宋_GB2312"/>
          <w:color w:val="auto"/>
        </w:rPr>
        <w:t>族发展资金项目财政专项衔接资金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6AE129E8">
      <w:pPr>
        <w:spacing w:before="240" w:beforeLines="100" w:line="360" w:lineRule="auto"/>
        <w:ind w:firstLine="482" w:firstLineChars="200"/>
        <w:jc w:val="left"/>
        <w:outlineLvl w:val="0"/>
        <w:rPr>
          <w:rFonts w:ascii="Arial Narrow" w:hAnsi="Arial Narrow" w:eastAsia="仿宋_GB2312"/>
          <w:b/>
          <w:sz w:val="24"/>
        </w:rPr>
      </w:pPr>
      <w:bookmarkStart w:id="3" w:name="_Toc2923"/>
      <w:r>
        <w:rPr>
          <w:rFonts w:ascii="Arial Narrow" w:hAnsi="Arial Narrow" w:eastAsia="仿宋_GB2312"/>
          <w:b/>
          <w:sz w:val="24"/>
        </w:rPr>
        <w:t>一、基本情况</w:t>
      </w:r>
      <w:bookmarkEnd w:id="3"/>
    </w:p>
    <w:p w14:paraId="758C39BE">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23643"/>
      <w:r>
        <w:rPr>
          <w:rFonts w:hint="eastAsia" w:ascii="Arial Narrow" w:hAnsi="Arial Narrow" w:eastAsia="仿宋" w:cs="宋体"/>
          <w:b/>
          <w:bCs/>
          <w:kern w:val="0"/>
          <w:sz w:val="24"/>
        </w:rPr>
        <w:t>（一）项目情况</w:t>
      </w:r>
      <w:bookmarkEnd w:id="4"/>
    </w:p>
    <w:p w14:paraId="4A68122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项目名称：少数</w:t>
      </w:r>
      <w:r>
        <w:rPr>
          <w:rFonts w:hint="eastAsia" w:ascii="Arial Narrow" w:hAnsi="Arial Narrow" w:eastAsia="仿宋_GB2312" w:cs="宋体"/>
          <w:kern w:val="0"/>
          <w:sz w:val="24"/>
          <w:lang w:eastAsia="zh-CN"/>
        </w:rPr>
        <w:t>民</w:t>
      </w:r>
      <w:r>
        <w:rPr>
          <w:rFonts w:hint="eastAsia" w:ascii="Arial Narrow" w:hAnsi="Arial Narrow" w:eastAsia="仿宋_GB2312" w:cs="宋体"/>
          <w:kern w:val="0"/>
          <w:sz w:val="24"/>
        </w:rPr>
        <w:t>族发展资金</w:t>
      </w:r>
    </w:p>
    <w:p w14:paraId="27CAD7F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w:t>
      </w:r>
      <w:r>
        <w:rPr>
          <w:rFonts w:hint="eastAsia" w:ascii="Arial Narrow" w:hAnsi="Arial Narrow" w:eastAsia="仿宋_GB2312" w:cs="宋体"/>
          <w:kern w:val="0"/>
          <w:sz w:val="24"/>
          <w:lang w:val="en-US" w:eastAsia="zh-CN"/>
        </w:rPr>
        <w:t>铜梁区</w:t>
      </w:r>
      <w:r>
        <w:rPr>
          <w:rFonts w:hint="eastAsia" w:ascii="Arial Narrow" w:hAnsi="Arial Narrow" w:eastAsia="仿宋_GB2312" w:cs="宋体"/>
          <w:kern w:val="0"/>
          <w:sz w:val="24"/>
        </w:rPr>
        <w:t>民族宗教事务委员会</w:t>
      </w:r>
    </w:p>
    <w:p w14:paraId="04489BA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w:t>
      </w:r>
    </w:p>
    <w:p w14:paraId="6C959C9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1、侣俸镇西岳村2社：计划改扩建宽2.5米、长306米、厚20cm的C30混凝土路面;新建宽3.5米、长210米、厚20cm的C30混凝土路面，具体以实际情况为准。</w:t>
      </w:r>
    </w:p>
    <w:p w14:paraId="5F1D778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2、白羊镇水碾村9社：新建修建产业便道路，长500米，宽2米，厚0.15米。</w:t>
      </w:r>
    </w:p>
    <w:p w14:paraId="6D9B1AB6">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项目资金安排情况：该项目2023年计划投入40.00万元，实际投入40.00万元，均为上级补助资金。</w:t>
      </w:r>
    </w:p>
    <w:p w14:paraId="0773B360">
      <w:pPr>
        <w:spacing w:line="360" w:lineRule="auto"/>
        <w:ind w:firstLine="482" w:firstLineChars="200"/>
        <w:jc w:val="left"/>
        <w:outlineLvl w:val="0"/>
        <w:rPr>
          <w:rFonts w:ascii="Arial Narrow" w:hAnsi="Arial Narrow" w:eastAsia="仿宋_GB2312"/>
          <w:b/>
          <w:sz w:val="24"/>
        </w:rPr>
      </w:pPr>
      <w:bookmarkStart w:id="5" w:name="_Toc26191"/>
      <w:r>
        <w:rPr>
          <w:rFonts w:ascii="Arial Narrow" w:hAnsi="Arial Narrow" w:eastAsia="仿宋_GB2312"/>
          <w:b/>
          <w:sz w:val="24"/>
        </w:rPr>
        <w:t>二、绩效评价工作情况</w:t>
      </w:r>
      <w:bookmarkEnd w:id="5"/>
    </w:p>
    <w:p w14:paraId="75C76F3B">
      <w:pPr>
        <w:spacing w:line="360" w:lineRule="auto"/>
        <w:ind w:firstLine="482" w:firstLineChars="200"/>
        <w:jc w:val="left"/>
        <w:outlineLvl w:val="0"/>
        <w:rPr>
          <w:rFonts w:ascii="Arial Narrow" w:hAnsi="Arial Narrow" w:eastAsia="仿宋_GB2312"/>
          <w:b/>
          <w:sz w:val="24"/>
        </w:rPr>
      </w:pPr>
      <w:bookmarkStart w:id="6" w:name="_Toc513775099"/>
      <w:bookmarkStart w:id="7" w:name="_Toc7064"/>
      <w:r>
        <w:rPr>
          <w:rFonts w:ascii="Arial Narrow" w:hAnsi="Arial Narrow" w:eastAsia="仿宋_GB2312"/>
          <w:b/>
          <w:sz w:val="24"/>
        </w:rPr>
        <w:t>（一）绩效评价目的</w:t>
      </w:r>
      <w:bookmarkEnd w:id="6"/>
      <w:bookmarkEnd w:id="7"/>
    </w:p>
    <w:p w14:paraId="60B03AB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0A069B90">
      <w:pPr>
        <w:spacing w:line="360" w:lineRule="auto"/>
        <w:ind w:firstLine="482" w:firstLineChars="200"/>
        <w:jc w:val="left"/>
        <w:outlineLvl w:val="0"/>
        <w:rPr>
          <w:rFonts w:ascii="Arial Narrow" w:hAnsi="Arial Narrow" w:eastAsia="仿宋_GB2312"/>
          <w:b/>
          <w:sz w:val="24"/>
        </w:rPr>
      </w:pPr>
      <w:bookmarkStart w:id="8" w:name="_Toc26111"/>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51BEACC0">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1590CC9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03C1E3D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3BC176A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51ECB29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6C9E9005">
      <w:pPr>
        <w:spacing w:line="360" w:lineRule="auto"/>
        <w:ind w:firstLine="482" w:firstLineChars="200"/>
        <w:jc w:val="left"/>
        <w:outlineLvl w:val="0"/>
        <w:rPr>
          <w:rFonts w:ascii="Arial Narrow" w:hAnsi="Arial Narrow" w:eastAsia="仿宋_GB2312"/>
          <w:b/>
          <w:sz w:val="24"/>
        </w:rPr>
      </w:pPr>
      <w:bookmarkStart w:id="11" w:name="_Toc23799"/>
      <w:r>
        <w:rPr>
          <w:rFonts w:ascii="Arial Narrow" w:hAnsi="Arial Narrow" w:eastAsia="仿宋_GB2312"/>
          <w:b/>
          <w:sz w:val="24"/>
        </w:rPr>
        <w:t>（三）绩效评价依据</w:t>
      </w:r>
      <w:bookmarkEnd w:id="9"/>
      <w:bookmarkEnd w:id="10"/>
      <w:bookmarkEnd w:id="11"/>
      <w:bookmarkStart w:id="12" w:name="_Toc335040595"/>
    </w:p>
    <w:bookmarkEnd w:id="12"/>
    <w:p w14:paraId="57AA17FA">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2ABA4327">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703BD90B">
      <w:pPr>
        <w:pStyle w:val="13"/>
        <w:spacing w:line="360" w:lineRule="auto"/>
        <w:ind w:firstLine="480" w:firstLineChars="200"/>
        <w:jc w:val="both"/>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2F189EA9">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3B95C6CC">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56DD70EC">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0DAFD9CD">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37C27825">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533E219A">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489B4567">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584BD26E">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2D208937">
      <w:pPr>
        <w:spacing w:line="360" w:lineRule="auto"/>
        <w:ind w:firstLine="482" w:firstLineChars="200"/>
        <w:jc w:val="left"/>
        <w:outlineLvl w:val="0"/>
        <w:rPr>
          <w:rFonts w:ascii="Arial Narrow" w:hAnsi="Arial Narrow" w:eastAsia="仿宋_GB2312"/>
          <w:b/>
          <w:sz w:val="24"/>
        </w:rPr>
      </w:pPr>
      <w:bookmarkStart w:id="14" w:name="_Toc30389"/>
      <w:r>
        <w:rPr>
          <w:rFonts w:ascii="Arial Narrow" w:hAnsi="Arial Narrow" w:eastAsia="仿宋_GB2312"/>
          <w:b/>
          <w:sz w:val="24"/>
        </w:rPr>
        <w:t>（四）绩效评价原则和指标体系</w:t>
      </w:r>
      <w:bookmarkEnd w:id="14"/>
    </w:p>
    <w:p w14:paraId="2395ECE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43765265">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1B1CD05F">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（2）重要性原则。应优先使用最具评价对象代表性、最能反映评价要求的核心指标。</w:t>
      </w:r>
    </w:p>
    <w:p w14:paraId="45DCAFFF">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77B5D7D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54F1E0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1A29286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0336C947">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61415D8C">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71A7A1A9">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A963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84AE1F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640134A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53DFE9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59BA514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61A3784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435B6388">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E676E7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E120FC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380D302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046201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3AED867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1D64E14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142A8898">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E9B66E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06128127">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B5F804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2FAD6A7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6DE1BAD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61C2B8D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0FF8239F">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41B824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161ED1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52D3B17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F80232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2B32F26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1B59B76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321ECDFC">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CBB3E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535BC72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4BA068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63E227D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3BAC024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C5D8F2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01A3AC49">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1FEFA7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30A26BB5">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853A19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0C08EBA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4775FC7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824638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7AFC950C">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304680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40FE17A9">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599093B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642DF8A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single" w:color="auto" w:sz="4" w:space="0"/>
              <w:left w:val="nil"/>
              <w:bottom w:val="single" w:color="auto" w:sz="4" w:space="0"/>
              <w:right w:val="single" w:color="auto" w:sz="4" w:space="0"/>
            </w:tcBorders>
            <w:shd w:val="clear" w:color="auto" w:fill="auto"/>
            <w:vAlign w:val="center"/>
          </w:tcPr>
          <w:p w14:paraId="12600CD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0BB6E76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6E8B042F">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3AB6E8B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2943494F">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7BF7E2E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773396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single" w:color="auto" w:sz="4" w:space="0"/>
              <w:left w:val="nil"/>
              <w:bottom w:val="single" w:color="auto" w:sz="4" w:space="0"/>
              <w:right w:val="single" w:color="auto" w:sz="4" w:space="0"/>
            </w:tcBorders>
            <w:shd w:val="clear" w:color="auto" w:fill="auto"/>
            <w:vAlign w:val="center"/>
          </w:tcPr>
          <w:p w14:paraId="58FFAD8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0EC6330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3FBB115B">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305CB1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0733B7B2">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5034A3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0643194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5AF7F52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0B13F9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7C3663FA">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B64F0F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1A48816C">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9756C7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E4B1DA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2FBC324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23D6CB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523DC4AB">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B12C7E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C1596D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7248F5E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78B167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4B74486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F7BC16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4A94657B">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D378F2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731C5A39">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DD452C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E23FEB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3C3089C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44F4F83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164C49F2">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CC99E5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B91FF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single" w:color="auto" w:sz="4" w:space="0"/>
              <w:left w:val="nil"/>
              <w:bottom w:val="single" w:color="auto" w:sz="4" w:space="0"/>
              <w:right w:val="single" w:color="auto" w:sz="4" w:space="0"/>
            </w:tcBorders>
            <w:shd w:val="clear" w:color="auto" w:fill="auto"/>
            <w:vAlign w:val="center"/>
          </w:tcPr>
          <w:p w14:paraId="63FADF5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5C15394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single" w:color="auto" w:sz="4" w:space="0"/>
              <w:left w:val="nil"/>
              <w:bottom w:val="single" w:color="auto" w:sz="4" w:space="0"/>
              <w:right w:val="single" w:color="auto" w:sz="4" w:space="0"/>
            </w:tcBorders>
            <w:shd w:val="clear" w:color="auto" w:fill="auto"/>
            <w:vAlign w:val="center"/>
          </w:tcPr>
          <w:p w14:paraId="5E42D12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10C107F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242150A0">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F8A878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3A48B69F">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6E8443D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25FDEDE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77BE2F0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single" w:color="auto" w:sz="4" w:space="0"/>
              <w:left w:val="nil"/>
              <w:bottom w:val="single" w:color="auto" w:sz="4" w:space="0"/>
              <w:right w:val="single" w:color="auto" w:sz="4" w:space="0"/>
            </w:tcBorders>
            <w:shd w:val="clear" w:color="auto" w:fill="auto"/>
            <w:vAlign w:val="center"/>
          </w:tcPr>
          <w:p w14:paraId="4E97570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30DD77C6">
      <w:pPr>
        <w:spacing w:before="120" w:beforeLines="50" w:line="360" w:lineRule="auto"/>
        <w:ind w:firstLine="482" w:firstLineChars="200"/>
        <w:jc w:val="left"/>
        <w:outlineLvl w:val="0"/>
        <w:rPr>
          <w:rFonts w:ascii="Arial Narrow" w:hAnsi="Arial Narrow" w:eastAsia="仿宋_GB2312"/>
          <w:b/>
          <w:sz w:val="24"/>
        </w:rPr>
      </w:pPr>
      <w:bookmarkStart w:id="15" w:name="_Toc27132"/>
      <w:r>
        <w:rPr>
          <w:rFonts w:ascii="Arial Narrow" w:hAnsi="Arial Narrow" w:eastAsia="仿宋_GB2312"/>
          <w:b/>
          <w:sz w:val="24"/>
        </w:rPr>
        <w:t>（五）绩效评价标准和评价方法</w:t>
      </w:r>
      <w:bookmarkEnd w:id="15"/>
    </w:p>
    <w:p w14:paraId="26CB6AB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377BFCF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29AC461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19D584C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381B093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2E44C88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37A064D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20ECAE0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77E0AAF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100782F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16107A94">
      <w:pPr>
        <w:spacing w:line="360" w:lineRule="auto"/>
        <w:ind w:firstLine="482" w:firstLineChars="200"/>
        <w:jc w:val="left"/>
        <w:outlineLvl w:val="0"/>
        <w:rPr>
          <w:rFonts w:ascii="Arial Narrow" w:hAnsi="Arial Narrow" w:eastAsia="仿宋_GB2312"/>
          <w:b/>
          <w:sz w:val="24"/>
        </w:rPr>
      </w:pPr>
      <w:bookmarkStart w:id="18" w:name="_Toc437528932"/>
      <w:bookmarkStart w:id="19" w:name="_Toc22862"/>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EEB255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760F0A8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4660703">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5858B81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4195CD54">
      <w:pPr>
        <w:spacing w:line="360" w:lineRule="auto"/>
        <w:ind w:firstLine="482" w:firstLineChars="200"/>
        <w:jc w:val="left"/>
        <w:outlineLvl w:val="0"/>
        <w:rPr>
          <w:rFonts w:ascii="Arial Narrow" w:hAnsi="Arial Narrow" w:eastAsia="仿宋_GB2312"/>
          <w:b/>
          <w:sz w:val="24"/>
        </w:rPr>
      </w:pPr>
      <w:bookmarkStart w:id="20" w:name="_Toc437528933"/>
      <w:bookmarkStart w:id="21" w:name="_Toc20436"/>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0719AD30">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lang w:val="en-US" w:eastAsia="zh-CN"/>
        </w:rPr>
        <w:t>铜梁区</w:t>
      </w:r>
      <w:r>
        <w:rPr>
          <w:rFonts w:hint="eastAsia" w:ascii="Arial Narrow" w:hAnsi="Arial Narrow" w:eastAsia="仿宋_GB2312"/>
          <w:sz w:val="24"/>
        </w:rPr>
        <w:t>民族宗教事务委员会少数</w:t>
      </w:r>
      <w:r>
        <w:rPr>
          <w:rFonts w:hint="eastAsia" w:ascii="Arial Narrow" w:hAnsi="Arial Narrow" w:eastAsia="仿宋_GB2312"/>
          <w:sz w:val="24"/>
          <w:lang w:eastAsia="zh-CN"/>
        </w:rPr>
        <w:t>民</w:t>
      </w:r>
      <w:r>
        <w:rPr>
          <w:rFonts w:hint="eastAsia" w:ascii="Arial Narrow" w:hAnsi="Arial Narrow" w:eastAsia="仿宋_GB2312"/>
          <w:sz w:val="24"/>
        </w:rPr>
        <w:t>族发展资金项目</w:t>
      </w:r>
      <w:r>
        <w:rPr>
          <w:rFonts w:ascii="Arial Narrow" w:hAnsi="Arial Narrow" w:eastAsia="仿宋_GB2312"/>
          <w:sz w:val="24"/>
        </w:rPr>
        <w:t>绩效评价得分</w:t>
      </w:r>
      <w:r>
        <w:rPr>
          <w:rFonts w:hint="eastAsia" w:ascii="Arial Narrow" w:hAnsi="Arial Narrow" w:eastAsia="仿宋_GB2312"/>
          <w:sz w:val="24"/>
        </w:rPr>
        <w:t>99.00</w:t>
      </w:r>
      <w:r>
        <w:rPr>
          <w:rFonts w:ascii="Arial Narrow" w:hAnsi="Arial Narrow" w:eastAsia="仿宋_GB2312"/>
          <w:sz w:val="24"/>
        </w:rPr>
        <w:t>分，绩效评价等级为：</w:t>
      </w:r>
      <w:r>
        <w:rPr>
          <w:rFonts w:hint="eastAsia" w:ascii="Arial Narrow" w:hAnsi="Arial Narrow" w:eastAsia="仿宋_GB2312"/>
          <w:sz w:val="24"/>
        </w:rPr>
        <w:t>优。</w:t>
      </w:r>
    </w:p>
    <w:p w14:paraId="26920117">
      <w:pPr>
        <w:spacing w:line="360" w:lineRule="auto"/>
        <w:ind w:firstLine="482" w:firstLineChars="200"/>
        <w:outlineLvl w:val="0"/>
        <w:rPr>
          <w:rFonts w:ascii="Arial Narrow" w:hAnsi="Arial Narrow" w:eastAsia="仿宋_GB2312"/>
          <w:b/>
          <w:sz w:val="24"/>
        </w:rPr>
      </w:pPr>
      <w:bookmarkStart w:id="22" w:name="_Toc32515"/>
      <w:r>
        <w:rPr>
          <w:rFonts w:hint="eastAsia" w:ascii="Arial Narrow" w:hAnsi="Arial Narrow" w:eastAsia="仿宋_GB2312"/>
          <w:b/>
          <w:sz w:val="24"/>
        </w:rPr>
        <w:t>四、</w:t>
      </w:r>
      <w:r>
        <w:rPr>
          <w:rFonts w:ascii="Arial Narrow" w:hAnsi="Arial Narrow" w:eastAsia="仿宋_GB2312"/>
          <w:b/>
          <w:sz w:val="24"/>
        </w:rPr>
        <w:t>综合评价情况</w:t>
      </w:r>
      <w:bookmarkEnd w:id="22"/>
    </w:p>
    <w:p w14:paraId="72DFEDE3">
      <w:pPr>
        <w:spacing w:line="360" w:lineRule="auto"/>
        <w:ind w:firstLine="482" w:firstLineChars="200"/>
        <w:jc w:val="left"/>
        <w:outlineLvl w:val="0"/>
        <w:rPr>
          <w:rFonts w:ascii="仿宋_GB2312" w:eastAsia="仿宋_GB2312"/>
          <w:b/>
          <w:sz w:val="24"/>
        </w:rPr>
      </w:pPr>
      <w:bookmarkStart w:id="23" w:name="_Toc22691"/>
      <w:r>
        <w:rPr>
          <w:rFonts w:hint="eastAsia" w:ascii="仿宋_GB2312" w:eastAsia="仿宋_GB2312"/>
          <w:b/>
          <w:sz w:val="24"/>
        </w:rPr>
        <w:t>（一）资金管理</w:t>
      </w:r>
      <w:bookmarkEnd w:id="23"/>
    </w:p>
    <w:p w14:paraId="4809D0FE">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7743662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val="en-US" w:eastAsia="zh-CN"/>
        </w:rPr>
        <w:t>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6C130B1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6FA6CC0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18C28953">
      <w:pPr>
        <w:spacing w:line="360" w:lineRule="auto"/>
        <w:ind w:firstLine="482" w:firstLineChars="200"/>
        <w:jc w:val="left"/>
        <w:outlineLvl w:val="0"/>
        <w:rPr>
          <w:rFonts w:ascii="仿宋_GB2312" w:eastAsia="仿宋_GB2312"/>
          <w:b/>
          <w:sz w:val="24"/>
        </w:rPr>
      </w:pPr>
      <w:bookmarkStart w:id="24" w:name="_Toc30699"/>
      <w:r>
        <w:rPr>
          <w:rFonts w:hint="eastAsia" w:ascii="仿宋_GB2312" w:eastAsia="仿宋_GB2312"/>
          <w:b/>
          <w:sz w:val="24"/>
        </w:rPr>
        <w:t>（二）项目管理</w:t>
      </w:r>
      <w:bookmarkEnd w:id="24"/>
    </w:p>
    <w:p w14:paraId="435D584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0F8E423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589B91A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1E82E0A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及时制定了明确的绩效目标，实施过程中对绩效目标进行监控，对绩效目标偏离项目采取纠偏措施。在项目实施完毕后开展了绩效自评，并形成绩效自评表、自评报告，项目绩效基本达到预期。</w:t>
      </w:r>
    </w:p>
    <w:p w14:paraId="40285BA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6ED90F9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项目实施方案不存在变更情况，实施过程中由铜梁区民宗委进行监督检查，检查中未发现重大问题，项目按照实施节点按时提交项目报账资料，项目资料归档整理及时。</w:t>
      </w:r>
    </w:p>
    <w:p w14:paraId="07AFDE6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2580ED4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项目预算执行率超全区平均水平。最后一笔资金于2023年9月25日支付完成。</w:t>
      </w:r>
    </w:p>
    <w:p w14:paraId="72702ED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4400761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32559B1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19F4955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615C2BD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047E7F27">
      <w:pPr>
        <w:adjustRightInd w:val="0"/>
        <w:snapToGrid w:val="0"/>
        <w:spacing w:line="360" w:lineRule="auto"/>
        <w:ind w:firstLine="480" w:firstLineChars="200"/>
        <w:rPr>
          <w:rFonts w:hint="eastAsia" w:ascii="Arial Narrow" w:hAnsi="Arial Narrow" w:eastAsia="仿宋_GB2312"/>
          <w:sz w:val="24"/>
          <w:lang w:eastAsia="zh-CN"/>
        </w:rPr>
      </w:pPr>
      <w:r>
        <w:rPr>
          <w:rFonts w:hint="eastAsia" w:ascii="Arial Narrow" w:hAnsi="Arial Narrow" w:eastAsia="仿宋_GB2312"/>
          <w:sz w:val="24"/>
        </w:rPr>
        <w:t>重庆市铜梁区民宗委会对项目资金计划、项目实施方案等进行了公示公告。</w:t>
      </w:r>
    </w:p>
    <w:p w14:paraId="75745163">
      <w:pPr>
        <w:spacing w:line="360" w:lineRule="auto"/>
        <w:ind w:firstLine="482" w:firstLineChars="200"/>
        <w:jc w:val="left"/>
        <w:outlineLvl w:val="0"/>
        <w:rPr>
          <w:rFonts w:ascii="仿宋_GB2312" w:eastAsia="仿宋_GB2312"/>
          <w:b/>
          <w:sz w:val="24"/>
        </w:rPr>
      </w:pPr>
      <w:bookmarkStart w:id="25" w:name="_Toc12421"/>
      <w:r>
        <w:rPr>
          <w:rFonts w:hint="eastAsia" w:ascii="仿宋_GB2312" w:eastAsia="仿宋_GB2312"/>
          <w:b/>
          <w:sz w:val="24"/>
        </w:rPr>
        <w:t>（三）使用成效及通报情况</w:t>
      </w:r>
      <w:bookmarkEnd w:id="25"/>
    </w:p>
    <w:p w14:paraId="095700D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2BA5FFC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项目总体资金均专款专用，项目完成进度和及时性达到计划预期目的。完成项目的质量能够达标，完成进行了自评、项目资料完整。</w:t>
      </w:r>
    </w:p>
    <w:p w14:paraId="4EFCABE6">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侣俸镇西岳村2社项目提前退还质保金；白羊镇水碾村9社项目未见后期管护相关资料。</w:t>
      </w:r>
    </w:p>
    <w:p w14:paraId="47540F7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BDD27D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w:t>
      </w:r>
      <w:r>
        <w:rPr>
          <w:rFonts w:hint="eastAsia" w:ascii="Arial Narrow" w:hAnsi="Arial Narrow" w:eastAsia="仿宋_GB2312"/>
          <w:sz w:val="24"/>
          <w:lang w:val="en-US" w:eastAsia="zh-CN"/>
        </w:rPr>
        <w:t>出现</w:t>
      </w:r>
      <w:r>
        <w:rPr>
          <w:rFonts w:hint="eastAsia" w:ascii="Arial Narrow" w:hAnsi="Arial Narrow" w:eastAsia="仿宋_GB2312"/>
          <w:sz w:val="24"/>
        </w:rPr>
        <w:t>被通报和问题反馈</w:t>
      </w:r>
      <w:r>
        <w:rPr>
          <w:rFonts w:hint="eastAsia" w:ascii="Arial Narrow" w:hAnsi="Arial Narrow" w:eastAsia="仿宋_GB2312"/>
          <w:sz w:val="24"/>
          <w:lang w:val="en-US" w:eastAsia="zh-CN"/>
        </w:rPr>
        <w:t>整改</w:t>
      </w:r>
      <w:r>
        <w:rPr>
          <w:rFonts w:hint="eastAsia" w:ascii="Arial Narrow" w:hAnsi="Arial Narrow" w:eastAsia="仿宋_GB2312"/>
          <w:sz w:val="24"/>
        </w:rPr>
        <w:t>情况。</w:t>
      </w:r>
    </w:p>
    <w:p w14:paraId="06ABFF01">
      <w:pPr>
        <w:spacing w:line="360" w:lineRule="auto"/>
        <w:ind w:firstLine="482" w:firstLineChars="200"/>
        <w:outlineLvl w:val="0"/>
        <w:rPr>
          <w:rFonts w:hint="eastAsia" w:ascii="Arial Narrow" w:hAnsi="Arial Narrow" w:eastAsia="仿宋_GB2312"/>
          <w:b/>
          <w:sz w:val="24"/>
        </w:rPr>
      </w:pPr>
      <w:bookmarkStart w:id="26" w:name="_Toc12945"/>
      <w:r>
        <w:rPr>
          <w:rFonts w:hint="eastAsia" w:ascii="Arial Narrow" w:hAnsi="Arial Narrow" w:eastAsia="仿宋_GB2312"/>
          <w:b/>
          <w:sz w:val="24"/>
        </w:rPr>
        <w:t>五、存在的问题和建议</w:t>
      </w:r>
      <w:bookmarkEnd w:id="26"/>
    </w:p>
    <w:p w14:paraId="086852BB">
      <w:pPr>
        <w:spacing w:line="360" w:lineRule="auto"/>
        <w:ind w:firstLine="482" w:firstLineChars="200"/>
        <w:jc w:val="left"/>
        <w:outlineLvl w:val="0"/>
        <w:rPr>
          <w:rFonts w:ascii="仿宋_GB2312" w:eastAsia="仿宋_GB2312"/>
          <w:b/>
          <w:sz w:val="24"/>
        </w:rPr>
      </w:pPr>
      <w:bookmarkStart w:id="27" w:name="_Toc6993"/>
      <w:r>
        <w:rPr>
          <w:rFonts w:hint="eastAsia" w:ascii="仿宋_GB2312" w:eastAsia="仿宋_GB2312"/>
          <w:b/>
          <w:sz w:val="24"/>
        </w:rPr>
        <w:t>（一）存在问题</w:t>
      </w:r>
      <w:bookmarkEnd w:id="27"/>
    </w:p>
    <w:p w14:paraId="53416F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Arial Narrow" w:hAnsi="Arial Narrow" w:eastAsia="仿宋_GB2312"/>
          <w:sz w:val="24"/>
        </w:rPr>
      </w:pPr>
      <w:r>
        <w:rPr>
          <w:rFonts w:hint="eastAsia" w:ascii="Arial Narrow" w:hAnsi="Arial Narrow" w:eastAsia="仿宋_GB2312"/>
          <w:sz w:val="24"/>
        </w:rPr>
        <w:t>1.侣俸镇西岳村2社项目提前退还承包方质保金，项目于2023年</w:t>
      </w:r>
      <w:r>
        <w:rPr>
          <w:rFonts w:hint="eastAsia" w:ascii="Arial Narrow" w:hAnsi="Arial Narrow" w:eastAsia="仿宋_GB2312"/>
          <w:sz w:val="24"/>
          <w:lang w:eastAsia="zh-CN"/>
        </w:rPr>
        <w:t>6月10日</w:t>
      </w:r>
      <w:r>
        <w:rPr>
          <w:rFonts w:hint="eastAsia" w:ascii="Arial Narrow" w:hAnsi="Arial Narrow" w:eastAsia="仿宋_GB2312"/>
          <w:sz w:val="24"/>
        </w:rPr>
        <w:t>完成竣工验收，于2023年9月25日退还质保金，合同约定质保金扣留期限为一年。</w:t>
      </w:r>
    </w:p>
    <w:p w14:paraId="03B88F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Arial Narrow" w:hAnsi="Arial Narrow" w:eastAsia="仿宋_GB2312"/>
          <w:sz w:val="24"/>
        </w:rPr>
      </w:pPr>
      <w:r>
        <w:rPr>
          <w:rFonts w:hint="eastAsia" w:ascii="Arial Narrow" w:hAnsi="Arial Narrow" w:eastAsia="仿宋_GB2312"/>
          <w:sz w:val="24"/>
        </w:rPr>
        <w:t>2.白羊镇水碾村9社项目未见后期管护相关资料。</w:t>
      </w:r>
    </w:p>
    <w:p w14:paraId="5B74170E">
      <w:pPr>
        <w:spacing w:line="360" w:lineRule="auto"/>
        <w:ind w:firstLine="482" w:firstLineChars="200"/>
        <w:jc w:val="left"/>
        <w:outlineLvl w:val="0"/>
        <w:rPr>
          <w:rFonts w:ascii="仿宋_GB2312" w:eastAsia="仿宋_GB2312"/>
          <w:b/>
          <w:sz w:val="24"/>
        </w:rPr>
      </w:pPr>
      <w:bookmarkStart w:id="28" w:name="_Toc32027"/>
      <w:r>
        <w:rPr>
          <w:rFonts w:hint="eastAsia" w:ascii="仿宋_GB2312" w:eastAsia="仿宋_GB2312"/>
          <w:b/>
          <w:sz w:val="24"/>
        </w:rPr>
        <w:t>（二）建议</w:t>
      </w:r>
      <w:bookmarkEnd w:id="28"/>
    </w:p>
    <w:p w14:paraId="60E2962E">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1.严格执行合同约定条款，以保障项目后期质量符合规定。</w:t>
      </w:r>
    </w:p>
    <w:p w14:paraId="4DCA4EEB">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2.建立健全公路管护制度，定期巡查管护，保证项目长期健康运作，持续发挥衔接资金带贫作用。</w:t>
      </w:r>
    </w:p>
    <w:p w14:paraId="7DAADDD0">
      <w:pPr>
        <w:adjustRightInd w:val="0"/>
        <w:snapToGrid w:val="0"/>
        <w:spacing w:line="360" w:lineRule="auto"/>
        <w:ind w:firstLine="420" w:firstLineChars="200"/>
        <w:rPr>
          <w:rStyle w:val="10"/>
          <w:color w:val="auto"/>
          <w:u w:val="none"/>
        </w:rPr>
      </w:pPr>
    </w:p>
    <w:p w14:paraId="69B56B76">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6DB30EE6">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351A4088">
      <w:pPr>
        <w:adjustRightInd w:val="0"/>
        <w:snapToGrid w:val="0"/>
        <w:spacing w:line="360" w:lineRule="auto"/>
        <w:ind w:firstLine="720" w:firstLineChars="300"/>
        <w:rPr>
          <w:rStyle w:val="10"/>
          <w:rFonts w:ascii="Arial Narrow" w:hAnsi="Arial Narrow" w:eastAsia="仿宋_GB2312"/>
          <w:color w:val="auto"/>
          <w:sz w:val="24"/>
          <w:u w:val="none"/>
        </w:rPr>
      </w:pPr>
    </w:p>
    <w:p w14:paraId="75632957">
      <w:pPr>
        <w:adjustRightInd w:val="0"/>
        <w:snapToGrid w:val="0"/>
        <w:spacing w:line="360" w:lineRule="auto"/>
        <w:ind w:firstLine="720" w:firstLineChars="300"/>
        <w:rPr>
          <w:rStyle w:val="10"/>
          <w:rFonts w:ascii="Arial Narrow" w:hAnsi="Arial Narrow" w:eastAsia="仿宋_GB2312"/>
          <w:color w:val="auto"/>
          <w:sz w:val="24"/>
          <w:u w:val="none"/>
        </w:rPr>
      </w:pPr>
    </w:p>
    <w:p w14:paraId="77FAC335">
      <w:pPr>
        <w:adjustRightInd w:val="0"/>
        <w:snapToGrid w:val="0"/>
        <w:spacing w:line="360" w:lineRule="auto"/>
        <w:ind w:firstLine="720" w:firstLineChars="300"/>
        <w:rPr>
          <w:rStyle w:val="10"/>
          <w:rFonts w:ascii="Arial Narrow" w:hAnsi="Arial Narrow" w:eastAsia="仿宋_GB2312"/>
          <w:color w:val="auto"/>
          <w:sz w:val="24"/>
          <w:u w:val="none"/>
        </w:rPr>
      </w:pPr>
    </w:p>
    <w:p w14:paraId="0F6A6095">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529B1FC0">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05FC0ED0-D8E9-4DB4-8DAB-72734E0F2633}"/>
  </w:font>
  <w:font w:name="仿宋_GB2312">
    <w:panose1 w:val="02010609030101010101"/>
    <w:charset w:val="86"/>
    <w:family w:val="auto"/>
    <w:pitch w:val="default"/>
    <w:sig w:usb0="00000001" w:usb1="080E0000" w:usb2="00000000" w:usb3="00000000" w:csb0="00040000" w:csb1="00000000"/>
    <w:embedRegular r:id="rId2" w:fontKey="{51954640-D5D1-4E31-8496-A9FC33EB8E46}"/>
  </w:font>
  <w:font w:name="仿宋">
    <w:panose1 w:val="02010609060101010101"/>
    <w:charset w:val="86"/>
    <w:family w:val="modern"/>
    <w:pitch w:val="default"/>
    <w:sig w:usb0="800002BF" w:usb1="38CF7CFA" w:usb2="00000016" w:usb3="00000000" w:csb0="00040001" w:csb1="00000000"/>
    <w:embedRegular r:id="rId3" w:fontKey="{C88F96BF-BBA7-4660-824F-887FB385BAA1}"/>
  </w:font>
  <w:font w:name="楷体">
    <w:panose1 w:val="02010609060101010101"/>
    <w:charset w:val="86"/>
    <w:family w:val="modern"/>
    <w:pitch w:val="default"/>
    <w:sig w:usb0="800002BF" w:usb1="38CF7CFA" w:usb2="00000016" w:usb3="00000000" w:csb0="00040001" w:csb1="00000000"/>
    <w:embedRegular r:id="rId4" w:fontKey="{43B50D6C-2EE7-4F9E-B1F6-5F6224439E75}"/>
  </w:font>
  <w:font w:name="MS Mincho">
    <w:panose1 w:val="02020609040205080304"/>
    <w:charset w:val="80"/>
    <w:family w:val="modern"/>
    <w:pitch w:val="default"/>
    <w:sig w:usb0="E00002FF" w:usb1="6AC7FDFB" w:usb2="00000012" w:usb3="00000000" w:csb0="4002009F" w:csb1="DFD70000"/>
    <w:embedRegular r:id="rId5" w:fontKey="{18307173-5844-4D98-901A-FFC012E94562}"/>
  </w:font>
  <w:font w:name="Segoe UI Symbol">
    <w:panose1 w:val="020B0502040204020203"/>
    <w:charset w:val="00"/>
    <w:family w:val="swiss"/>
    <w:pitch w:val="default"/>
    <w:sig w:usb0="8000006F" w:usb1="1200FBEF" w:usb2="0064C000" w:usb3="00000002" w:csb0="00000001" w:csb1="40000000"/>
    <w:embedRegular r:id="rId6" w:fontKey="{0443450E-C44E-4900-A88B-9C0F22B3A7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BE07A">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07C71">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0B63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205C4"/>
    <w:rsid w:val="00040902"/>
    <w:rsid w:val="000769EE"/>
    <w:rsid w:val="000A1396"/>
    <w:rsid w:val="000F61B1"/>
    <w:rsid w:val="0010003E"/>
    <w:rsid w:val="00104568"/>
    <w:rsid w:val="001116A9"/>
    <w:rsid w:val="00143A99"/>
    <w:rsid w:val="001518C1"/>
    <w:rsid w:val="00164C87"/>
    <w:rsid w:val="001A42EB"/>
    <w:rsid w:val="001A59DB"/>
    <w:rsid w:val="001D3E86"/>
    <w:rsid w:val="001E0132"/>
    <w:rsid w:val="001E1C7C"/>
    <w:rsid w:val="001F3624"/>
    <w:rsid w:val="001F43AE"/>
    <w:rsid w:val="00216472"/>
    <w:rsid w:val="00226E7E"/>
    <w:rsid w:val="0026345C"/>
    <w:rsid w:val="00276D1C"/>
    <w:rsid w:val="00282997"/>
    <w:rsid w:val="00297760"/>
    <w:rsid w:val="002C36AE"/>
    <w:rsid w:val="002C5020"/>
    <w:rsid w:val="002C7EFA"/>
    <w:rsid w:val="002D1864"/>
    <w:rsid w:val="00324E2F"/>
    <w:rsid w:val="0037066E"/>
    <w:rsid w:val="00377668"/>
    <w:rsid w:val="00386989"/>
    <w:rsid w:val="003A1174"/>
    <w:rsid w:val="003B42BF"/>
    <w:rsid w:val="00414A58"/>
    <w:rsid w:val="00417980"/>
    <w:rsid w:val="004200C2"/>
    <w:rsid w:val="00420AA7"/>
    <w:rsid w:val="00421C71"/>
    <w:rsid w:val="0048399B"/>
    <w:rsid w:val="004C2E01"/>
    <w:rsid w:val="004C38B4"/>
    <w:rsid w:val="004D1A29"/>
    <w:rsid w:val="004D2A6E"/>
    <w:rsid w:val="00501A64"/>
    <w:rsid w:val="00504C12"/>
    <w:rsid w:val="005559D9"/>
    <w:rsid w:val="00572DD6"/>
    <w:rsid w:val="00577922"/>
    <w:rsid w:val="00594EC0"/>
    <w:rsid w:val="005A7BA0"/>
    <w:rsid w:val="005F01BA"/>
    <w:rsid w:val="005F5420"/>
    <w:rsid w:val="006130D7"/>
    <w:rsid w:val="0061417A"/>
    <w:rsid w:val="00624C8C"/>
    <w:rsid w:val="00631EDF"/>
    <w:rsid w:val="00662861"/>
    <w:rsid w:val="00691984"/>
    <w:rsid w:val="0069678B"/>
    <w:rsid w:val="006E75D6"/>
    <w:rsid w:val="006F081D"/>
    <w:rsid w:val="006F1D64"/>
    <w:rsid w:val="00714150"/>
    <w:rsid w:val="0073019B"/>
    <w:rsid w:val="00740E9D"/>
    <w:rsid w:val="00741402"/>
    <w:rsid w:val="0077460D"/>
    <w:rsid w:val="007A6BE6"/>
    <w:rsid w:val="007E1784"/>
    <w:rsid w:val="008106E1"/>
    <w:rsid w:val="00816D8C"/>
    <w:rsid w:val="00842151"/>
    <w:rsid w:val="00856815"/>
    <w:rsid w:val="00886A9B"/>
    <w:rsid w:val="008952B1"/>
    <w:rsid w:val="008D4F7C"/>
    <w:rsid w:val="008E609D"/>
    <w:rsid w:val="00914F40"/>
    <w:rsid w:val="00943414"/>
    <w:rsid w:val="00983CB7"/>
    <w:rsid w:val="009943F8"/>
    <w:rsid w:val="009957B8"/>
    <w:rsid w:val="009A2859"/>
    <w:rsid w:val="009A406A"/>
    <w:rsid w:val="00A352D4"/>
    <w:rsid w:val="00A64D55"/>
    <w:rsid w:val="00A95CA5"/>
    <w:rsid w:val="00AD2B73"/>
    <w:rsid w:val="00AE470F"/>
    <w:rsid w:val="00AF58DD"/>
    <w:rsid w:val="00B134A6"/>
    <w:rsid w:val="00B22D9A"/>
    <w:rsid w:val="00B25350"/>
    <w:rsid w:val="00B50038"/>
    <w:rsid w:val="00B64951"/>
    <w:rsid w:val="00BA1016"/>
    <w:rsid w:val="00BB3674"/>
    <w:rsid w:val="00BC7BED"/>
    <w:rsid w:val="00C06180"/>
    <w:rsid w:val="00C107C7"/>
    <w:rsid w:val="00C12443"/>
    <w:rsid w:val="00C35442"/>
    <w:rsid w:val="00C60A62"/>
    <w:rsid w:val="00C74C23"/>
    <w:rsid w:val="00CB54FB"/>
    <w:rsid w:val="00CF6D2F"/>
    <w:rsid w:val="00D0146D"/>
    <w:rsid w:val="00D254D3"/>
    <w:rsid w:val="00D26E16"/>
    <w:rsid w:val="00D415D5"/>
    <w:rsid w:val="00DB55F0"/>
    <w:rsid w:val="00DC2C32"/>
    <w:rsid w:val="00DC39DF"/>
    <w:rsid w:val="00DD1665"/>
    <w:rsid w:val="00E00ECB"/>
    <w:rsid w:val="00E12883"/>
    <w:rsid w:val="00E23D6E"/>
    <w:rsid w:val="00E27A95"/>
    <w:rsid w:val="00E368BC"/>
    <w:rsid w:val="00E60D1E"/>
    <w:rsid w:val="00E80BDA"/>
    <w:rsid w:val="00EB474C"/>
    <w:rsid w:val="00EE395C"/>
    <w:rsid w:val="00EF3313"/>
    <w:rsid w:val="00F116AB"/>
    <w:rsid w:val="00F20A21"/>
    <w:rsid w:val="00F24091"/>
    <w:rsid w:val="00F54C3F"/>
    <w:rsid w:val="00F61D28"/>
    <w:rsid w:val="00F64D50"/>
    <w:rsid w:val="00F6551E"/>
    <w:rsid w:val="00FB36F0"/>
    <w:rsid w:val="00FB476A"/>
    <w:rsid w:val="00FC25B3"/>
    <w:rsid w:val="00FD1A79"/>
    <w:rsid w:val="00FE1E65"/>
    <w:rsid w:val="00FF5AA5"/>
    <w:rsid w:val="00FF5C51"/>
    <w:rsid w:val="02717C9D"/>
    <w:rsid w:val="02984F31"/>
    <w:rsid w:val="02B218E3"/>
    <w:rsid w:val="041E2DE7"/>
    <w:rsid w:val="0C955D75"/>
    <w:rsid w:val="10FD0312"/>
    <w:rsid w:val="120E6874"/>
    <w:rsid w:val="155128C6"/>
    <w:rsid w:val="17DF3F11"/>
    <w:rsid w:val="18C557CB"/>
    <w:rsid w:val="1E6924FB"/>
    <w:rsid w:val="20537F6A"/>
    <w:rsid w:val="270731DD"/>
    <w:rsid w:val="2DDB5D7A"/>
    <w:rsid w:val="313C750F"/>
    <w:rsid w:val="336F109F"/>
    <w:rsid w:val="33D405F1"/>
    <w:rsid w:val="357129F4"/>
    <w:rsid w:val="371050B8"/>
    <w:rsid w:val="37B65959"/>
    <w:rsid w:val="3EDB31C2"/>
    <w:rsid w:val="45947F31"/>
    <w:rsid w:val="491A0DEF"/>
    <w:rsid w:val="4C9B4ED6"/>
    <w:rsid w:val="4DF1278B"/>
    <w:rsid w:val="53306282"/>
    <w:rsid w:val="53A85365"/>
    <w:rsid w:val="54066301"/>
    <w:rsid w:val="56082321"/>
    <w:rsid w:val="5A1162B8"/>
    <w:rsid w:val="5DF82E0A"/>
    <w:rsid w:val="60087B46"/>
    <w:rsid w:val="61673FB5"/>
    <w:rsid w:val="629B4EDD"/>
    <w:rsid w:val="630E6E06"/>
    <w:rsid w:val="63930994"/>
    <w:rsid w:val="6C0B491D"/>
    <w:rsid w:val="6F60465B"/>
    <w:rsid w:val="711877BC"/>
    <w:rsid w:val="79CC3348"/>
    <w:rsid w:val="7BC37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5496</Words>
  <Characters>5841</Characters>
  <Lines>50</Lines>
  <Paragraphs>14</Paragraphs>
  <TotalTime>26</TotalTime>
  <ScaleCrop>false</ScaleCrop>
  <LinksUpToDate>false</LinksUpToDate>
  <CharactersWithSpaces>5858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2024-11-19T09:34:50Z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