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564A">
      <w:pPr>
        <w:spacing w:line="360" w:lineRule="auto"/>
        <w:jc w:val="center"/>
        <w:rPr>
          <w:rFonts w:ascii="Arial Narrow" w:hAnsi="Arial Narrow"/>
          <w:b/>
          <w:bCs/>
          <w:sz w:val="36"/>
          <w:szCs w:val="36"/>
        </w:rPr>
      </w:pPr>
    </w:p>
    <w:p w14:paraId="5C4C47AA">
      <w:pPr>
        <w:spacing w:line="360" w:lineRule="auto"/>
        <w:jc w:val="center"/>
        <w:rPr>
          <w:rFonts w:ascii="Arial Narrow" w:hAnsi="Arial Narrow"/>
          <w:b/>
          <w:bCs/>
          <w:sz w:val="36"/>
          <w:szCs w:val="36"/>
        </w:rPr>
      </w:pPr>
    </w:p>
    <w:p w14:paraId="5A2AD1D3">
      <w:pPr>
        <w:spacing w:line="360" w:lineRule="auto"/>
        <w:jc w:val="center"/>
        <w:rPr>
          <w:rFonts w:ascii="Arial Narrow" w:hAnsi="Arial Narrow"/>
          <w:b/>
          <w:bCs/>
          <w:sz w:val="36"/>
          <w:szCs w:val="36"/>
        </w:rPr>
      </w:pPr>
    </w:p>
    <w:p w14:paraId="4D6CB25D">
      <w:pPr>
        <w:spacing w:line="360" w:lineRule="auto"/>
        <w:jc w:val="center"/>
        <w:rPr>
          <w:rFonts w:ascii="Arial Narrow" w:hAnsi="Arial Narrow"/>
          <w:b/>
          <w:bCs/>
          <w:sz w:val="36"/>
          <w:szCs w:val="36"/>
        </w:rPr>
      </w:pPr>
    </w:p>
    <w:p w14:paraId="6D613833">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重庆市铜梁区人力资源和社会保障局脱贫人口跨区域就业交通补助项目财政专项衔接资金</w:t>
      </w:r>
    </w:p>
    <w:p w14:paraId="7BFC43F0">
      <w:pPr>
        <w:adjustRightInd w:val="0"/>
        <w:snapToGrid w:val="0"/>
        <w:spacing w:line="360" w:lineRule="auto"/>
        <w:jc w:val="center"/>
        <w:rPr>
          <w:rFonts w:ascii="Arial Narrow" w:hAnsi="Arial Narrow"/>
          <w:b/>
          <w:sz w:val="36"/>
          <w:szCs w:val="36"/>
        </w:rPr>
      </w:pPr>
    </w:p>
    <w:p w14:paraId="79EB985C">
      <w:pPr>
        <w:adjustRightInd w:val="0"/>
        <w:snapToGrid w:val="0"/>
        <w:spacing w:line="360" w:lineRule="auto"/>
        <w:jc w:val="center"/>
        <w:rPr>
          <w:rFonts w:ascii="Arial Narrow" w:hAnsi="Arial Narrow"/>
          <w:b/>
          <w:spacing w:val="100"/>
          <w:sz w:val="32"/>
          <w:szCs w:val="32"/>
        </w:rPr>
      </w:pPr>
    </w:p>
    <w:p w14:paraId="3810249C">
      <w:pPr>
        <w:adjustRightInd w:val="0"/>
        <w:snapToGrid w:val="0"/>
        <w:spacing w:line="360" w:lineRule="auto"/>
        <w:jc w:val="center"/>
        <w:rPr>
          <w:rFonts w:ascii="Arial Narrow" w:hAnsi="Arial Narrow"/>
          <w:b/>
          <w:spacing w:val="100"/>
          <w:sz w:val="32"/>
          <w:szCs w:val="32"/>
        </w:rPr>
      </w:pPr>
    </w:p>
    <w:p w14:paraId="272BEF11">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1E252124">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hint="eastAsia" w:ascii="Arial Narrow" w:hAnsi="Arial Narrow" w:eastAsia="仿宋"/>
          <w:bCs/>
          <w:sz w:val="32"/>
          <w:szCs w:val="32"/>
          <w:lang w:val="en-US" w:eastAsia="zh-CN"/>
        </w:rPr>
        <w:t>058</w:t>
      </w:r>
      <w:r>
        <w:rPr>
          <w:rFonts w:ascii="Arial Narrow" w:hAnsi="Arial Narrow" w:eastAsia="仿宋"/>
          <w:bCs/>
          <w:sz w:val="32"/>
          <w:szCs w:val="32"/>
        </w:rPr>
        <w:t>号</w:t>
      </w:r>
    </w:p>
    <w:p w14:paraId="33C38837">
      <w:pPr>
        <w:adjustRightInd w:val="0"/>
        <w:snapToGrid w:val="0"/>
        <w:spacing w:line="360" w:lineRule="auto"/>
        <w:jc w:val="center"/>
        <w:rPr>
          <w:rFonts w:ascii="Arial Narrow" w:hAnsi="Arial Narrow"/>
          <w:b/>
          <w:spacing w:val="100"/>
          <w:sz w:val="32"/>
          <w:szCs w:val="32"/>
        </w:rPr>
      </w:pPr>
    </w:p>
    <w:p w14:paraId="45C44761">
      <w:pPr>
        <w:adjustRightInd w:val="0"/>
        <w:snapToGrid w:val="0"/>
        <w:spacing w:line="360" w:lineRule="auto"/>
        <w:jc w:val="center"/>
        <w:rPr>
          <w:rFonts w:ascii="Arial Narrow" w:hAnsi="Arial Narrow"/>
          <w:b/>
          <w:spacing w:val="100"/>
          <w:sz w:val="32"/>
          <w:szCs w:val="32"/>
        </w:rPr>
      </w:pPr>
    </w:p>
    <w:p w14:paraId="0D472347">
      <w:pPr>
        <w:adjustRightInd w:val="0"/>
        <w:snapToGrid w:val="0"/>
        <w:spacing w:line="360" w:lineRule="auto"/>
        <w:jc w:val="center"/>
        <w:rPr>
          <w:rFonts w:ascii="Arial Narrow" w:hAnsi="Arial Narrow"/>
          <w:b/>
          <w:spacing w:val="100"/>
          <w:sz w:val="32"/>
          <w:szCs w:val="32"/>
        </w:rPr>
      </w:pPr>
    </w:p>
    <w:p w14:paraId="228234D6">
      <w:pPr>
        <w:adjustRightInd w:val="0"/>
        <w:snapToGrid w:val="0"/>
        <w:spacing w:line="360" w:lineRule="auto"/>
        <w:jc w:val="center"/>
        <w:rPr>
          <w:rFonts w:ascii="Arial Narrow" w:hAnsi="Arial Narrow"/>
          <w:b/>
          <w:spacing w:val="100"/>
          <w:sz w:val="32"/>
          <w:szCs w:val="32"/>
        </w:rPr>
      </w:pPr>
    </w:p>
    <w:p w14:paraId="493FD77B">
      <w:pPr>
        <w:adjustRightInd w:val="0"/>
        <w:snapToGrid w:val="0"/>
        <w:spacing w:line="360" w:lineRule="auto"/>
        <w:jc w:val="center"/>
        <w:rPr>
          <w:rFonts w:ascii="Arial Narrow" w:hAnsi="Arial Narrow"/>
          <w:b/>
          <w:spacing w:val="100"/>
          <w:sz w:val="32"/>
          <w:szCs w:val="32"/>
        </w:rPr>
      </w:pPr>
    </w:p>
    <w:p w14:paraId="54107DC4">
      <w:pPr>
        <w:adjustRightInd w:val="0"/>
        <w:snapToGrid w:val="0"/>
        <w:spacing w:line="360" w:lineRule="auto"/>
        <w:jc w:val="center"/>
        <w:rPr>
          <w:rFonts w:ascii="Arial Narrow" w:hAnsi="Arial Narrow"/>
          <w:b/>
          <w:spacing w:val="100"/>
          <w:sz w:val="32"/>
          <w:szCs w:val="32"/>
        </w:rPr>
      </w:pPr>
    </w:p>
    <w:p w14:paraId="0EC2CEC4">
      <w:pPr>
        <w:adjustRightInd w:val="0"/>
        <w:snapToGrid w:val="0"/>
        <w:spacing w:line="360" w:lineRule="auto"/>
        <w:jc w:val="center"/>
        <w:rPr>
          <w:rFonts w:ascii="Arial Narrow" w:hAnsi="Arial Narrow"/>
          <w:b/>
          <w:spacing w:val="100"/>
          <w:sz w:val="32"/>
          <w:szCs w:val="32"/>
        </w:rPr>
      </w:pPr>
    </w:p>
    <w:p w14:paraId="7EB51850">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rPr>
        <w:t>责任</w:t>
      </w:r>
      <w:r>
        <w:rPr>
          <w:rFonts w:ascii="Arial Narrow" w:hAnsi="Arial Narrow" w:eastAsia="仿宋"/>
          <w:sz w:val="32"/>
          <w:szCs w:val="32"/>
        </w:rPr>
        <w:t>公司</w:t>
      </w:r>
    </w:p>
    <w:p w14:paraId="1461C601">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val="en-US"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目录</w:t>
      </w:r>
    </w:p>
    <w:p w14:paraId="758FE7C3">
      <w:pPr>
        <w:spacing w:line="360" w:lineRule="auto"/>
        <w:jc w:val="center"/>
        <w:rPr>
          <w:rFonts w:ascii="Arial Narrow" w:hAnsi="Arial Narrow"/>
          <w:sz w:val="24"/>
        </w:rPr>
      </w:pPr>
    </w:p>
    <w:p w14:paraId="4B459AEA">
      <w:pPr>
        <w:pStyle w:val="6"/>
        <w:tabs>
          <w:tab w:val="right" w:leader="dot" w:pos="8788"/>
          <w:tab w:val="clear" w:pos="8778"/>
        </w:tabs>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_Toc2114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_Toc2114 \h </w:instrText>
      </w:r>
      <w:r>
        <w:fldChar w:fldCharType="separate"/>
      </w:r>
      <w:r>
        <w:t>1</w:t>
      </w:r>
      <w:r>
        <w:fldChar w:fldCharType="end"/>
      </w:r>
      <w:r>
        <w:rPr>
          <w:rFonts w:ascii="仿宋" w:hAnsi="仿宋" w:eastAsia="仿宋"/>
          <w:bCs w:val="0"/>
          <w:color w:val="auto"/>
          <w:szCs w:val="21"/>
          <w:u w:val="none"/>
        </w:rPr>
        <w:fldChar w:fldCharType="end"/>
      </w:r>
    </w:p>
    <w:p w14:paraId="6974CC30">
      <w:pPr>
        <w:pStyle w:val="6"/>
        <w:tabs>
          <w:tab w:val="right" w:leader="dot" w:pos="8788"/>
          <w:tab w:val="clear" w:pos="8778"/>
        </w:tabs>
      </w:pPr>
      <w:r>
        <w:rPr>
          <w:color w:val="auto"/>
          <w:szCs w:val="21"/>
          <w:u w:val="none"/>
        </w:rPr>
        <w:fldChar w:fldCharType="begin"/>
      </w:r>
      <w:r>
        <w:rPr>
          <w:szCs w:val="21"/>
        </w:rPr>
        <w:instrText xml:space="preserve"> HYPERLINK \l _Toc14876 </w:instrText>
      </w:r>
      <w:r>
        <w:rPr>
          <w:szCs w:val="21"/>
        </w:rPr>
        <w:fldChar w:fldCharType="separate"/>
      </w:r>
      <w:r>
        <w:rPr>
          <w:rFonts w:hint="eastAsia" w:ascii="Arial Narrow" w:hAnsi="Arial Narrow" w:eastAsia="仿宋" w:cs="宋体"/>
          <w:bCs/>
          <w:kern w:val="0"/>
        </w:rPr>
        <w:t>（一）项目情况</w:t>
      </w:r>
      <w:r>
        <w:tab/>
      </w:r>
      <w:r>
        <w:fldChar w:fldCharType="begin"/>
      </w:r>
      <w:r>
        <w:instrText xml:space="preserve"> PAGEREF _Toc14876 \h </w:instrText>
      </w:r>
      <w:r>
        <w:fldChar w:fldCharType="separate"/>
      </w:r>
      <w:r>
        <w:t>1</w:t>
      </w:r>
      <w:r>
        <w:fldChar w:fldCharType="end"/>
      </w:r>
      <w:r>
        <w:rPr>
          <w:color w:val="auto"/>
          <w:szCs w:val="21"/>
          <w:u w:val="none"/>
        </w:rPr>
        <w:fldChar w:fldCharType="end"/>
      </w:r>
    </w:p>
    <w:p w14:paraId="65D8F963">
      <w:pPr>
        <w:pStyle w:val="6"/>
        <w:tabs>
          <w:tab w:val="right" w:leader="dot" w:pos="8788"/>
          <w:tab w:val="clear" w:pos="8778"/>
        </w:tabs>
      </w:pPr>
      <w:r>
        <w:rPr>
          <w:color w:val="auto"/>
          <w:szCs w:val="21"/>
          <w:u w:val="none"/>
        </w:rPr>
        <w:fldChar w:fldCharType="begin"/>
      </w:r>
      <w:r>
        <w:rPr>
          <w:szCs w:val="21"/>
        </w:rPr>
        <w:instrText xml:space="preserve"> HYPERLINK \l _Toc19296 </w:instrText>
      </w:r>
      <w:r>
        <w:rPr>
          <w:szCs w:val="21"/>
        </w:rPr>
        <w:fldChar w:fldCharType="separate"/>
      </w:r>
      <w:r>
        <w:rPr>
          <w:rFonts w:ascii="Arial Narrow" w:hAnsi="Arial Narrow" w:eastAsia="仿宋_GB2312"/>
        </w:rPr>
        <w:t>二、绩效评价工作情况</w:t>
      </w:r>
      <w:r>
        <w:tab/>
      </w:r>
      <w:r>
        <w:fldChar w:fldCharType="begin"/>
      </w:r>
      <w:r>
        <w:instrText xml:space="preserve"> PAGEREF _Toc19296 \h </w:instrText>
      </w:r>
      <w:r>
        <w:fldChar w:fldCharType="separate"/>
      </w:r>
      <w:r>
        <w:t>1</w:t>
      </w:r>
      <w:r>
        <w:fldChar w:fldCharType="end"/>
      </w:r>
      <w:r>
        <w:rPr>
          <w:color w:val="auto"/>
          <w:szCs w:val="21"/>
          <w:u w:val="none"/>
        </w:rPr>
        <w:fldChar w:fldCharType="end"/>
      </w:r>
    </w:p>
    <w:p w14:paraId="6208E09F">
      <w:pPr>
        <w:pStyle w:val="6"/>
        <w:tabs>
          <w:tab w:val="right" w:leader="dot" w:pos="8788"/>
          <w:tab w:val="clear" w:pos="8778"/>
        </w:tabs>
      </w:pPr>
      <w:r>
        <w:rPr>
          <w:color w:val="auto"/>
          <w:szCs w:val="21"/>
          <w:u w:val="none"/>
        </w:rPr>
        <w:fldChar w:fldCharType="begin"/>
      </w:r>
      <w:r>
        <w:rPr>
          <w:szCs w:val="21"/>
        </w:rPr>
        <w:instrText xml:space="preserve"> HYPERLINK \l _Toc13 </w:instrText>
      </w:r>
      <w:r>
        <w:rPr>
          <w:szCs w:val="21"/>
        </w:rPr>
        <w:fldChar w:fldCharType="separate"/>
      </w:r>
      <w:r>
        <w:rPr>
          <w:rFonts w:ascii="Arial Narrow" w:hAnsi="Arial Narrow" w:eastAsia="仿宋_GB2312"/>
        </w:rPr>
        <w:t>（一）绩效评价目的</w:t>
      </w:r>
      <w:r>
        <w:tab/>
      </w:r>
      <w:r>
        <w:fldChar w:fldCharType="begin"/>
      </w:r>
      <w:r>
        <w:instrText xml:space="preserve"> PAGEREF _Toc13 \h </w:instrText>
      </w:r>
      <w:r>
        <w:fldChar w:fldCharType="separate"/>
      </w:r>
      <w:r>
        <w:t>2</w:t>
      </w:r>
      <w:r>
        <w:fldChar w:fldCharType="end"/>
      </w:r>
      <w:r>
        <w:rPr>
          <w:color w:val="auto"/>
          <w:szCs w:val="21"/>
          <w:u w:val="none"/>
        </w:rPr>
        <w:fldChar w:fldCharType="end"/>
      </w:r>
    </w:p>
    <w:p w14:paraId="37F4C9D3">
      <w:pPr>
        <w:pStyle w:val="6"/>
        <w:tabs>
          <w:tab w:val="right" w:leader="dot" w:pos="8788"/>
          <w:tab w:val="clear" w:pos="8778"/>
        </w:tabs>
      </w:pPr>
      <w:r>
        <w:rPr>
          <w:color w:val="auto"/>
          <w:szCs w:val="21"/>
          <w:u w:val="none"/>
        </w:rPr>
        <w:fldChar w:fldCharType="begin"/>
      </w:r>
      <w:r>
        <w:rPr>
          <w:szCs w:val="21"/>
        </w:rPr>
        <w:instrText xml:space="preserve"> HYPERLINK \l _Toc20940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_Toc20940 \h </w:instrText>
      </w:r>
      <w:r>
        <w:fldChar w:fldCharType="separate"/>
      </w:r>
      <w:r>
        <w:t>2</w:t>
      </w:r>
      <w:r>
        <w:fldChar w:fldCharType="end"/>
      </w:r>
      <w:r>
        <w:rPr>
          <w:color w:val="auto"/>
          <w:szCs w:val="21"/>
          <w:u w:val="none"/>
        </w:rPr>
        <w:fldChar w:fldCharType="end"/>
      </w:r>
    </w:p>
    <w:p w14:paraId="68A6739A">
      <w:pPr>
        <w:pStyle w:val="6"/>
        <w:tabs>
          <w:tab w:val="right" w:leader="dot" w:pos="8788"/>
          <w:tab w:val="clear" w:pos="8778"/>
        </w:tabs>
      </w:pPr>
      <w:r>
        <w:rPr>
          <w:color w:val="auto"/>
          <w:szCs w:val="21"/>
          <w:u w:val="none"/>
        </w:rPr>
        <w:fldChar w:fldCharType="begin"/>
      </w:r>
      <w:r>
        <w:rPr>
          <w:szCs w:val="21"/>
        </w:rPr>
        <w:instrText xml:space="preserve"> HYPERLINK \l _Toc20908 </w:instrText>
      </w:r>
      <w:r>
        <w:rPr>
          <w:szCs w:val="21"/>
        </w:rPr>
        <w:fldChar w:fldCharType="separate"/>
      </w:r>
      <w:r>
        <w:rPr>
          <w:rFonts w:ascii="Arial Narrow" w:hAnsi="Arial Narrow" w:eastAsia="仿宋_GB2312"/>
        </w:rPr>
        <w:t>（三）绩效评价依据</w:t>
      </w:r>
      <w:r>
        <w:tab/>
      </w:r>
      <w:r>
        <w:fldChar w:fldCharType="begin"/>
      </w:r>
      <w:r>
        <w:instrText xml:space="preserve"> PAGEREF _Toc20908 \h </w:instrText>
      </w:r>
      <w:r>
        <w:fldChar w:fldCharType="separate"/>
      </w:r>
      <w:r>
        <w:t>2</w:t>
      </w:r>
      <w:r>
        <w:fldChar w:fldCharType="end"/>
      </w:r>
      <w:r>
        <w:rPr>
          <w:color w:val="auto"/>
          <w:szCs w:val="21"/>
          <w:u w:val="none"/>
        </w:rPr>
        <w:fldChar w:fldCharType="end"/>
      </w:r>
    </w:p>
    <w:p w14:paraId="4872A123">
      <w:pPr>
        <w:pStyle w:val="6"/>
        <w:tabs>
          <w:tab w:val="right" w:leader="dot" w:pos="8788"/>
          <w:tab w:val="clear" w:pos="8778"/>
        </w:tabs>
      </w:pPr>
      <w:r>
        <w:rPr>
          <w:color w:val="auto"/>
          <w:szCs w:val="21"/>
          <w:u w:val="none"/>
        </w:rPr>
        <w:fldChar w:fldCharType="begin"/>
      </w:r>
      <w:r>
        <w:rPr>
          <w:szCs w:val="21"/>
        </w:rPr>
        <w:instrText xml:space="preserve"> HYPERLINK \l _Toc25957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_Toc25957 \h </w:instrText>
      </w:r>
      <w:r>
        <w:fldChar w:fldCharType="separate"/>
      </w:r>
      <w:r>
        <w:t>2</w:t>
      </w:r>
      <w:r>
        <w:fldChar w:fldCharType="end"/>
      </w:r>
      <w:r>
        <w:rPr>
          <w:color w:val="auto"/>
          <w:szCs w:val="21"/>
          <w:u w:val="none"/>
        </w:rPr>
        <w:fldChar w:fldCharType="end"/>
      </w:r>
    </w:p>
    <w:p w14:paraId="3F48A374">
      <w:pPr>
        <w:pStyle w:val="6"/>
        <w:tabs>
          <w:tab w:val="right" w:leader="dot" w:pos="8788"/>
          <w:tab w:val="clear" w:pos="8778"/>
        </w:tabs>
      </w:pPr>
      <w:r>
        <w:rPr>
          <w:color w:val="auto"/>
          <w:szCs w:val="21"/>
          <w:u w:val="none"/>
        </w:rPr>
        <w:fldChar w:fldCharType="begin"/>
      </w:r>
      <w:r>
        <w:rPr>
          <w:szCs w:val="21"/>
        </w:rPr>
        <w:instrText xml:space="preserve"> HYPERLINK \l _Toc22559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_Toc22559 \h </w:instrText>
      </w:r>
      <w:r>
        <w:fldChar w:fldCharType="separate"/>
      </w:r>
      <w:r>
        <w:t>5</w:t>
      </w:r>
      <w:r>
        <w:fldChar w:fldCharType="end"/>
      </w:r>
      <w:r>
        <w:rPr>
          <w:color w:val="auto"/>
          <w:szCs w:val="21"/>
          <w:u w:val="none"/>
        </w:rPr>
        <w:fldChar w:fldCharType="end"/>
      </w:r>
    </w:p>
    <w:p w14:paraId="530E2427">
      <w:pPr>
        <w:pStyle w:val="6"/>
        <w:tabs>
          <w:tab w:val="right" w:leader="dot" w:pos="8788"/>
          <w:tab w:val="clear" w:pos="8778"/>
        </w:tabs>
      </w:pPr>
      <w:r>
        <w:rPr>
          <w:color w:val="auto"/>
          <w:szCs w:val="21"/>
          <w:u w:val="none"/>
        </w:rPr>
        <w:fldChar w:fldCharType="begin"/>
      </w:r>
      <w:r>
        <w:rPr>
          <w:szCs w:val="21"/>
        </w:rPr>
        <w:instrText xml:space="preserve"> HYPERLINK \l _Toc32371 </w:instrText>
      </w:r>
      <w:r>
        <w:rPr>
          <w:szCs w:val="21"/>
        </w:rPr>
        <w:fldChar w:fldCharType="separate"/>
      </w:r>
      <w:r>
        <w:rPr>
          <w:rFonts w:ascii="Arial Narrow" w:hAnsi="Arial Narrow" w:eastAsia="仿宋_GB2312"/>
        </w:rPr>
        <w:t>（六）绩效评价工作过程</w:t>
      </w:r>
      <w:r>
        <w:tab/>
      </w:r>
      <w:r>
        <w:fldChar w:fldCharType="begin"/>
      </w:r>
      <w:r>
        <w:instrText xml:space="preserve"> PAGEREF _Toc32371 \h </w:instrText>
      </w:r>
      <w:r>
        <w:fldChar w:fldCharType="separate"/>
      </w:r>
      <w:r>
        <w:t>5</w:t>
      </w:r>
      <w:r>
        <w:fldChar w:fldCharType="end"/>
      </w:r>
      <w:r>
        <w:rPr>
          <w:color w:val="auto"/>
          <w:szCs w:val="21"/>
          <w:u w:val="none"/>
        </w:rPr>
        <w:fldChar w:fldCharType="end"/>
      </w:r>
    </w:p>
    <w:p w14:paraId="702E7742">
      <w:pPr>
        <w:pStyle w:val="6"/>
        <w:tabs>
          <w:tab w:val="right" w:leader="dot" w:pos="8788"/>
          <w:tab w:val="clear" w:pos="8778"/>
        </w:tabs>
      </w:pPr>
      <w:r>
        <w:rPr>
          <w:color w:val="auto"/>
          <w:szCs w:val="21"/>
          <w:u w:val="none"/>
        </w:rPr>
        <w:fldChar w:fldCharType="begin"/>
      </w:r>
      <w:r>
        <w:rPr>
          <w:szCs w:val="21"/>
        </w:rPr>
        <w:instrText xml:space="preserve"> HYPERLINK \l _Toc14172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_Toc14172 \h </w:instrText>
      </w:r>
      <w:r>
        <w:fldChar w:fldCharType="separate"/>
      </w:r>
      <w:r>
        <w:t>6</w:t>
      </w:r>
      <w:r>
        <w:fldChar w:fldCharType="end"/>
      </w:r>
      <w:r>
        <w:rPr>
          <w:color w:val="auto"/>
          <w:szCs w:val="21"/>
          <w:u w:val="none"/>
        </w:rPr>
        <w:fldChar w:fldCharType="end"/>
      </w:r>
    </w:p>
    <w:p w14:paraId="7F81583D">
      <w:pPr>
        <w:pStyle w:val="6"/>
        <w:tabs>
          <w:tab w:val="right" w:leader="dot" w:pos="8788"/>
          <w:tab w:val="clear" w:pos="8778"/>
        </w:tabs>
      </w:pPr>
      <w:r>
        <w:rPr>
          <w:color w:val="auto"/>
          <w:szCs w:val="21"/>
          <w:u w:val="none"/>
        </w:rPr>
        <w:fldChar w:fldCharType="begin"/>
      </w:r>
      <w:r>
        <w:rPr>
          <w:szCs w:val="21"/>
        </w:rPr>
        <w:instrText xml:space="preserve"> HYPERLINK \l _Toc21150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_Toc21150 \h </w:instrText>
      </w:r>
      <w:r>
        <w:fldChar w:fldCharType="separate"/>
      </w:r>
      <w:r>
        <w:t>6</w:t>
      </w:r>
      <w:r>
        <w:fldChar w:fldCharType="end"/>
      </w:r>
      <w:r>
        <w:rPr>
          <w:color w:val="auto"/>
          <w:szCs w:val="21"/>
          <w:u w:val="none"/>
        </w:rPr>
        <w:fldChar w:fldCharType="end"/>
      </w:r>
    </w:p>
    <w:p w14:paraId="742A920B">
      <w:pPr>
        <w:pStyle w:val="6"/>
        <w:tabs>
          <w:tab w:val="right" w:leader="dot" w:pos="8788"/>
          <w:tab w:val="clear" w:pos="8778"/>
        </w:tabs>
      </w:pPr>
      <w:r>
        <w:rPr>
          <w:color w:val="auto"/>
          <w:szCs w:val="21"/>
          <w:u w:val="none"/>
        </w:rPr>
        <w:fldChar w:fldCharType="begin"/>
      </w:r>
      <w:r>
        <w:rPr>
          <w:szCs w:val="21"/>
        </w:rPr>
        <w:instrText xml:space="preserve"> HYPERLINK \l _Toc4566 </w:instrText>
      </w:r>
      <w:r>
        <w:rPr>
          <w:szCs w:val="21"/>
        </w:rPr>
        <w:fldChar w:fldCharType="separate"/>
      </w:r>
      <w:r>
        <w:rPr>
          <w:rFonts w:hint="eastAsia" w:ascii="仿宋_GB2312" w:eastAsia="仿宋_GB2312"/>
        </w:rPr>
        <w:t>（一）资金管理</w:t>
      </w:r>
      <w:r>
        <w:tab/>
      </w:r>
      <w:r>
        <w:fldChar w:fldCharType="begin"/>
      </w:r>
      <w:r>
        <w:instrText xml:space="preserve"> PAGEREF _Toc4566 \h </w:instrText>
      </w:r>
      <w:r>
        <w:fldChar w:fldCharType="separate"/>
      </w:r>
      <w:r>
        <w:t>6</w:t>
      </w:r>
      <w:r>
        <w:fldChar w:fldCharType="end"/>
      </w:r>
      <w:r>
        <w:rPr>
          <w:color w:val="auto"/>
          <w:szCs w:val="21"/>
          <w:u w:val="none"/>
        </w:rPr>
        <w:fldChar w:fldCharType="end"/>
      </w:r>
    </w:p>
    <w:p w14:paraId="0FE360A1">
      <w:pPr>
        <w:pStyle w:val="6"/>
        <w:tabs>
          <w:tab w:val="right" w:leader="dot" w:pos="8788"/>
          <w:tab w:val="clear" w:pos="8778"/>
        </w:tabs>
      </w:pPr>
      <w:r>
        <w:rPr>
          <w:color w:val="auto"/>
          <w:szCs w:val="21"/>
          <w:u w:val="none"/>
        </w:rPr>
        <w:fldChar w:fldCharType="begin"/>
      </w:r>
      <w:r>
        <w:rPr>
          <w:szCs w:val="21"/>
        </w:rPr>
        <w:instrText xml:space="preserve"> HYPERLINK \l _Toc14440 </w:instrText>
      </w:r>
      <w:r>
        <w:rPr>
          <w:szCs w:val="21"/>
        </w:rPr>
        <w:fldChar w:fldCharType="separate"/>
      </w:r>
      <w:r>
        <w:rPr>
          <w:rFonts w:hint="eastAsia" w:ascii="仿宋_GB2312" w:eastAsia="仿宋_GB2312"/>
        </w:rPr>
        <w:t>（二）项目管理</w:t>
      </w:r>
      <w:r>
        <w:tab/>
      </w:r>
      <w:r>
        <w:fldChar w:fldCharType="begin"/>
      </w:r>
      <w:r>
        <w:instrText xml:space="preserve"> PAGEREF _Toc14440 \h </w:instrText>
      </w:r>
      <w:r>
        <w:fldChar w:fldCharType="separate"/>
      </w:r>
      <w:r>
        <w:t>6</w:t>
      </w:r>
      <w:r>
        <w:fldChar w:fldCharType="end"/>
      </w:r>
      <w:r>
        <w:rPr>
          <w:color w:val="auto"/>
          <w:szCs w:val="21"/>
          <w:u w:val="none"/>
        </w:rPr>
        <w:fldChar w:fldCharType="end"/>
      </w:r>
    </w:p>
    <w:p w14:paraId="208761A9">
      <w:pPr>
        <w:pStyle w:val="6"/>
        <w:tabs>
          <w:tab w:val="right" w:leader="dot" w:pos="8788"/>
          <w:tab w:val="clear" w:pos="8778"/>
        </w:tabs>
      </w:pPr>
      <w:r>
        <w:rPr>
          <w:color w:val="auto"/>
          <w:szCs w:val="21"/>
          <w:u w:val="none"/>
        </w:rPr>
        <w:fldChar w:fldCharType="begin"/>
      </w:r>
      <w:r>
        <w:rPr>
          <w:szCs w:val="21"/>
        </w:rPr>
        <w:instrText xml:space="preserve"> HYPERLINK \l _Toc4720 </w:instrText>
      </w:r>
      <w:r>
        <w:rPr>
          <w:szCs w:val="21"/>
        </w:rPr>
        <w:fldChar w:fldCharType="separate"/>
      </w:r>
      <w:r>
        <w:rPr>
          <w:rFonts w:hint="eastAsia" w:ascii="仿宋_GB2312" w:eastAsia="仿宋_GB2312"/>
        </w:rPr>
        <w:t>（三）使用成效及通报情况</w:t>
      </w:r>
      <w:r>
        <w:tab/>
      </w:r>
      <w:r>
        <w:fldChar w:fldCharType="begin"/>
      </w:r>
      <w:r>
        <w:instrText xml:space="preserve"> PAGEREF _Toc4720 \h </w:instrText>
      </w:r>
      <w:r>
        <w:fldChar w:fldCharType="separate"/>
      </w:r>
      <w:r>
        <w:t>7</w:t>
      </w:r>
      <w:r>
        <w:fldChar w:fldCharType="end"/>
      </w:r>
      <w:r>
        <w:rPr>
          <w:color w:val="auto"/>
          <w:szCs w:val="21"/>
          <w:u w:val="none"/>
        </w:rPr>
        <w:fldChar w:fldCharType="end"/>
      </w:r>
    </w:p>
    <w:p w14:paraId="39AAC1E1">
      <w:pPr>
        <w:pStyle w:val="6"/>
        <w:tabs>
          <w:tab w:val="right" w:leader="dot" w:pos="8788"/>
          <w:tab w:val="clear" w:pos="8778"/>
        </w:tabs>
      </w:pPr>
      <w:r>
        <w:rPr>
          <w:color w:val="auto"/>
          <w:szCs w:val="21"/>
          <w:u w:val="none"/>
        </w:rPr>
        <w:fldChar w:fldCharType="begin"/>
      </w:r>
      <w:r>
        <w:rPr>
          <w:szCs w:val="21"/>
        </w:rPr>
        <w:instrText xml:space="preserve"> HYPERLINK \l _Toc27603 </w:instrText>
      </w:r>
      <w:r>
        <w:rPr>
          <w:szCs w:val="21"/>
        </w:rPr>
        <w:fldChar w:fldCharType="separate"/>
      </w:r>
      <w:r>
        <w:rPr>
          <w:rFonts w:hint="eastAsia" w:ascii="Arial Narrow" w:hAnsi="Arial Narrow" w:eastAsia="仿宋_GB2312"/>
        </w:rPr>
        <w:t>五、存在的问题和建议</w:t>
      </w:r>
      <w:r>
        <w:tab/>
      </w:r>
      <w:r>
        <w:fldChar w:fldCharType="begin"/>
      </w:r>
      <w:r>
        <w:instrText xml:space="preserve"> PAGEREF _Toc27603 \h </w:instrText>
      </w:r>
      <w:r>
        <w:fldChar w:fldCharType="separate"/>
      </w:r>
      <w:r>
        <w:t>7</w:t>
      </w:r>
      <w:r>
        <w:fldChar w:fldCharType="end"/>
      </w:r>
      <w:r>
        <w:rPr>
          <w:color w:val="auto"/>
          <w:szCs w:val="21"/>
          <w:u w:val="none"/>
        </w:rPr>
        <w:fldChar w:fldCharType="end"/>
      </w:r>
    </w:p>
    <w:p w14:paraId="4AA8A3DC">
      <w:pPr>
        <w:pStyle w:val="6"/>
        <w:tabs>
          <w:tab w:val="right" w:leader="dot" w:pos="8788"/>
          <w:tab w:val="clear" w:pos="8778"/>
        </w:tabs>
      </w:pPr>
      <w:r>
        <w:rPr>
          <w:color w:val="auto"/>
          <w:szCs w:val="21"/>
          <w:u w:val="none"/>
        </w:rPr>
        <w:fldChar w:fldCharType="begin"/>
      </w:r>
      <w:r>
        <w:rPr>
          <w:szCs w:val="21"/>
        </w:rPr>
        <w:instrText xml:space="preserve"> HYPERLINK \l _Toc30505 </w:instrText>
      </w:r>
      <w:r>
        <w:rPr>
          <w:szCs w:val="21"/>
        </w:rPr>
        <w:fldChar w:fldCharType="separate"/>
      </w:r>
      <w:r>
        <w:rPr>
          <w:rFonts w:hint="eastAsia" w:ascii="仿宋_GB2312" w:eastAsia="仿宋_GB2312"/>
        </w:rPr>
        <w:t>（一）存在问题</w:t>
      </w:r>
      <w:r>
        <w:tab/>
      </w:r>
      <w:r>
        <w:fldChar w:fldCharType="begin"/>
      </w:r>
      <w:r>
        <w:instrText xml:space="preserve"> PAGEREF _Toc30505 \h </w:instrText>
      </w:r>
      <w:r>
        <w:fldChar w:fldCharType="separate"/>
      </w:r>
      <w:r>
        <w:t>7</w:t>
      </w:r>
      <w:r>
        <w:fldChar w:fldCharType="end"/>
      </w:r>
      <w:r>
        <w:rPr>
          <w:color w:val="auto"/>
          <w:szCs w:val="21"/>
          <w:u w:val="none"/>
        </w:rPr>
        <w:fldChar w:fldCharType="end"/>
      </w:r>
    </w:p>
    <w:p w14:paraId="2CA0DB6D">
      <w:pPr>
        <w:pStyle w:val="6"/>
        <w:tabs>
          <w:tab w:val="right" w:leader="dot" w:pos="8788"/>
          <w:tab w:val="clear" w:pos="8778"/>
        </w:tabs>
      </w:pPr>
      <w:r>
        <w:rPr>
          <w:color w:val="auto"/>
          <w:szCs w:val="21"/>
          <w:u w:val="none"/>
        </w:rPr>
        <w:fldChar w:fldCharType="begin"/>
      </w:r>
      <w:r>
        <w:rPr>
          <w:szCs w:val="21"/>
        </w:rPr>
        <w:instrText xml:space="preserve"> HYPERLINK \l _Toc25816 </w:instrText>
      </w:r>
      <w:r>
        <w:rPr>
          <w:szCs w:val="21"/>
        </w:rPr>
        <w:fldChar w:fldCharType="separate"/>
      </w:r>
      <w:r>
        <w:rPr>
          <w:rFonts w:hint="eastAsia" w:ascii="仿宋_GB2312" w:eastAsia="仿宋_GB2312"/>
        </w:rPr>
        <w:t>（二）建议</w:t>
      </w:r>
      <w:r>
        <w:tab/>
      </w:r>
      <w:r>
        <w:fldChar w:fldCharType="begin"/>
      </w:r>
      <w:r>
        <w:instrText xml:space="preserve"> PAGEREF _Toc25816 \h </w:instrText>
      </w:r>
      <w:r>
        <w:fldChar w:fldCharType="separate"/>
      </w:r>
      <w:r>
        <w:t>7</w:t>
      </w:r>
      <w:r>
        <w:fldChar w:fldCharType="end"/>
      </w:r>
      <w:r>
        <w:rPr>
          <w:color w:val="auto"/>
          <w:szCs w:val="21"/>
          <w:u w:val="none"/>
        </w:rPr>
        <w:fldChar w:fldCharType="end"/>
      </w:r>
    </w:p>
    <w:p w14:paraId="4F0C9CF4">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20BC513C">
      <w:pPr>
        <w:spacing w:line="360" w:lineRule="auto"/>
        <w:jc w:val="right"/>
        <w:rPr>
          <w:rFonts w:ascii="Arial Narrow" w:hAnsi="Arial Narrow"/>
          <w:bCs/>
          <w:w w:val="80"/>
          <w:sz w:val="28"/>
          <w:szCs w:val="28"/>
        </w:rPr>
      </w:pPr>
    </w:p>
    <w:p w14:paraId="5B4E4A61">
      <w:pPr>
        <w:spacing w:line="360" w:lineRule="auto"/>
        <w:jc w:val="right"/>
        <w:rPr>
          <w:rFonts w:ascii="Arial Narrow" w:hAnsi="Arial Narrow"/>
          <w:bCs/>
          <w:w w:val="80"/>
          <w:sz w:val="28"/>
          <w:szCs w:val="28"/>
        </w:rPr>
      </w:pPr>
    </w:p>
    <w:p w14:paraId="713BA191">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7E3B4F49">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Chongqing</w:t>
      </w:r>
      <w:r>
        <w:rPr>
          <w:rFonts w:ascii="MS Mincho" w:hAnsi="MS Mincho" w:eastAsia="MS Mincho"/>
          <w:b/>
          <w:kern w:val="0"/>
          <w:sz w:val="32"/>
          <w:szCs w:val="20"/>
        </w:rPr>
        <w:t>MingHongJinQuan</w:t>
      </w:r>
      <w:r>
        <w:rPr>
          <w:rFonts w:ascii="MS Mincho" w:hAnsi="MS Mincho" w:eastAsia="MS Mincho"/>
          <w:b/>
          <w:kern w:val="0"/>
          <w:sz w:val="32"/>
          <w:szCs w:val="20"/>
          <w:lang w:eastAsia="zh-TW"/>
        </w:rPr>
        <w:t>CertifiedPublicAccountants</w:t>
      </w:r>
    </w:p>
    <w:p w14:paraId="659D4543">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058</w:t>
      </w:r>
      <w:r>
        <w:rPr>
          <w:rFonts w:hint="eastAsia" w:ascii="Arial Narrow" w:hAnsi="Arial Narrow" w:eastAsia="仿宋_GB2312"/>
          <w:sz w:val="28"/>
          <w:szCs w:val="28"/>
        </w:rPr>
        <w:t>号</w:t>
      </w:r>
    </w:p>
    <w:p w14:paraId="3A6F8E24">
      <w:pPr>
        <w:spacing w:line="360" w:lineRule="auto"/>
        <w:jc w:val="distribute"/>
        <w:rPr>
          <w:rFonts w:ascii="Arial Narrow" w:hAnsi="Arial Narrow"/>
          <w:w w:val="94"/>
        </w:rPr>
      </w:pPr>
      <w:r>
        <w:rPr>
          <w:rFonts w:hint="eastAsia" w:ascii="宋体" w:hAnsi="宋体" w:cs="宋体"/>
          <w:b/>
          <w:bCs/>
          <w:w w:val="94"/>
          <w:sz w:val="36"/>
          <w:szCs w:val="36"/>
        </w:rPr>
        <w:t>━━━━━━━━━━━━</w:t>
      </w:r>
      <w:r>
        <w:rPr>
          <w:rFonts w:ascii="Segoe UI Symbol" w:hAnsi="Segoe UI Symbol" w:cs="Segoe UI Symbol"/>
          <w:b/>
          <w:bCs/>
          <w:w w:val="94"/>
          <w:sz w:val="36"/>
          <w:szCs w:val="36"/>
        </w:rPr>
        <w:t>★</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155E8E0F">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重庆市铜梁区人力资源和社会保障局脱贫人口跨区域就业交通补助项目</w:t>
      </w:r>
    </w:p>
    <w:p w14:paraId="00F501F3">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4AA19DDC">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重庆市铜梁区人力资源和社会保障局（以下简称</w:t>
      </w:r>
      <w:r>
        <w:rPr>
          <w:rFonts w:hint="eastAsia" w:ascii="Arial Narrow" w:hAnsi="Arial Narrow" w:eastAsia="仿宋_GB2312"/>
          <w:color w:val="auto"/>
          <w:lang w:eastAsia="zh-CN"/>
        </w:rPr>
        <w:t>“</w:t>
      </w:r>
      <w:r>
        <w:rPr>
          <w:rFonts w:hint="eastAsia" w:ascii="Arial Narrow" w:hAnsi="Arial Narrow" w:eastAsia="仿宋_GB2312"/>
          <w:color w:val="auto"/>
        </w:rPr>
        <w:t>区人社局</w:t>
      </w:r>
      <w:r>
        <w:rPr>
          <w:rFonts w:hint="eastAsia" w:ascii="Arial Narrow" w:hAnsi="Arial Narrow" w:eastAsia="仿宋_GB2312"/>
          <w:color w:val="auto"/>
          <w:lang w:eastAsia="zh-CN"/>
        </w:rPr>
        <w:t>”</w:t>
      </w:r>
      <w:r>
        <w:rPr>
          <w:rFonts w:hint="eastAsia" w:ascii="Arial Narrow" w:hAnsi="Arial Narrow" w:eastAsia="仿宋_GB2312"/>
          <w:color w:val="auto"/>
        </w:rPr>
        <w:t>）</w:t>
      </w:r>
      <w:r>
        <w:rPr>
          <w:rFonts w:hint="eastAsia" w:ascii="Arial Narrow" w:hAnsi="Arial Narrow" w:eastAsia="仿宋_GB2312"/>
          <w:color w:val="auto"/>
          <w:lang w:eastAsia="zh-CN"/>
        </w:rPr>
        <w:t>“</w:t>
      </w:r>
      <w:r>
        <w:rPr>
          <w:rFonts w:hint="eastAsia" w:ascii="Arial Narrow" w:hAnsi="Arial Narrow" w:eastAsia="仿宋_GB2312"/>
          <w:color w:val="auto"/>
        </w:rPr>
        <w:t>脱贫人口跨区域就业交通补助项目财政专项衔接资金</w:t>
      </w:r>
      <w:r>
        <w:rPr>
          <w:rFonts w:hint="eastAsia" w:ascii="Arial Narrow" w:hAnsi="Arial Narrow" w:eastAsia="仿宋_GB2312"/>
          <w:color w:val="auto"/>
          <w:lang w:eastAsia="zh-CN"/>
        </w:rPr>
        <w:t>”</w:t>
      </w:r>
      <w:r>
        <w:rPr>
          <w:rFonts w:ascii="Arial Narrow" w:hAnsi="Arial Narrow" w:eastAsia="仿宋_GB2312"/>
          <w:color w:val="auto"/>
        </w:rPr>
        <w:t>进行绩效评价，现将评价情况报告如下：</w:t>
      </w:r>
    </w:p>
    <w:p w14:paraId="5EB6FEB2">
      <w:pPr>
        <w:spacing w:before="240" w:beforeLines="100" w:line="360" w:lineRule="auto"/>
        <w:ind w:firstLine="482" w:firstLineChars="200"/>
        <w:jc w:val="left"/>
        <w:outlineLvl w:val="0"/>
        <w:rPr>
          <w:rFonts w:ascii="Arial Narrow" w:hAnsi="Arial Narrow" w:eastAsia="仿宋_GB2312"/>
          <w:b/>
          <w:sz w:val="24"/>
        </w:rPr>
      </w:pPr>
      <w:bookmarkStart w:id="3" w:name="_Toc2114"/>
      <w:r>
        <w:rPr>
          <w:rFonts w:ascii="Arial Narrow" w:hAnsi="Arial Narrow" w:eastAsia="仿宋_GB2312"/>
          <w:b/>
          <w:sz w:val="24"/>
        </w:rPr>
        <w:t>一、基本情况</w:t>
      </w:r>
      <w:bookmarkEnd w:id="3"/>
    </w:p>
    <w:p w14:paraId="5B936B0E">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14876"/>
      <w:r>
        <w:rPr>
          <w:rFonts w:hint="eastAsia" w:ascii="Arial Narrow" w:hAnsi="Arial Narrow" w:eastAsia="仿宋" w:cs="宋体"/>
          <w:b/>
          <w:bCs/>
          <w:kern w:val="0"/>
          <w:sz w:val="24"/>
        </w:rPr>
        <w:t>（一）项目情况</w:t>
      </w:r>
      <w:bookmarkEnd w:id="4"/>
    </w:p>
    <w:p w14:paraId="114700A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项目名称：脱贫人口跨区域就业交通补助</w:t>
      </w:r>
    </w:p>
    <w:p w14:paraId="3E8AF311">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实施单位：重庆市铜梁区人力资源和社会保障局</w:t>
      </w:r>
    </w:p>
    <w:p w14:paraId="5B65C88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项目内容：对跨区域外出务工的脱贫人口适当安排交通补助。其中:能提供报销凭证的脱贫人口,按外出务工乘坐火车硬座、高铁</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动车</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二等座和省际</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县际</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班车客运的往返票据据实补助;对无法提供报销凭证的脱贫人口，按区</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县</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外市内就业50元、到市外就业200元的标准给予定额补助</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含往返费用</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，每年仅可享受一次。</w:t>
      </w:r>
    </w:p>
    <w:p w14:paraId="68DA73E5">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项目资金安排情况：该项目2023年计划投入30万元，追加投入1.95万元，实际投入31.95万元，均为上级补助资金。</w:t>
      </w:r>
    </w:p>
    <w:p w14:paraId="7A429A2B">
      <w:pPr>
        <w:spacing w:line="360" w:lineRule="auto"/>
        <w:ind w:firstLine="482" w:firstLineChars="200"/>
        <w:jc w:val="left"/>
        <w:outlineLvl w:val="0"/>
        <w:rPr>
          <w:rFonts w:ascii="Arial Narrow" w:hAnsi="Arial Narrow" w:eastAsia="仿宋_GB2312"/>
          <w:b/>
          <w:sz w:val="24"/>
        </w:rPr>
      </w:pPr>
      <w:bookmarkStart w:id="5" w:name="_Toc19296"/>
      <w:r>
        <w:rPr>
          <w:rFonts w:ascii="Arial Narrow" w:hAnsi="Arial Narrow" w:eastAsia="仿宋_GB2312"/>
          <w:b/>
          <w:sz w:val="24"/>
        </w:rPr>
        <w:t>二、绩效评价工作情况</w:t>
      </w:r>
      <w:bookmarkEnd w:id="5"/>
    </w:p>
    <w:p w14:paraId="0579F423">
      <w:pPr>
        <w:spacing w:line="360" w:lineRule="auto"/>
        <w:ind w:firstLine="482" w:firstLineChars="200"/>
        <w:jc w:val="left"/>
        <w:outlineLvl w:val="0"/>
        <w:rPr>
          <w:rFonts w:ascii="Arial Narrow" w:hAnsi="Arial Narrow" w:eastAsia="仿宋_GB2312"/>
          <w:b/>
          <w:sz w:val="24"/>
        </w:rPr>
      </w:pPr>
      <w:bookmarkStart w:id="6" w:name="_Toc513775099"/>
      <w:bookmarkStart w:id="7" w:name="_Toc13"/>
      <w:r>
        <w:rPr>
          <w:rFonts w:ascii="Arial Narrow" w:hAnsi="Arial Narrow" w:eastAsia="仿宋_GB2312"/>
          <w:b/>
          <w:sz w:val="24"/>
        </w:rPr>
        <w:t>（一）绩效评价目的</w:t>
      </w:r>
      <w:bookmarkEnd w:id="6"/>
      <w:bookmarkEnd w:id="7"/>
    </w:p>
    <w:p w14:paraId="45ECC46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0E09D5B2">
      <w:pPr>
        <w:spacing w:line="360" w:lineRule="auto"/>
        <w:ind w:firstLine="482" w:firstLineChars="200"/>
        <w:jc w:val="left"/>
        <w:outlineLvl w:val="0"/>
        <w:rPr>
          <w:rFonts w:ascii="Arial Narrow" w:hAnsi="Arial Narrow" w:eastAsia="仿宋_GB2312"/>
          <w:b/>
          <w:sz w:val="24"/>
        </w:rPr>
      </w:pPr>
      <w:bookmarkStart w:id="8" w:name="_Toc20940"/>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6243EDF7">
      <w:pPr>
        <w:pStyle w:val="13"/>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62C32DD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29F5531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6E35299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17BBC2B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5EF5585A">
      <w:pPr>
        <w:spacing w:line="360" w:lineRule="auto"/>
        <w:ind w:firstLine="482" w:firstLineChars="200"/>
        <w:jc w:val="left"/>
        <w:outlineLvl w:val="0"/>
        <w:rPr>
          <w:rFonts w:ascii="Arial Narrow" w:hAnsi="Arial Narrow" w:eastAsia="仿宋_GB2312"/>
          <w:b/>
          <w:sz w:val="24"/>
        </w:rPr>
      </w:pPr>
      <w:bookmarkStart w:id="11" w:name="_Toc20908"/>
      <w:r>
        <w:rPr>
          <w:rFonts w:ascii="Arial Narrow" w:hAnsi="Arial Narrow" w:eastAsia="仿宋_GB2312"/>
          <w:b/>
          <w:sz w:val="24"/>
        </w:rPr>
        <w:t>（三）绩效评价依据</w:t>
      </w:r>
      <w:bookmarkEnd w:id="9"/>
      <w:bookmarkEnd w:id="10"/>
      <w:bookmarkEnd w:id="11"/>
      <w:bookmarkStart w:id="12" w:name="_Toc335040595"/>
    </w:p>
    <w:bookmarkEnd w:id="12"/>
    <w:p w14:paraId="7B22C5D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7FF8BA3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.《重庆市铜梁区财政局关于开展2023年度项目财政重点绩效评价的通知》（铜财〔2024〕237号）</w:t>
      </w:r>
    </w:p>
    <w:p w14:paraId="1FF12048">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3.《重庆市财政衔接推进乡村振兴补助资金绩效评价及考核办法》（渝财农〔2022〕2号</w:t>
      </w:r>
      <w:r>
        <w:rPr>
          <w:rFonts w:hint="eastAsia" w:ascii="Arial Narrow" w:hAnsi="Arial Narrow" w:eastAsia="仿宋_GB2312"/>
          <w:color w:val="auto"/>
          <w:lang w:eastAsia="zh-CN"/>
        </w:rPr>
        <w:t>）</w:t>
      </w:r>
    </w:p>
    <w:p w14:paraId="1902A7F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w:t>
      </w:r>
      <w:r>
        <w:rPr>
          <w:rFonts w:hint="eastAsia" w:ascii="Arial Narrow" w:hAnsi="Arial Narrow" w:eastAsia="仿宋_GB2312"/>
          <w:color w:val="auto"/>
          <w:lang w:eastAsia="zh-CN"/>
        </w:rPr>
        <w:t>（</w:t>
      </w:r>
      <w:r>
        <w:rPr>
          <w:rFonts w:hint="eastAsia" w:ascii="Arial Narrow" w:hAnsi="Arial Narrow" w:eastAsia="仿宋_GB2312"/>
          <w:color w:val="auto"/>
        </w:rPr>
        <w:t>试行</w:t>
      </w:r>
      <w:r>
        <w:rPr>
          <w:rFonts w:hint="eastAsia" w:ascii="Arial Narrow" w:hAnsi="Arial Narrow" w:eastAsia="仿宋_GB2312"/>
          <w:color w:val="auto"/>
          <w:lang w:eastAsia="zh-CN"/>
        </w:rPr>
        <w:t>）</w:t>
      </w:r>
      <w:r>
        <w:rPr>
          <w:rFonts w:hint="eastAsia" w:ascii="Arial Narrow" w:hAnsi="Arial Narrow" w:eastAsia="仿宋_GB2312"/>
          <w:color w:val="auto"/>
        </w:rPr>
        <w:t>》（铜财〔2022〕41号）</w:t>
      </w:r>
    </w:p>
    <w:p w14:paraId="15F5F15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5E15025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69E2B13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3B37C75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3B2102E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40951CF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p>
    <w:p w14:paraId="74B2EB6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6C29447F">
      <w:pPr>
        <w:spacing w:line="360" w:lineRule="auto"/>
        <w:ind w:firstLine="482" w:firstLineChars="200"/>
        <w:jc w:val="left"/>
        <w:outlineLvl w:val="0"/>
        <w:rPr>
          <w:rFonts w:ascii="Arial Narrow" w:hAnsi="Arial Narrow" w:eastAsia="仿宋_GB2312"/>
          <w:b/>
          <w:sz w:val="24"/>
        </w:rPr>
      </w:pPr>
      <w:bookmarkStart w:id="14" w:name="_Toc25957"/>
      <w:r>
        <w:rPr>
          <w:rFonts w:ascii="Arial Narrow" w:hAnsi="Arial Narrow" w:eastAsia="仿宋_GB2312"/>
          <w:b/>
          <w:sz w:val="24"/>
        </w:rPr>
        <w:t>（四）绩效评价原则和指标体系</w:t>
      </w:r>
      <w:bookmarkEnd w:id="14"/>
    </w:p>
    <w:p w14:paraId="32C0872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5B60681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（1）相关性原则。应当与绩效目标有直接的联系，能够恰当反映目标的实现程度。</w:t>
      </w:r>
    </w:p>
    <w:p w14:paraId="0500FD2F">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（2）重要性原则。应优先使用最具评价对象代表性、最能反映评价要求的核心指标。</w:t>
      </w:r>
    </w:p>
    <w:p w14:paraId="0EFF0A0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43F8D6D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450415F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0B2C060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3E2F20A4">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hint="eastAsia" w:ascii="Arial Narrow" w:hAnsi="Arial Narrow" w:eastAsia="仿宋_GB2312"/>
          <w:color w:val="auto"/>
          <w:lang w:eastAsia="zh-CN"/>
        </w:rPr>
        <w:t>）</w:t>
      </w:r>
      <w:r>
        <w:rPr>
          <w:rFonts w:hint="eastAsia" w:ascii="Arial Narrow" w:hAnsi="Arial Narrow" w:eastAsia="仿宋_GB2312"/>
          <w:color w:val="auto"/>
        </w:rPr>
        <w:t>，本次绩效评价及考核指标体系如下：</w:t>
      </w:r>
    </w:p>
    <w:p w14:paraId="7EF60303">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8"/>
        <w:gridCol w:w="536"/>
        <w:gridCol w:w="2758"/>
        <w:gridCol w:w="3596"/>
      </w:tblGrid>
      <w:tr w14:paraId="620C67C5">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46CA8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61FA62F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543444A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583626C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分值</w:t>
            </w:r>
          </w:p>
        </w:tc>
        <w:tc>
          <w:tcPr>
            <w:tcW w:w="2758" w:type="dxa"/>
            <w:tcBorders>
              <w:top w:val="single" w:color="auto" w:sz="4" w:space="0"/>
              <w:left w:val="nil"/>
              <w:bottom w:val="single" w:color="auto" w:sz="4" w:space="0"/>
              <w:right w:val="single" w:color="auto" w:sz="4" w:space="0"/>
            </w:tcBorders>
            <w:shd w:val="clear" w:color="auto" w:fill="auto"/>
            <w:noWrap/>
            <w:vAlign w:val="center"/>
          </w:tcPr>
          <w:p w14:paraId="42D74C4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2E58B81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评价标准</w:t>
            </w:r>
          </w:p>
        </w:tc>
      </w:tr>
      <w:tr w14:paraId="75ED4A4F">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17CA7A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4F3AFCC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34D633D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11DC391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2758" w:type="dxa"/>
            <w:tcBorders>
              <w:top w:val="nil"/>
              <w:left w:val="nil"/>
              <w:bottom w:val="single" w:color="auto" w:sz="4" w:space="0"/>
              <w:right w:val="single" w:color="auto" w:sz="4" w:space="0"/>
            </w:tcBorders>
            <w:shd w:val="clear" w:color="auto" w:fill="auto"/>
            <w:vAlign w:val="center"/>
          </w:tcPr>
          <w:p w14:paraId="6AA2E38E">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6F14B2E7">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资金使用方向符合文件规定（2分）。</w:t>
            </w:r>
          </w:p>
        </w:tc>
      </w:tr>
      <w:tr w14:paraId="4EAE763D">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B7EB12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049BF1CD">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5F62FB6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5F7B260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2758" w:type="dxa"/>
            <w:tcBorders>
              <w:top w:val="nil"/>
              <w:left w:val="nil"/>
              <w:bottom w:val="single" w:color="auto" w:sz="4" w:space="0"/>
              <w:right w:val="single" w:color="auto" w:sz="4" w:space="0"/>
            </w:tcBorders>
            <w:shd w:val="clear" w:color="auto" w:fill="auto"/>
            <w:vAlign w:val="center"/>
          </w:tcPr>
          <w:p w14:paraId="188A350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4B0464D3">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区财政局下达资金文件时间到区级业务主管部门下达项目及资金计划文件时间间隔≤30日（3分）。</w:t>
            </w:r>
          </w:p>
        </w:tc>
      </w:tr>
      <w:tr w14:paraId="52CE2DDA">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07FF65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CF8132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38DE2F3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2C576D1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nil"/>
              <w:right w:val="nil"/>
            </w:tcBorders>
            <w:shd w:val="clear" w:color="auto" w:fill="auto"/>
            <w:vAlign w:val="center"/>
          </w:tcPr>
          <w:p w14:paraId="1B8C034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评价落实《铜梁区巩固拓展脱贫攻坚成果和衔接乡村振兴项目库建设管理实施细则》（铜乡振〔2021〕7号）落实情况。根据抽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3C42EE1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1.项目入库及时充分、程序规范、内容完整（3分）；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2.入库项目具备实施条件（2分）；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3.衔接资金用于项目库之外的项目（-5分）。</w:t>
            </w:r>
          </w:p>
        </w:tc>
      </w:tr>
      <w:tr w14:paraId="5183A367">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CAFA30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6625978A">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03C841D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53530A7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single" w:color="auto" w:sz="4" w:space="0"/>
              <w:left w:val="nil"/>
              <w:bottom w:val="single" w:color="auto" w:sz="4" w:space="0"/>
              <w:right w:val="single" w:color="auto" w:sz="4" w:space="0"/>
            </w:tcBorders>
            <w:shd w:val="clear" w:color="auto" w:fill="auto"/>
            <w:vAlign w:val="center"/>
          </w:tcPr>
          <w:p w14:paraId="3FA0C0D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评价具体项目实施方案明确绩效目标情况、开展跟踪监督绩效监控情况、事后评价情况等。根据抽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50C917C7">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1.及时制定绩效目标、审核绩效目标（2分）；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2.开展绩效监控不少于1次（2分）；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3.对绩效目标偏离项目采取纠偏措施（2分）；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4.项目实施完毕后立即开展绩效自评，并形成绩效自评报告及绩效自评表。（2分）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5.项目绩效是否达到预期。（2分）</w:t>
            </w:r>
          </w:p>
        </w:tc>
      </w:tr>
      <w:tr w14:paraId="56F00146">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1BA84E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195087B3">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964720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4516BCE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2758" w:type="dxa"/>
            <w:tcBorders>
              <w:top w:val="nil"/>
              <w:left w:val="nil"/>
              <w:bottom w:val="single" w:color="auto" w:sz="4" w:space="0"/>
              <w:right w:val="single" w:color="auto" w:sz="4" w:space="0"/>
            </w:tcBorders>
            <w:shd w:val="clear" w:color="auto" w:fill="auto"/>
            <w:vAlign w:val="center"/>
          </w:tcPr>
          <w:p w14:paraId="51897FF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评价有序推进项目前期工作、组织实施、项目验收、资料报送等情况。根据抽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1FC8911F">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1.项目实施方法存在变更是否按规定报批；（1分）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2.是否定期对项目实施情况进行监督检查，对检查中发现的问题进行整改；（2分）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3.是否按照项目实施节点按时提交项目报账资料；（1分）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4.日常管理资料是否及时归档整理；（1分）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5.项目完工后是否在规定时间内进行验收。（1分）</w:t>
            </w:r>
          </w:p>
        </w:tc>
      </w:tr>
      <w:tr w14:paraId="7BB40D45">
        <w:tblPrEx>
          <w:tblCellMar>
            <w:top w:w="0" w:type="dxa"/>
            <w:left w:w="108" w:type="dxa"/>
            <w:bottom w:w="0" w:type="dxa"/>
            <w:right w:w="108" w:type="dxa"/>
          </w:tblCellMar>
        </w:tblPrEx>
        <w:trPr>
          <w:cantSplit/>
          <w:trHeight w:val="405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5AAAFF6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41D60C90">
            <w:pPr>
              <w:widowControl/>
              <w:jc w:val="left"/>
              <w:rPr>
                <w:rFonts w:hint="eastAsia" w:ascii="仿宋_GB2312" w:hAnsi="仿宋_GB2312" w:eastAsia="仿宋_GB2312" w:cs="仿宋_GB2312"/>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1C05718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预算执行率情况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5C951F3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2758" w:type="dxa"/>
            <w:tcBorders>
              <w:top w:val="single" w:color="auto" w:sz="4" w:space="0"/>
              <w:left w:val="nil"/>
              <w:bottom w:val="single" w:color="auto" w:sz="4" w:space="0"/>
              <w:right w:val="single" w:color="auto" w:sz="4" w:space="0"/>
            </w:tcBorders>
            <w:shd w:val="clear" w:color="auto" w:fill="auto"/>
            <w:vAlign w:val="center"/>
          </w:tcPr>
          <w:p w14:paraId="2616E7FE">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评价有序推进项目工作和资金支付情况。根据抽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single" w:color="auto" w:sz="4" w:space="0"/>
              <w:left w:val="nil"/>
              <w:bottom w:val="single" w:color="auto" w:sz="4" w:space="0"/>
              <w:right w:val="single" w:color="auto" w:sz="4" w:space="0"/>
            </w:tcBorders>
            <w:shd w:val="clear" w:color="auto" w:fill="auto"/>
            <w:vAlign w:val="center"/>
          </w:tcPr>
          <w:p w14:paraId="68B3DB67">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主要通过支出进度评价有序推进项目工作和资金支付情况，于7月末、10月中旬定期调度。</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lang w:val="en-US" w:eastAsia="zh-CN"/>
              </w:rPr>
              <w:t>1</w:t>
            </w:r>
            <w:r>
              <w:rPr>
                <w:rFonts w:hint="eastAsia" w:ascii="仿宋_GB2312" w:hAnsi="仿宋_GB2312" w:eastAsia="仿宋_GB2312" w:cs="仿宋_GB2312"/>
                <w:kern w:val="0"/>
                <w:sz w:val="16"/>
                <w:szCs w:val="16"/>
              </w:rPr>
              <w:t>.7月末支出进度评分4分。资金支出进度达到全区平均进度或者序时进度的，得满分；未达到的按照与序时进度的比例扣分；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lang w:val="en-US" w:eastAsia="zh-CN"/>
              </w:rPr>
              <w:t>2</w:t>
            </w:r>
            <w:r>
              <w:rPr>
                <w:rFonts w:hint="eastAsia" w:ascii="仿宋_GB2312" w:hAnsi="仿宋_GB2312" w:eastAsia="仿宋_GB2312" w:cs="仿宋_GB2312"/>
                <w:kern w:val="0"/>
                <w:sz w:val="16"/>
                <w:szCs w:val="16"/>
              </w:rPr>
              <w:t>.10月中旬支出进度评分4分。资金支出进度达到全区平均进度或者序时进度的，得满分；未达到的按照与序时进度的比例扣分；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lang w:val="en-US" w:eastAsia="zh-CN"/>
              </w:rPr>
              <w:t>3</w:t>
            </w:r>
            <w:r>
              <w:rPr>
                <w:rFonts w:hint="eastAsia" w:ascii="仿宋_GB2312" w:hAnsi="仿宋_GB2312" w:eastAsia="仿宋_GB2312" w:cs="仿宋_GB2312"/>
                <w:kern w:val="0"/>
                <w:sz w:val="16"/>
                <w:szCs w:val="16"/>
              </w:rPr>
              <w:t>.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0DAD13C1">
        <w:tblPrEx>
          <w:tblCellMar>
            <w:top w:w="0" w:type="dxa"/>
            <w:left w:w="108" w:type="dxa"/>
            <w:bottom w:w="0" w:type="dxa"/>
            <w:right w:w="108" w:type="dxa"/>
          </w:tblCellMar>
        </w:tblPrEx>
        <w:trPr>
          <w:cantSplit/>
          <w:trHeight w:val="2165"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59150FE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7</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04ED2368">
            <w:pPr>
              <w:widowControl/>
              <w:jc w:val="left"/>
              <w:rPr>
                <w:rFonts w:hint="eastAsia" w:ascii="仿宋_GB2312" w:hAnsi="仿宋_GB2312" w:eastAsia="仿宋_GB2312" w:cs="仿宋_GB2312"/>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625B389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跟踪督促及发现问题整改情况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546F0CC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2758" w:type="dxa"/>
            <w:tcBorders>
              <w:top w:val="single" w:color="auto" w:sz="4" w:space="0"/>
              <w:left w:val="nil"/>
              <w:bottom w:val="single" w:color="auto" w:sz="4" w:space="0"/>
              <w:right w:val="single" w:color="auto" w:sz="4" w:space="0"/>
            </w:tcBorders>
            <w:shd w:val="clear" w:color="auto" w:fill="auto"/>
            <w:vAlign w:val="center"/>
          </w:tcPr>
          <w:p w14:paraId="4DA86DB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评价定期开展监督检查情况、发现问题整改情况。根据未处理问题比例扣减。根据抽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single" w:color="auto" w:sz="4" w:space="0"/>
              <w:left w:val="nil"/>
              <w:bottom w:val="single" w:color="auto" w:sz="4" w:space="0"/>
              <w:right w:val="single" w:color="auto" w:sz="4" w:space="0"/>
            </w:tcBorders>
            <w:shd w:val="clear" w:color="auto" w:fill="auto"/>
            <w:vAlign w:val="center"/>
          </w:tcPr>
          <w:p w14:paraId="095DF4C4">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1.定期开展项目实施和资金支出进度等跟踪督促情况，落实到位的得2分，未完全落实到位的酌情扣分；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2.跟踪督促及各类检查发现问题整改到位情况，满分5分，根据未整改问题比例扣减；</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3.全国12317防止返贫监测和乡村振兴咨询服务平台（简称12317平台）反馈问题处理情况，满分1分。</w:t>
            </w:r>
          </w:p>
        </w:tc>
      </w:tr>
      <w:tr w14:paraId="61FAAF02">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25CED0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33C2E27D">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537A3D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477657D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71C3F1F2">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评价账务处理，资产转固，收益管理、档案管理等情况。根据抽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1398EFB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1.财务处理是否规范，原始凭证是否齐全，建成资产是否及时转固、收益管理是否合规；（4分）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2.档案管理是否完整、合规、真实。（1分）</w:t>
            </w:r>
          </w:p>
        </w:tc>
      </w:tr>
      <w:tr w14:paraId="26EBA7D7">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7F78FA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67A497B5">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543F0F9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3923EE5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2758" w:type="dxa"/>
            <w:tcBorders>
              <w:top w:val="nil"/>
              <w:left w:val="nil"/>
              <w:bottom w:val="single" w:color="auto" w:sz="4" w:space="0"/>
              <w:right w:val="single" w:color="auto" w:sz="4" w:space="0"/>
            </w:tcBorders>
            <w:shd w:val="clear" w:color="auto" w:fill="auto"/>
            <w:vAlign w:val="center"/>
          </w:tcPr>
          <w:p w14:paraId="1A6EBF87">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评价区级、镇级、村级落实《铜梁区财政衔接推进乡村振兴补助资金项目公告公示实施办法》（铜委农办〔2021〕19号）文件要求情况。根据抽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1408B195">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分区级、镇级、村级进行评价。</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1.抽查区级公示公开情况，满分3分，未完整公开酌情扣分；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2.抽查镇级公示公开情况，满分3分，未完整公开酌情扣分；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3.抽查村级公示公开情况，满分3分，未完整公开酌情扣分。</w:t>
            </w:r>
          </w:p>
        </w:tc>
      </w:tr>
      <w:tr w14:paraId="5DB7AB24">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E135BB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D15D29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6710732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7E2FB0F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35</w:t>
            </w:r>
          </w:p>
        </w:tc>
        <w:tc>
          <w:tcPr>
            <w:tcW w:w="2758" w:type="dxa"/>
            <w:tcBorders>
              <w:top w:val="nil"/>
              <w:left w:val="nil"/>
              <w:bottom w:val="single" w:color="auto" w:sz="4" w:space="0"/>
              <w:right w:val="single" w:color="auto" w:sz="4" w:space="0"/>
            </w:tcBorders>
            <w:shd w:val="clear" w:color="auto" w:fill="auto"/>
            <w:vAlign w:val="center"/>
          </w:tcPr>
          <w:p w14:paraId="379B63A6">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评价项目是否达到预期成效，后续管护是否存在问题等。根据抽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1BE2D41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两不愁三保障</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和饮水安全、兜底保障等成果巩固情况；其他项目是否实现预期目标。</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满分35分，根据抽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项目情况赋分。项目管理各环节，每存在一例不符合相关规定的，扣0.5分，扣完为止。</w:t>
            </w:r>
          </w:p>
        </w:tc>
      </w:tr>
      <w:tr w14:paraId="1207E202">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60429F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3D140801">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DA98D7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6380D0D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2944C67B">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41BC0B32">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5C64D4EA">
        <w:tblPrEx>
          <w:tblCellMar>
            <w:top w:w="0" w:type="dxa"/>
            <w:left w:w="108" w:type="dxa"/>
            <w:bottom w:w="0" w:type="dxa"/>
            <w:right w:w="108" w:type="dxa"/>
          </w:tblCellMar>
        </w:tblPrEx>
        <w:trPr>
          <w:cantSplit/>
          <w:trHeight w:val="134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34DC82C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693F5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加减分指标</w:t>
            </w:r>
          </w:p>
        </w:tc>
        <w:tc>
          <w:tcPr>
            <w:tcW w:w="1048" w:type="dxa"/>
            <w:tcBorders>
              <w:top w:val="single" w:color="auto" w:sz="4" w:space="0"/>
              <w:left w:val="nil"/>
              <w:bottom w:val="single" w:color="auto" w:sz="4" w:space="0"/>
              <w:right w:val="single" w:color="auto" w:sz="4" w:space="0"/>
            </w:tcBorders>
            <w:shd w:val="clear" w:color="auto" w:fill="auto"/>
            <w:vAlign w:val="center"/>
          </w:tcPr>
          <w:p w14:paraId="5867FCE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0657A31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single" w:color="auto" w:sz="4" w:space="0"/>
              <w:left w:val="nil"/>
              <w:bottom w:val="single" w:color="auto" w:sz="4" w:space="0"/>
              <w:right w:val="single" w:color="auto" w:sz="4" w:space="0"/>
            </w:tcBorders>
            <w:shd w:val="clear" w:color="auto" w:fill="auto"/>
            <w:vAlign w:val="center"/>
          </w:tcPr>
          <w:p w14:paraId="3C99422A">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评价机制创新情况。最高加5分。</w:t>
            </w:r>
          </w:p>
        </w:tc>
        <w:tc>
          <w:tcPr>
            <w:tcW w:w="3596" w:type="dxa"/>
            <w:tcBorders>
              <w:top w:val="single" w:color="auto" w:sz="4" w:space="0"/>
              <w:left w:val="nil"/>
              <w:bottom w:val="single" w:color="auto" w:sz="4" w:space="0"/>
              <w:right w:val="single" w:color="auto" w:sz="4" w:space="0"/>
            </w:tcBorders>
            <w:shd w:val="clear" w:color="auto" w:fill="auto"/>
            <w:vAlign w:val="center"/>
          </w:tcPr>
          <w:p w14:paraId="68FA6A9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1.在财政衔接资金分配、使用、监管等方面存在机制创新；（2分）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2.国家、市级对我区财政衔接资金绩效评价中，被财政部、国家乡村振兴局及其第三方总结经验做法，并调研推广的。（3分）</w:t>
            </w:r>
          </w:p>
        </w:tc>
      </w:tr>
      <w:tr w14:paraId="3BD897C2">
        <w:tblPrEx>
          <w:tblCellMar>
            <w:top w:w="0" w:type="dxa"/>
            <w:left w:w="108" w:type="dxa"/>
            <w:bottom w:w="0" w:type="dxa"/>
            <w:right w:w="108" w:type="dxa"/>
          </w:tblCellMar>
        </w:tblPrEx>
        <w:trPr>
          <w:cantSplit/>
          <w:trHeight w:val="816"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0498FB9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13</w:t>
            </w:r>
          </w:p>
        </w:tc>
        <w:tc>
          <w:tcPr>
            <w:tcW w:w="1017" w:type="dxa"/>
            <w:vMerge w:val="continue"/>
            <w:tcBorders>
              <w:top w:val="single" w:color="auto" w:sz="4" w:space="0"/>
              <w:left w:val="single" w:color="auto" w:sz="4" w:space="0"/>
              <w:bottom w:val="single" w:color="000000" w:sz="4" w:space="0"/>
              <w:right w:val="single" w:color="auto" w:sz="4" w:space="0"/>
            </w:tcBorders>
            <w:vAlign w:val="center"/>
          </w:tcPr>
          <w:p w14:paraId="16DD4955">
            <w:pPr>
              <w:widowControl/>
              <w:jc w:val="left"/>
              <w:rPr>
                <w:rFonts w:hint="eastAsia" w:ascii="仿宋_GB2312" w:hAnsi="仿宋_GB2312" w:eastAsia="仿宋_GB2312" w:cs="仿宋_GB2312"/>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2589BDB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扣分项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4AC62D2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single" w:color="auto" w:sz="4" w:space="0"/>
              <w:left w:val="nil"/>
              <w:bottom w:val="single" w:color="auto" w:sz="4" w:space="0"/>
              <w:right w:val="single" w:color="auto" w:sz="4" w:space="0"/>
            </w:tcBorders>
            <w:shd w:val="clear" w:color="auto" w:fill="auto"/>
            <w:vAlign w:val="center"/>
          </w:tcPr>
          <w:p w14:paraId="51684A2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反映提供材料的真实性，有效性以及相关工作合法合规情况。（用于负面清单事项）</w:t>
            </w:r>
          </w:p>
        </w:tc>
        <w:tc>
          <w:tcPr>
            <w:tcW w:w="3596" w:type="dxa"/>
            <w:tcBorders>
              <w:top w:val="single" w:color="auto" w:sz="4" w:space="0"/>
              <w:left w:val="nil"/>
              <w:bottom w:val="single" w:color="auto" w:sz="4" w:space="0"/>
              <w:right w:val="single" w:color="auto" w:sz="4" w:space="0"/>
            </w:tcBorders>
            <w:shd w:val="clear" w:color="auto" w:fill="auto"/>
            <w:vAlign w:val="center"/>
          </w:tcPr>
          <w:p w14:paraId="1DAA342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考核材料、数据中存在虚假信息的，或经有关部门监督检查发现问题的，视情节严重程度扣1-10分。</w:t>
            </w:r>
          </w:p>
        </w:tc>
      </w:tr>
    </w:tbl>
    <w:p w14:paraId="03146B8F">
      <w:pPr>
        <w:spacing w:before="120" w:beforeLines="50" w:line="360" w:lineRule="auto"/>
        <w:ind w:firstLine="482" w:firstLineChars="200"/>
        <w:jc w:val="left"/>
        <w:outlineLvl w:val="0"/>
        <w:rPr>
          <w:rFonts w:ascii="Arial Narrow" w:hAnsi="Arial Narrow" w:eastAsia="仿宋_GB2312"/>
          <w:b/>
          <w:sz w:val="24"/>
        </w:rPr>
      </w:pPr>
      <w:bookmarkStart w:id="15" w:name="_Toc22559"/>
      <w:r>
        <w:rPr>
          <w:rFonts w:ascii="Arial Narrow" w:hAnsi="Arial Narrow" w:eastAsia="仿宋_GB2312"/>
          <w:b/>
          <w:sz w:val="24"/>
        </w:rPr>
        <w:t>（五）绩效评价标准和评价方法</w:t>
      </w:r>
      <w:bookmarkEnd w:id="15"/>
    </w:p>
    <w:p w14:paraId="677F693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7DDF045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102F31A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5C64A14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2EEC32D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70A2562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06E820C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4A6029A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1C19862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0EFAC5F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6012DA19">
      <w:pPr>
        <w:spacing w:line="360" w:lineRule="auto"/>
        <w:ind w:firstLine="482" w:firstLineChars="200"/>
        <w:jc w:val="left"/>
        <w:outlineLvl w:val="0"/>
        <w:rPr>
          <w:rFonts w:ascii="Arial Narrow" w:hAnsi="Arial Narrow" w:eastAsia="仿宋_GB2312"/>
          <w:b/>
          <w:sz w:val="24"/>
        </w:rPr>
      </w:pPr>
      <w:bookmarkStart w:id="18" w:name="_Toc437528932"/>
      <w:bookmarkStart w:id="19" w:name="_Toc32371"/>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2F70473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w:t>
      </w:r>
      <w:r>
        <w:rPr>
          <w:rFonts w:hint="eastAsia" w:ascii="Arial Narrow" w:hAnsi="Arial Narrow" w:eastAsia="仿宋_GB2312"/>
          <w:color w:val="auto"/>
          <w:lang w:eastAsia="zh-CN"/>
        </w:rPr>
        <w:t>“</w:t>
      </w:r>
      <w:r>
        <w:rPr>
          <w:rFonts w:hint="eastAsia" w:ascii="Arial Narrow" w:hAnsi="Arial Narrow" w:eastAsia="仿宋_GB2312"/>
          <w:color w:val="auto"/>
        </w:rPr>
        <w:t>2023年财政专项衔接资金项目</w:t>
      </w:r>
      <w:r>
        <w:rPr>
          <w:rFonts w:hint="eastAsia" w:ascii="Arial Narrow" w:hAnsi="Arial Narrow" w:eastAsia="仿宋_GB2312"/>
          <w:color w:val="auto"/>
          <w:lang w:eastAsia="zh-CN"/>
        </w:rPr>
        <w:t>”</w:t>
      </w:r>
      <w:r>
        <w:rPr>
          <w:rFonts w:hint="eastAsia" w:ascii="Arial Narrow" w:hAnsi="Arial Narrow" w:eastAsia="仿宋_GB2312"/>
          <w:color w:val="auto"/>
        </w:rPr>
        <w:t>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38B46B4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078DADFB">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6294D0E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46688F28">
      <w:pPr>
        <w:spacing w:line="360" w:lineRule="auto"/>
        <w:ind w:firstLine="482" w:firstLineChars="200"/>
        <w:jc w:val="left"/>
        <w:outlineLvl w:val="0"/>
        <w:rPr>
          <w:rFonts w:ascii="Arial Narrow" w:hAnsi="Arial Narrow" w:eastAsia="仿宋_GB2312"/>
          <w:b/>
          <w:sz w:val="24"/>
        </w:rPr>
      </w:pPr>
      <w:bookmarkStart w:id="20" w:name="_Toc437528933"/>
      <w:bookmarkStart w:id="21" w:name="_Toc14172"/>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2987ECFB">
      <w:pPr>
        <w:spacing w:line="360" w:lineRule="auto"/>
        <w:ind w:firstLine="480" w:firstLineChars="200"/>
        <w:jc w:val="left"/>
        <w:rPr>
          <w:rFonts w:ascii="Arial Narrow" w:hAnsi="Arial Narrow" w:eastAsia="仿宋_GB2312"/>
          <w:b/>
          <w:bCs/>
          <w:sz w:val="28"/>
          <w:szCs w:val="28"/>
        </w:rPr>
      </w:pPr>
      <w:r>
        <w:rPr>
          <w:rFonts w:hint="eastAsia" w:ascii="Arial Narrow" w:hAnsi="Arial Narrow" w:eastAsia="仿宋_GB2312"/>
          <w:sz w:val="24"/>
        </w:rPr>
        <w:t>重庆市铜梁区人力资源和社会保障局脱贫人口跨区域就业交通补贴项目</w:t>
      </w:r>
      <w:r>
        <w:rPr>
          <w:rFonts w:ascii="Arial Narrow" w:hAnsi="Arial Narrow" w:eastAsia="仿宋_GB2312"/>
          <w:sz w:val="24"/>
        </w:rPr>
        <w:t>绩效评价得分</w:t>
      </w:r>
      <w:r>
        <w:rPr>
          <w:rFonts w:hint="eastAsia" w:ascii="Arial Narrow" w:hAnsi="Arial Narrow" w:eastAsia="仿宋_GB2312"/>
          <w:sz w:val="24"/>
        </w:rPr>
        <w:t>98.00</w:t>
      </w:r>
      <w:r>
        <w:rPr>
          <w:rFonts w:ascii="Arial Narrow" w:hAnsi="Arial Narrow" w:eastAsia="仿宋_GB2312"/>
          <w:sz w:val="24"/>
        </w:rPr>
        <w:t>分，绩效评价等级为：</w:t>
      </w:r>
      <w:r>
        <w:rPr>
          <w:rFonts w:hint="eastAsia" w:ascii="Arial Narrow" w:hAnsi="Arial Narrow" w:eastAsia="仿宋_GB2312"/>
          <w:sz w:val="24"/>
        </w:rPr>
        <w:t>优。</w:t>
      </w:r>
    </w:p>
    <w:p w14:paraId="5216CE62">
      <w:pPr>
        <w:spacing w:line="360" w:lineRule="auto"/>
        <w:ind w:firstLine="482" w:firstLineChars="200"/>
        <w:outlineLvl w:val="0"/>
        <w:rPr>
          <w:rFonts w:ascii="Arial Narrow" w:hAnsi="Arial Narrow" w:eastAsia="仿宋_GB2312"/>
          <w:b/>
          <w:sz w:val="24"/>
        </w:rPr>
      </w:pPr>
      <w:bookmarkStart w:id="22" w:name="_Toc21150"/>
      <w:r>
        <w:rPr>
          <w:rFonts w:hint="eastAsia" w:ascii="Arial Narrow" w:hAnsi="Arial Narrow" w:eastAsia="仿宋_GB2312"/>
          <w:b/>
          <w:sz w:val="24"/>
        </w:rPr>
        <w:t>四、</w:t>
      </w:r>
      <w:r>
        <w:rPr>
          <w:rFonts w:ascii="Arial Narrow" w:hAnsi="Arial Narrow" w:eastAsia="仿宋_GB2312"/>
          <w:b/>
          <w:sz w:val="24"/>
        </w:rPr>
        <w:t>综合评价情况</w:t>
      </w:r>
      <w:bookmarkEnd w:id="22"/>
    </w:p>
    <w:p w14:paraId="60DEB998">
      <w:pPr>
        <w:spacing w:line="360" w:lineRule="auto"/>
        <w:ind w:firstLine="482" w:firstLineChars="200"/>
        <w:jc w:val="left"/>
        <w:outlineLvl w:val="0"/>
        <w:rPr>
          <w:rFonts w:ascii="仿宋_GB2312" w:eastAsia="仿宋_GB2312"/>
          <w:b/>
          <w:sz w:val="24"/>
        </w:rPr>
      </w:pPr>
      <w:bookmarkStart w:id="23" w:name="_Toc4566"/>
      <w:r>
        <w:rPr>
          <w:rFonts w:hint="eastAsia" w:ascii="仿宋_GB2312" w:eastAsia="仿宋_GB2312"/>
          <w:b/>
          <w:sz w:val="24"/>
        </w:rPr>
        <w:t>（一）资金管理</w:t>
      </w:r>
      <w:bookmarkEnd w:id="23"/>
    </w:p>
    <w:p w14:paraId="27C327B9">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53479CD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渝财农〔2022〕146</w:t>
      </w:r>
      <w:r>
        <w:rPr>
          <w:rFonts w:hint="eastAsia" w:ascii="Arial Narrow" w:hAnsi="Arial Narrow" w:eastAsia="仿宋_GB2312"/>
          <w:sz w:val="24"/>
          <w:lang w:val="en-US" w:eastAsia="zh-CN"/>
        </w:rPr>
        <w:t>号</w:t>
      </w:r>
      <w:r>
        <w:rPr>
          <w:rFonts w:hint="eastAsia" w:ascii="Arial Narrow" w:hAnsi="Arial Narrow" w:eastAsia="仿宋_GB2312"/>
          <w:sz w:val="24"/>
          <w:lang w:eastAsia="zh-CN"/>
        </w:rPr>
        <w:t>）</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铜财〔2023〕46号</w:t>
      </w:r>
      <w:r>
        <w:rPr>
          <w:rFonts w:hint="eastAsia" w:ascii="Arial Narrow" w:hAnsi="Arial Narrow" w:eastAsia="仿宋_GB2312"/>
          <w:sz w:val="24"/>
          <w:lang w:eastAsia="zh-CN"/>
        </w:rPr>
        <w:t>）</w:t>
      </w:r>
      <w:r>
        <w:rPr>
          <w:rFonts w:hint="eastAsia" w:ascii="Arial Narrow" w:hAnsi="Arial Narrow" w:eastAsia="仿宋_GB2312"/>
          <w:sz w:val="24"/>
        </w:rPr>
        <w:t>等相关政策性文件规定落实衔接资金。</w:t>
      </w:r>
    </w:p>
    <w:p w14:paraId="2A90EC9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6547209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项目资金从区财政局下达资金文件时间到区级业务主管部门下达项目及资金计划文件时间间隔小于30天。</w:t>
      </w:r>
    </w:p>
    <w:p w14:paraId="4FDC2002">
      <w:pPr>
        <w:spacing w:line="360" w:lineRule="auto"/>
        <w:ind w:firstLine="482" w:firstLineChars="200"/>
        <w:jc w:val="left"/>
        <w:outlineLvl w:val="0"/>
        <w:rPr>
          <w:rFonts w:ascii="仿宋_GB2312" w:eastAsia="仿宋_GB2312"/>
          <w:b/>
          <w:sz w:val="24"/>
        </w:rPr>
      </w:pPr>
      <w:bookmarkStart w:id="24" w:name="_Toc14440"/>
      <w:r>
        <w:rPr>
          <w:rFonts w:hint="eastAsia" w:ascii="仿宋_GB2312" w:eastAsia="仿宋_GB2312"/>
          <w:b/>
          <w:sz w:val="24"/>
        </w:rPr>
        <w:t>（二）项目管理</w:t>
      </w:r>
      <w:bookmarkEnd w:id="24"/>
    </w:p>
    <w:p w14:paraId="7FE6726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1.项目库建设管理情况</w:t>
      </w:r>
    </w:p>
    <w:p w14:paraId="482AD7A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项目入库及时充分、程序规范、内容完整，制定了切合实际的实施方案，具备实施条件，衔接资金未用于项目库之外的项目。</w:t>
      </w:r>
    </w:p>
    <w:p w14:paraId="0D8365C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2.项目绩效管理情况</w:t>
      </w:r>
    </w:p>
    <w:p w14:paraId="564A6AF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及时制定了明确的绩效目标，实施过程中对绩效目标进行监控，对绩效目标偏离项目采取纠偏措施。在项目实施完毕后开展了绩效自评，并形成绩效自评表、自评报告，项目绩效基本达到预期。</w:t>
      </w:r>
    </w:p>
    <w:p w14:paraId="5662C4A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3.项目建设管理情况</w:t>
      </w:r>
    </w:p>
    <w:p w14:paraId="678C849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项目实施方案不存在变更情况，实施过程中由铜梁区人社局进行监督检查，检查中未发现重大问题，项目按照实施节点按时提交项目报账资料，项目资料归档整理及时。</w:t>
      </w:r>
    </w:p>
    <w:p w14:paraId="1E56581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39AB31D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项目七月末、十月末资金支出进度均超过全区平均水平，12月中旬的资金预算执行率达到100%。</w:t>
      </w:r>
    </w:p>
    <w:p w14:paraId="7FD1026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3AF3ED6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2C9390E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634CC6C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29B8D82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7.信息公开和公告公示制度落实情况</w:t>
      </w:r>
    </w:p>
    <w:p w14:paraId="6916F67D">
      <w:pPr>
        <w:adjustRightInd w:val="0"/>
        <w:snapToGrid w:val="0"/>
        <w:spacing w:line="360" w:lineRule="auto"/>
        <w:ind w:firstLine="480" w:firstLineChars="200"/>
        <w:rPr>
          <w:rFonts w:hint="eastAsia" w:ascii="Arial Narrow" w:hAnsi="Arial Narrow" w:eastAsia="仿宋_GB2312"/>
          <w:sz w:val="24"/>
          <w:lang w:eastAsia="zh-CN"/>
        </w:rPr>
      </w:pPr>
      <w:r>
        <w:rPr>
          <w:rFonts w:hint="eastAsia" w:ascii="Arial Narrow" w:hAnsi="Arial Narrow" w:eastAsia="仿宋_GB2312"/>
          <w:sz w:val="24"/>
        </w:rPr>
        <w:t>铜梁区交通补助涉及的街镇在官网上对补贴人员进行了公示。</w:t>
      </w:r>
    </w:p>
    <w:p w14:paraId="26180E96">
      <w:pPr>
        <w:spacing w:line="360" w:lineRule="auto"/>
        <w:ind w:firstLine="482" w:firstLineChars="200"/>
        <w:jc w:val="left"/>
        <w:outlineLvl w:val="0"/>
        <w:rPr>
          <w:rFonts w:ascii="仿宋_GB2312" w:eastAsia="仿宋_GB2312"/>
          <w:b/>
          <w:sz w:val="24"/>
        </w:rPr>
      </w:pPr>
      <w:bookmarkStart w:id="25" w:name="_Toc4720"/>
      <w:r>
        <w:rPr>
          <w:rFonts w:hint="eastAsia" w:ascii="仿宋_GB2312" w:eastAsia="仿宋_GB2312"/>
          <w:b/>
          <w:sz w:val="24"/>
        </w:rPr>
        <w:t>（三）使用成效及通报情况</w:t>
      </w:r>
      <w:bookmarkEnd w:id="25"/>
    </w:p>
    <w:p w14:paraId="66D2EC7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1.资金使用效益</w:t>
      </w:r>
    </w:p>
    <w:p w14:paraId="220F29C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项目总体资金均专款专用，项目完成进度和及时性达到计划预期目的。完成项目的质量能够达标，完成进行了自评、项目资金完整。</w:t>
      </w:r>
    </w:p>
    <w:p w14:paraId="240FF04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1E800BB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w:t>
      </w:r>
      <w:r>
        <w:rPr>
          <w:rFonts w:hint="eastAsia" w:ascii="Arial Narrow" w:hAnsi="Arial Narrow" w:eastAsia="仿宋_GB2312"/>
          <w:sz w:val="24"/>
          <w:lang w:val="en-US" w:eastAsia="zh-CN"/>
        </w:rPr>
        <w:t>出现</w:t>
      </w:r>
      <w:r>
        <w:rPr>
          <w:rFonts w:hint="eastAsia" w:ascii="Arial Narrow" w:hAnsi="Arial Narrow" w:eastAsia="仿宋_GB2312"/>
          <w:sz w:val="24"/>
        </w:rPr>
        <w:t>被通报和问题反馈</w:t>
      </w:r>
      <w:r>
        <w:rPr>
          <w:rFonts w:hint="eastAsia" w:ascii="Arial Narrow" w:hAnsi="Arial Narrow" w:eastAsia="仿宋_GB2312"/>
          <w:sz w:val="24"/>
          <w:lang w:val="en-US" w:eastAsia="zh-CN"/>
        </w:rPr>
        <w:t>整改</w:t>
      </w:r>
      <w:r>
        <w:rPr>
          <w:rFonts w:hint="eastAsia" w:ascii="Arial Narrow" w:hAnsi="Arial Narrow" w:eastAsia="仿宋_GB2312"/>
          <w:sz w:val="24"/>
        </w:rPr>
        <w:t>情况。</w:t>
      </w:r>
    </w:p>
    <w:p w14:paraId="611C4CE1">
      <w:pPr>
        <w:spacing w:line="360" w:lineRule="auto"/>
        <w:ind w:firstLine="482" w:firstLineChars="200"/>
        <w:outlineLvl w:val="0"/>
        <w:rPr>
          <w:rFonts w:hint="eastAsia" w:ascii="Arial Narrow" w:hAnsi="Arial Narrow" w:eastAsia="仿宋_GB2312"/>
          <w:b/>
          <w:sz w:val="24"/>
        </w:rPr>
      </w:pPr>
      <w:bookmarkStart w:id="26" w:name="_Toc27603"/>
      <w:r>
        <w:rPr>
          <w:rFonts w:hint="eastAsia" w:ascii="Arial Narrow" w:hAnsi="Arial Narrow" w:eastAsia="仿宋_GB2312"/>
          <w:b/>
          <w:sz w:val="24"/>
        </w:rPr>
        <w:t>五、存在的问题和建议</w:t>
      </w:r>
      <w:bookmarkEnd w:id="26"/>
    </w:p>
    <w:p w14:paraId="7F9C29D8">
      <w:pPr>
        <w:spacing w:line="360" w:lineRule="auto"/>
        <w:ind w:firstLine="482" w:firstLineChars="200"/>
        <w:jc w:val="left"/>
        <w:outlineLvl w:val="0"/>
        <w:rPr>
          <w:rFonts w:ascii="仿宋_GB2312" w:eastAsia="仿宋_GB2312"/>
          <w:b/>
          <w:sz w:val="24"/>
        </w:rPr>
      </w:pPr>
      <w:bookmarkStart w:id="27" w:name="_Toc30505"/>
      <w:r>
        <w:rPr>
          <w:rFonts w:hint="eastAsia" w:ascii="仿宋_GB2312" w:eastAsia="仿宋_GB2312"/>
          <w:b/>
          <w:sz w:val="24"/>
        </w:rPr>
        <w:t>（一）存在问题</w:t>
      </w:r>
      <w:bookmarkEnd w:id="27"/>
    </w:p>
    <w:p w14:paraId="5E56FDA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1.项目资金拨付进度较晚，本项目最后一笔款项于2023年12月</w:t>
      </w:r>
      <w:r>
        <w:rPr>
          <w:rFonts w:hint="eastAsia" w:ascii="Arial Narrow" w:hAnsi="Arial Narrow" w:eastAsia="仿宋_GB2312"/>
          <w:sz w:val="24"/>
          <w:lang w:val="en-US" w:eastAsia="zh-CN"/>
        </w:rPr>
        <w:t>0</w:t>
      </w:r>
      <w:bookmarkStart w:id="29" w:name="_GoBack"/>
      <w:bookmarkEnd w:id="29"/>
      <w:r>
        <w:rPr>
          <w:rFonts w:hint="eastAsia" w:ascii="Arial Narrow" w:hAnsi="Arial Narrow" w:eastAsia="仿宋_GB2312"/>
          <w:sz w:val="24"/>
        </w:rPr>
        <w:t>1日拨付。</w:t>
      </w:r>
    </w:p>
    <w:p w14:paraId="1F1767D7">
      <w:pPr>
        <w:spacing w:line="360" w:lineRule="auto"/>
        <w:ind w:firstLine="482" w:firstLineChars="200"/>
        <w:jc w:val="left"/>
        <w:outlineLvl w:val="0"/>
        <w:rPr>
          <w:rFonts w:ascii="仿宋_GB2312" w:eastAsia="仿宋_GB2312"/>
          <w:b/>
          <w:sz w:val="24"/>
        </w:rPr>
      </w:pPr>
      <w:bookmarkStart w:id="28" w:name="_Toc25816"/>
      <w:r>
        <w:rPr>
          <w:rFonts w:hint="eastAsia" w:ascii="仿宋_GB2312" w:eastAsia="仿宋_GB2312"/>
          <w:b/>
          <w:sz w:val="24"/>
        </w:rPr>
        <w:t>（二）建议</w:t>
      </w:r>
      <w:bookmarkEnd w:id="28"/>
    </w:p>
    <w:p w14:paraId="659D5222">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1.严格按照财政资金预算执行，及时拨付项目资金。针对财政专项资金,建议实施单位在规定时间内支付项目资金,杜绝资金滞留、挤占、截留、挪用等现象的发生。</w:t>
      </w:r>
    </w:p>
    <w:p w14:paraId="3DFE7212">
      <w:pPr>
        <w:adjustRightInd w:val="0"/>
        <w:snapToGrid w:val="0"/>
        <w:spacing w:line="360" w:lineRule="auto"/>
        <w:ind w:firstLine="480" w:firstLineChars="200"/>
        <w:rPr>
          <w:rStyle w:val="10"/>
          <w:rFonts w:ascii="Arial Narrow" w:hAnsi="Arial Narrow" w:eastAsia="仿宋_GB2312"/>
          <w:color w:val="auto"/>
          <w:sz w:val="24"/>
          <w:u w:val="none"/>
        </w:rPr>
      </w:pPr>
    </w:p>
    <w:p w14:paraId="0882BB14">
      <w:pPr>
        <w:adjustRightInd w:val="0"/>
        <w:snapToGrid w:val="0"/>
        <w:spacing w:line="360" w:lineRule="auto"/>
        <w:ind w:firstLine="480" w:firstLineChars="200"/>
        <w:rPr>
          <w:rStyle w:val="10"/>
          <w:rFonts w:ascii="Arial Narrow" w:hAnsi="Arial Narrow" w:eastAsia="仿宋_GB2312"/>
          <w:color w:val="auto"/>
          <w:sz w:val="24"/>
          <w:u w:val="none"/>
        </w:rPr>
      </w:pPr>
    </w:p>
    <w:p w14:paraId="48A96453">
      <w:pPr>
        <w:adjustRightInd w:val="0"/>
        <w:snapToGrid w:val="0"/>
        <w:spacing w:line="360" w:lineRule="auto"/>
        <w:ind w:firstLine="480" w:firstLineChars="200"/>
        <w:rPr>
          <w:rStyle w:val="10"/>
          <w:rFonts w:ascii="Arial Narrow" w:hAnsi="Arial Narrow" w:eastAsia="仿宋_GB2312"/>
          <w:color w:val="auto"/>
          <w:sz w:val="24"/>
          <w:u w:val="none"/>
        </w:rPr>
      </w:pPr>
    </w:p>
    <w:p w14:paraId="37460AD0">
      <w:pPr>
        <w:adjustRightInd w:val="0"/>
        <w:snapToGrid w:val="0"/>
        <w:spacing w:line="360" w:lineRule="auto"/>
        <w:ind w:firstLine="480" w:firstLineChars="200"/>
        <w:rPr>
          <w:rStyle w:val="10"/>
          <w:rFonts w:ascii="Arial Narrow" w:hAnsi="Arial Narrow" w:eastAsia="仿宋_GB2312"/>
          <w:color w:val="auto"/>
          <w:sz w:val="24"/>
          <w:u w:val="none"/>
        </w:rPr>
      </w:pPr>
    </w:p>
    <w:p w14:paraId="125AA7DA">
      <w:pPr>
        <w:adjustRightInd w:val="0"/>
        <w:snapToGrid w:val="0"/>
        <w:spacing w:line="360" w:lineRule="auto"/>
        <w:ind w:firstLine="420" w:firstLineChars="200"/>
        <w:rPr>
          <w:rStyle w:val="10"/>
          <w:color w:val="auto"/>
          <w:u w:val="none"/>
        </w:rPr>
      </w:pPr>
    </w:p>
    <w:p w14:paraId="595AB947">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绩效评价指标体系及评分结果表；</w:t>
      </w:r>
    </w:p>
    <w:p w14:paraId="5D5C0BFE">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会计师事务所营业执照和资质复印件。</w:t>
      </w:r>
    </w:p>
    <w:p w14:paraId="11A3D956">
      <w:pPr>
        <w:adjustRightInd w:val="0"/>
        <w:snapToGrid w:val="0"/>
        <w:spacing w:line="360" w:lineRule="auto"/>
        <w:ind w:firstLine="720" w:firstLineChars="300"/>
        <w:rPr>
          <w:rStyle w:val="10"/>
          <w:rFonts w:ascii="Arial Narrow" w:hAnsi="Arial Narrow" w:eastAsia="仿宋_GB2312"/>
          <w:color w:val="auto"/>
          <w:sz w:val="24"/>
          <w:u w:val="none"/>
        </w:rPr>
      </w:pPr>
    </w:p>
    <w:p w14:paraId="722B67DF">
      <w:pPr>
        <w:adjustRightInd w:val="0"/>
        <w:snapToGrid w:val="0"/>
        <w:spacing w:line="360" w:lineRule="auto"/>
        <w:ind w:firstLine="720" w:firstLineChars="300"/>
        <w:rPr>
          <w:rStyle w:val="10"/>
          <w:rFonts w:ascii="Arial Narrow" w:hAnsi="Arial Narrow" w:eastAsia="仿宋_GB2312"/>
          <w:color w:val="auto"/>
          <w:sz w:val="24"/>
          <w:u w:val="none"/>
        </w:rPr>
      </w:pPr>
    </w:p>
    <w:p w14:paraId="0D5EF509">
      <w:pPr>
        <w:adjustRightInd w:val="0"/>
        <w:snapToGrid w:val="0"/>
        <w:spacing w:line="360" w:lineRule="auto"/>
        <w:ind w:firstLine="720" w:firstLineChars="300"/>
        <w:rPr>
          <w:rStyle w:val="10"/>
          <w:rFonts w:ascii="Arial Narrow" w:hAnsi="Arial Narrow" w:eastAsia="仿宋_GB2312"/>
          <w:color w:val="auto"/>
          <w:sz w:val="24"/>
          <w:u w:val="none"/>
        </w:rPr>
      </w:pPr>
    </w:p>
    <w:p w14:paraId="2277D4E2">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重庆铭鸿金全会计师事务所有限责任公司</w:t>
      </w:r>
    </w:p>
    <w:p w14:paraId="02EA9EDB">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r>
        <w:rPr>
          <w:rStyle w:val="10"/>
          <w:rFonts w:hint="eastAsia" w:ascii="Arial Narrow" w:hAnsi="Arial Narrow" w:eastAsia="仿宋_GB2312"/>
          <w:color w:val="auto"/>
          <w:sz w:val="24"/>
          <w:u w:val="none"/>
        </w:rPr>
        <w:t>二四年六月二十五日</w:t>
      </w:r>
    </w:p>
    <w:sectPr>
      <w:headerReference r:id="rId4" w:type="default"/>
      <w:footerReference r:id="rId5" w:type="default"/>
      <w:pgSz w:w="11907" w:h="16840" w:orient="landscape"/>
      <w:pgMar w:top="1418" w:right="1418" w:bottom="1134" w:left="1134" w:header="851" w:footer="851" w:gutter="0"/>
      <w:pgNumType w:fmt="decimal"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embedRegular r:id="rId1" w:fontKey="{68C4E038-59DB-4F15-A50D-763D5BC43D08}"/>
  </w:font>
  <w:font w:name="仿宋_GB2312">
    <w:panose1 w:val="02010609030101010101"/>
    <w:charset w:val="86"/>
    <w:family w:val="roman"/>
    <w:pitch w:val="default"/>
    <w:sig w:usb0="00000001" w:usb1="080E0000" w:usb2="00000000" w:usb3="00000000" w:csb0="00040000" w:csb1="00000000"/>
    <w:embedRegular r:id="rId2" w:fontKey="{4657A7E9-4BAA-406E-90D8-CCFC560E3405}"/>
  </w:font>
  <w:font w:name="仿宋">
    <w:panose1 w:val="02010609060101010101"/>
    <w:charset w:val="86"/>
    <w:family w:val="modern"/>
    <w:pitch w:val="default"/>
    <w:sig w:usb0="800002BF" w:usb1="38CF7CFA" w:usb2="00000016" w:usb3="00000000" w:csb0="00040001" w:csb1="00000000"/>
    <w:embedRegular r:id="rId3" w:fontKey="{AC6DE439-CC7C-4716-AFE7-F70FB70CBC0B}"/>
  </w:font>
  <w:font w:name="楷体">
    <w:panose1 w:val="02010609060101010101"/>
    <w:charset w:val="86"/>
    <w:family w:val="modern"/>
    <w:pitch w:val="default"/>
    <w:sig w:usb0="800002BF" w:usb1="38CF7CFA" w:usb2="00000016" w:usb3="00000000" w:csb0="00040001" w:csb1="00000000"/>
    <w:embedRegular r:id="rId4" w:fontKey="{6514DBFA-6D27-4534-9F0D-9E7F5467613C}"/>
  </w:font>
  <w:font w:name="MS Mincho">
    <w:panose1 w:val="02020609040205080304"/>
    <w:charset w:val="80"/>
    <w:family w:val="modern"/>
    <w:pitch w:val="default"/>
    <w:sig w:usb0="E00002FF" w:usb1="6AC7FDFB" w:usb2="00000012" w:usb3="00000000" w:csb0="4002009F" w:csb1="DFD70000"/>
    <w:embedRegular r:id="rId5" w:fontKey="{28DC3D06-73A5-4165-B5EC-92277687D43E}"/>
  </w:font>
  <w:font w:name="Segoe UI Symbol">
    <w:panose1 w:val="020B0502040204020203"/>
    <w:charset w:val="00"/>
    <w:family w:val="swiss"/>
    <w:pitch w:val="default"/>
    <w:sig w:usb0="8000006F" w:usb1="1200FBEF" w:usb2="0064C000" w:usb3="00000002" w:csb0="00000001" w:csb1="40000000"/>
    <w:embedRegular r:id="rId6" w:fontKey="{8CE2C73B-814E-4BAD-9EBD-8A2E5A55FE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3EB0C">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4F02A">
    <w:pPr>
      <w:pStyle w:val="4"/>
      <w:jc w:val="center"/>
      <w:rPr>
        <w:rFonts w:hint="eastAsia"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5783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E5783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4314B">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30294"/>
    <w:rsid w:val="00065B88"/>
    <w:rsid w:val="000769EE"/>
    <w:rsid w:val="0010003E"/>
    <w:rsid w:val="00104568"/>
    <w:rsid w:val="00143A99"/>
    <w:rsid w:val="001518C1"/>
    <w:rsid w:val="00164C87"/>
    <w:rsid w:val="001A3B2E"/>
    <w:rsid w:val="001A42EB"/>
    <w:rsid w:val="001D3E86"/>
    <w:rsid w:val="001E0132"/>
    <w:rsid w:val="001E1C7C"/>
    <w:rsid w:val="001F3624"/>
    <w:rsid w:val="001F43AE"/>
    <w:rsid w:val="00216472"/>
    <w:rsid w:val="00224020"/>
    <w:rsid w:val="00226E7E"/>
    <w:rsid w:val="00253F47"/>
    <w:rsid w:val="00276D1C"/>
    <w:rsid w:val="00282997"/>
    <w:rsid w:val="002C36AE"/>
    <w:rsid w:val="002C5020"/>
    <w:rsid w:val="002C7EFA"/>
    <w:rsid w:val="00324E2F"/>
    <w:rsid w:val="0037066E"/>
    <w:rsid w:val="003B42BF"/>
    <w:rsid w:val="003D6DF5"/>
    <w:rsid w:val="00414A58"/>
    <w:rsid w:val="004200C2"/>
    <w:rsid w:val="00420AA7"/>
    <w:rsid w:val="00421C71"/>
    <w:rsid w:val="004C38B4"/>
    <w:rsid w:val="004D2A6E"/>
    <w:rsid w:val="00501A64"/>
    <w:rsid w:val="00504C12"/>
    <w:rsid w:val="005559D9"/>
    <w:rsid w:val="00572DD6"/>
    <w:rsid w:val="00577922"/>
    <w:rsid w:val="005F01BA"/>
    <w:rsid w:val="0061417A"/>
    <w:rsid w:val="006758AC"/>
    <w:rsid w:val="00691984"/>
    <w:rsid w:val="0069678B"/>
    <w:rsid w:val="006E75D6"/>
    <w:rsid w:val="0073019B"/>
    <w:rsid w:val="00740E9D"/>
    <w:rsid w:val="00741402"/>
    <w:rsid w:val="007A6BE6"/>
    <w:rsid w:val="007E1784"/>
    <w:rsid w:val="00842151"/>
    <w:rsid w:val="00856815"/>
    <w:rsid w:val="008952B1"/>
    <w:rsid w:val="008D4F7C"/>
    <w:rsid w:val="008D61C7"/>
    <w:rsid w:val="008E42A0"/>
    <w:rsid w:val="008E609D"/>
    <w:rsid w:val="00910A3F"/>
    <w:rsid w:val="00923C5A"/>
    <w:rsid w:val="00983CB7"/>
    <w:rsid w:val="009957B8"/>
    <w:rsid w:val="009A2859"/>
    <w:rsid w:val="00A352D4"/>
    <w:rsid w:val="00A864A1"/>
    <w:rsid w:val="00A95CA5"/>
    <w:rsid w:val="00AC6BFD"/>
    <w:rsid w:val="00AD2B73"/>
    <w:rsid w:val="00AE470F"/>
    <w:rsid w:val="00AF58DD"/>
    <w:rsid w:val="00B134A6"/>
    <w:rsid w:val="00B50038"/>
    <w:rsid w:val="00BA1016"/>
    <w:rsid w:val="00BB3674"/>
    <w:rsid w:val="00BC321E"/>
    <w:rsid w:val="00BC7BED"/>
    <w:rsid w:val="00BF21E7"/>
    <w:rsid w:val="00C107C7"/>
    <w:rsid w:val="00C12443"/>
    <w:rsid w:val="00C35442"/>
    <w:rsid w:val="00C44870"/>
    <w:rsid w:val="00C60A62"/>
    <w:rsid w:val="00CB54FB"/>
    <w:rsid w:val="00CF6D2F"/>
    <w:rsid w:val="00D254D3"/>
    <w:rsid w:val="00D26E16"/>
    <w:rsid w:val="00D415D5"/>
    <w:rsid w:val="00D8481C"/>
    <w:rsid w:val="00DB55F0"/>
    <w:rsid w:val="00E109BC"/>
    <w:rsid w:val="00E23D6E"/>
    <w:rsid w:val="00E27A95"/>
    <w:rsid w:val="00E80BDA"/>
    <w:rsid w:val="00EB474C"/>
    <w:rsid w:val="00F24091"/>
    <w:rsid w:val="00F53FCF"/>
    <w:rsid w:val="00F54C3F"/>
    <w:rsid w:val="00F61D28"/>
    <w:rsid w:val="00F64D50"/>
    <w:rsid w:val="00F6551E"/>
    <w:rsid w:val="00FC25B3"/>
    <w:rsid w:val="00FD1A79"/>
    <w:rsid w:val="00FE1E65"/>
    <w:rsid w:val="00FF5AA5"/>
    <w:rsid w:val="00FF5C51"/>
    <w:rsid w:val="02717C9D"/>
    <w:rsid w:val="0949562E"/>
    <w:rsid w:val="0C955D75"/>
    <w:rsid w:val="0F770F5F"/>
    <w:rsid w:val="10FD0312"/>
    <w:rsid w:val="120E6874"/>
    <w:rsid w:val="1D707C47"/>
    <w:rsid w:val="1FA74C29"/>
    <w:rsid w:val="270731DD"/>
    <w:rsid w:val="357129F4"/>
    <w:rsid w:val="362C33CD"/>
    <w:rsid w:val="371050B8"/>
    <w:rsid w:val="3813727B"/>
    <w:rsid w:val="45947F31"/>
    <w:rsid w:val="45DA4CBE"/>
    <w:rsid w:val="4DF1278B"/>
    <w:rsid w:val="58B21157"/>
    <w:rsid w:val="5A58135B"/>
    <w:rsid w:val="5CE7720C"/>
    <w:rsid w:val="5EBA3C08"/>
    <w:rsid w:val="5FCA7826"/>
    <w:rsid w:val="60087B46"/>
    <w:rsid w:val="62165C60"/>
    <w:rsid w:val="629B4EDD"/>
    <w:rsid w:val="6321446D"/>
    <w:rsid w:val="6A02189A"/>
    <w:rsid w:val="6C0B491D"/>
    <w:rsid w:val="6FB23D9E"/>
    <w:rsid w:val="700341F4"/>
    <w:rsid w:val="746F2B1E"/>
    <w:rsid w:val="7DCC0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9</Pages>
  <Words>5500</Words>
  <Characters>5819</Characters>
  <Lines>50</Lines>
  <Paragraphs>14</Paragraphs>
  <TotalTime>4</TotalTime>
  <ScaleCrop>false</ScaleCrop>
  <LinksUpToDate>false</LinksUpToDate>
  <CharactersWithSpaces>5836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2024-11-19T09:39:29Z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