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0EB50">
      <w:pPr>
        <w:spacing w:line="360" w:lineRule="auto"/>
        <w:jc w:val="center"/>
        <w:rPr>
          <w:rFonts w:ascii="Arial Narrow" w:hAnsi="Arial Narrow"/>
          <w:b/>
          <w:bCs/>
          <w:sz w:val="36"/>
          <w:szCs w:val="36"/>
        </w:rPr>
      </w:pPr>
    </w:p>
    <w:p w14:paraId="5DB1D73B">
      <w:pPr>
        <w:spacing w:line="360" w:lineRule="auto"/>
        <w:jc w:val="center"/>
        <w:rPr>
          <w:rFonts w:ascii="Arial Narrow" w:hAnsi="Arial Narrow"/>
          <w:b/>
          <w:bCs/>
          <w:sz w:val="36"/>
          <w:szCs w:val="36"/>
        </w:rPr>
      </w:pPr>
    </w:p>
    <w:p w14:paraId="1FF400FD">
      <w:pPr>
        <w:spacing w:line="360" w:lineRule="auto"/>
        <w:jc w:val="center"/>
        <w:rPr>
          <w:rFonts w:ascii="Arial Narrow" w:hAnsi="Arial Narrow"/>
          <w:b/>
          <w:bCs/>
          <w:sz w:val="36"/>
          <w:szCs w:val="36"/>
        </w:rPr>
      </w:pPr>
    </w:p>
    <w:p w14:paraId="3F0DC832">
      <w:pPr>
        <w:spacing w:line="360" w:lineRule="auto"/>
        <w:jc w:val="center"/>
        <w:rPr>
          <w:rFonts w:ascii="Arial Narrow" w:hAnsi="Arial Narrow"/>
          <w:b/>
          <w:bCs/>
          <w:sz w:val="36"/>
          <w:szCs w:val="36"/>
        </w:rPr>
      </w:pPr>
    </w:p>
    <w:p w14:paraId="0DAC6EBC">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重庆市铜梁区生态环境局公益性岗位项目</w:t>
      </w:r>
    </w:p>
    <w:p w14:paraId="3C33023D">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20065FEB">
      <w:pPr>
        <w:adjustRightInd w:val="0"/>
        <w:snapToGrid w:val="0"/>
        <w:spacing w:line="360" w:lineRule="auto"/>
        <w:jc w:val="center"/>
        <w:rPr>
          <w:rFonts w:ascii="Arial Narrow" w:hAnsi="Arial Narrow"/>
          <w:b/>
          <w:sz w:val="36"/>
          <w:szCs w:val="36"/>
        </w:rPr>
      </w:pPr>
    </w:p>
    <w:p w14:paraId="282BBDF4">
      <w:pPr>
        <w:adjustRightInd w:val="0"/>
        <w:snapToGrid w:val="0"/>
        <w:spacing w:line="360" w:lineRule="auto"/>
        <w:jc w:val="center"/>
        <w:rPr>
          <w:rFonts w:ascii="Arial Narrow" w:hAnsi="Arial Narrow"/>
          <w:b/>
          <w:spacing w:val="100"/>
          <w:sz w:val="32"/>
          <w:szCs w:val="32"/>
        </w:rPr>
      </w:pPr>
    </w:p>
    <w:p w14:paraId="0E7AA4DA">
      <w:pPr>
        <w:adjustRightInd w:val="0"/>
        <w:snapToGrid w:val="0"/>
        <w:spacing w:line="360" w:lineRule="auto"/>
        <w:jc w:val="center"/>
        <w:rPr>
          <w:rFonts w:ascii="Arial Narrow" w:hAnsi="Arial Narrow"/>
          <w:b/>
          <w:spacing w:val="100"/>
          <w:sz w:val="32"/>
          <w:szCs w:val="32"/>
        </w:rPr>
      </w:pPr>
    </w:p>
    <w:p w14:paraId="342E3F37">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3A2207C3">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ascii="Arial Narrow" w:hAnsi="Arial Narrow" w:eastAsia="仿宋"/>
          <w:bCs/>
          <w:sz w:val="32"/>
          <w:szCs w:val="32"/>
        </w:rPr>
        <w:t>0</w:t>
      </w:r>
      <w:r>
        <w:rPr>
          <w:rFonts w:hint="eastAsia" w:ascii="Arial Narrow" w:hAnsi="Arial Narrow" w:eastAsia="仿宋"/>
          <w:bCs/>
          <w:sz w:val="32"/>
          <w:szCs w:val="32"/>
        </w:rPr>
        <w:t>48</w:t>
      </w:r>
      <w:r>
        <w:rPr>
          <w:rFonts w:ascii="Arial Narrow" w:hAnsi="Arial Narrow" w:eastAsia="仿宋"/>
          <w:bCs/>
          <w:sz w:val="32"/>
          <w:szCs w:val="32"/>
        </w:rPr>
        <w:t>号</w:t>
      </w:r>
    </w:p>
    <w:p w14:paraId="38084C9F">
      <w:pPr>
        <w:adjustRightInd w:val="0"/>
        <w:snapToGrid w:val="0"/>
        <w:spacing w:line="360" w:lineRule="auto"/>
        <w:jc w:val="center"/>
        <w:rPr>
          <w:rFonts w:ascii="Arial Narrow" w:hAnsi="Arial Narrow"/>
          <w:b/>
          <w:spacing w:val="100"/>
          <w:sz w:val="32"/>
          <w:szCs w:val="32"/>
        </w:rPr>
      </w:pPr>
    </w:p>
    <w:p w14:paraId="459201A2">
      <w:pPr>
        <w:adjustRightInd w:val="0"/>
        <w:snapToGrid w:val="0"/>
        <w:spacing w:line="360" w:lineRule="auto"/>
        <w:jc w:val="center"/>
        <w:rPr>
          <w:rFonts w:ascii="Arial Narrow" w:hAnsi="Arial Narrow"/>
          <w:b/>
          <w:spacing w:val="100"/>
          <w:sz w:val="32"/>
          <w:szCs w:val="32"/>
        </w:rPr>
      </w:pPr>
    </w:p>
    <w:p w14:paraId="20762443">
      <w:pPr>
        <w:adjustRightInd w:val="0"/>
        <w:snapToGrid w:val="0"/>
        <w:spacing w:line="360" w:lineRule="auto"/>
        <w:jc w:val="center"/>
        <w:rPr>
          <w:rFonts w:ascii="Arial Narrow" w:hAnsi="Arial Narrow"/>
          <w:b/>
          <w:spacing w:val="100"/>
          <w:sz w:val="32"/>
          <w:szCs w:val="32"/>
        </w:rPr>
      </w:pPr>
    </w:p>
    <w:p w14:paraId="641DF57E">
      <w:pPr>
        <w:adjustRightInd w:val="0"/>
        <w:snapToGrid w:val="0"/>
        <w:spacing w:line="360" w:lineRule="auto"/>
        <w:jc w:val="center"/>
        <w:rPr>
          <w:rFonts w:ascii="Arial Narrow" w:hAnsi="Arial Narrow"/>
          <w:b/>
          <w:spacing w:val="100"/>
          <w:sz w:val="32"/>
          <w:szCs w:val="32"/>
        </w:rPr>
      </w:pPr>
    </w:p>
    <w:p w14:paraId="779C8094">
      <w:pPr>
        <w:adjustRightInd w:val="0"/>
        <w:snapToGrid w:val="0"/>
        <w:spacing w:line="360" w:lineRule="auto"/>
        <w:jc w:val="center"/>
        <w:rPr>
          <w:rFonts w:ascii="Arial Narrow" w:hAnsi="Arial Narrow"/>
          <w:b/>
          <w:spacing w:val="100"/>
          <w:sz w:val="32"/>
          <w:szCs w:val="32"/>
        </w:rPr>
      </w:pPr>
    </w:p>
    <w:p w14:paraId="72EAAB32">
      <w:pPr>
        <w:adjustRightInd w:val="0"/>
        <w:snapToGrid w:val="0"/>
        <w:spacing w:line="360" w:lineRule="auto"/>
        <w:jc w:val="center"/>
        <w:rPr>
          <w:rFonts w:ascii="Arial Narrow" w:hAnsi="Arial Narrow"/>
          <w:b/>
          <w:spacing w:val="100"/>
          <w:sz w:val="32"/>
          <w:szCs w:val="32"/>
        </w:rPr>
      </w:pPr>
    </w:p>
    <w:p w14:paraId="1F2EAB92">
      <w:pPr>
        <w:adjustRightInd w:val="0"/>
        <w:snapToGrid w:val="0"/>
        <w:spacing w:line="360" w:lineRule="auto"/>
        <w:jc w:val="center"/>
        <w:rPr>
          <w:rFonts w:ascii="Arial Narrow" w:hAnsi="Arial Narrow"/>
          <w:b/>
          <w:spacing w:val="100"/>
          <w:sz w:val="32"/>
          <w:szCs w:val="32"/>
        </w:rPr>
      </w:pPr>
    </w:p>
    <w:p w14:paraId="5E001720">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重庆铭鸿金全会计师事务所有限公司</w:t>
      </w:r>
    </w:p>
    <w:p w14:paraId="5F9CE663">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07E3BEDA">
      <w:pPr>
        <w:spacing w:line="360" w:lineRule="auto"/>
        <w:jc w:val="center"/>
        <w:rPr>
          <w:rFonts w:ascii="Arial Narrow" w:hAnsi="Arial Narrow"/>
          <w:sz w:val="24"/>
        </w:rPr>
      </w:pPr>
    </w:p>
    <w:p w14:paraId="07232B69">
      <w:pPr>
        <w:pStyle w:val="7"/>
        <w:tabs>
          <w:tab w:val="right" w:leader="dot" w:pos="8788"/>
          <w:tab w:val="clear" w:pos="8778"/>
        </w:tabs>
      </w:pPr>
      <w:r>
        <w:rPr>
          <w:rStyle w:val="11"/>
          <w:color w:val="auto"/>
          <w:u w:val="none"/>
        </w:rPr>
        <w:fldChar w:fldCharType="begin"/>
      </w:r>
      <w:r>
        <w:rPr>
          <w:rStyle w:val="11"/>
          <w:rFonts w:ascii="仿宋" w:hAnsi="仿宋" w:eastAsia="仿宋"/>
          <w:b w:val="0"/>
          <w:bCs w:val="0"/>
          <w:color w:val="auto"/>
          <w:szCs w:val="21"/>
          <w:u w:val="none"/>
        </w:rPr>
        <w:instrText xml:space="preserve"> TOC \o "1-3" \h \z \u </w:instrText>
      </w:r>
      <w:r>
        <w:rPr>
          <w:rStyle w:val="11"/>
          <w:color w:val="auto"/>
          <w:u w:val="none"/>
        </w:rPr>
        <w:fldChar w:fldCharType="separate"/>
      </w:r>
      <w:r>
        <w:fldChar w:fldCharType="begin"/>
      </w:r>
      <w:r>
        <w:instrText xml:space="preserve"> HYPERLINK \l "_Toc10984" </w:instrText>
      </w:r>
      <w:r>
        <w:fldChar w:fldCharType="separate"/>
      </w:r>
      <w:r>
        <w:t>一、基本情况</w:t>
      </w:r>
      <w:r>
        <w:tab/>
      </w:r>
      <w:r>
        <w:fldChar w:fldCharType="begin"/>
      </w:r>
      <w:r>
        <w:instrText xml:space="preserve"> PAGEREF _Toc10984 \h </w:instrText>
      </w:r>
      <w:r>
        <w:fldChar w:fldCharType="separate"/>
      </w:r>
      <w:r>
        <w:t>1</w:t>
      </w:r>
      <w:r>
        <w:fldChar w:fldCharType="end"/>
      </w:r>
      <w:r>
        <w:fldChar w:fldCharType="end"/>
      </w:r>
    </w:p>
    <w:p w14:paraId="02321E91">
      <w:pPr>
        <w:pStyle w:val="7"/>
        <w:tabs>
          <w:tab w:val="right" w:leader="dot" w:pos="8788"/>
          <w:tab w:val="clear" w:pos="8778"/>
        </w:tabs>
      </w:pPr>
      <w:r>
        <w:fldChar w:fldCharType="begin"/>
      </w:r>
      <w:r>
        <w:instrText xml:space="preserve"> HYPERLINK \l "_Toc14527" </w:instrText>
      </w:r>
      <w:r>
        <w:fldChar w:fldCharType="separate"/>
      </w:r>
      <w:r>
        <w:rPr>
          <w:rFonts w:hint="eastAsia"/>
        </w:rPr>
        <w:t>（一）项目情况</w:t>
      </w:r>
      <w:r>
        <w:tab/>
      </w:r>
      <w:r>
        <w:fldChar w:fldCharType="begin"/>
      </w:r>
      <w:r>
        <w:instrText xml:space="preserve"> PAGEREF _Toc14527 \h </w:instrText>
      </w:r>
      <w:r>
        <w:fldChar w:fldCharType="separate"/>
      </w:r>
      <w:r>
        <w:t>1</w:t>
      </w:r>
      <w:r>
        <w:fldChar w:fldCharType="end"/>
      </w:r>
      <w:r>
        <w:fldChar w:fldCharType="end"/>
      </w:r>
    </w:p>
    <w:p w14:paraId="67BA60DE">
      <w:pPr>
        <w:pStyle w:val="7"/>
        <w:tabs>
          <w:tab w:val="right" w:leader="dot" w:pos="8788"/>
          <w:tab w:val="clear" w:pos="8778"/>
        </w:tabs>
      </w:pPr>
      <w:r>
        <w:fldChar w:fldCharType="begin"/>
      </w:r>
      <w:r>
        <w:instrText xml:space="preserve"> HYPERLINK \l "_Toc13573" </w:instrText>
      </w:r>
      <w:r>
        <w:fldChar w:fldCharType="separate"/>
      </w:r>
      <w:r>
        <w:t>二、绩效评价工作情况</w:t>
      </w:r>
      <w:r>
        <w:tab/>
      </w:r>
      <w:r>
        <w:fldChar w:fldCharType="begin"/>
      </w:r>
      <w:r>
        <w:instrText xml:space="preserve"> PAGEREF _Toc13573 \h </w:instrText>
      </w:r>
      <w:r>
        <w:fldChar w:fldCharType="separate"/>
      </w:r>
      <w:r>
        <w:t>1</w:t>
      </w:r>
      <w:r>
        <w:fldChar w:fldCharType="end"/>
      </w:r>
      <w:r>
        <w:fldChar w:fldCharType="end"/>
      </w:r>
    </w:p>
    <w:p w14:paraId="269DD3D7">
      <w:pPr>
        <w:pStyle w:val="7"/>
        <w:tabs>
          <w:tab w:val="right" w:leader="dot" w:pos="8788"/>
          <w:tab w:val="clear" w:pos="8778"/>
        </w:tabs>
      </w:pPr>
      <w:r>
        <w:fldChar w:fldCharType="begin"/>
      </w:r>
      <w:r>
        <w:instrText xml:space="preserve"> HYPERLINK \l "_Toc1668" </w:instrText>
      </w:r>
      <w:r>
        <w:fldChar w:fldCharType="separate"/>
      </w:r>
      <w:r>
        <w:t>（一）绩效评价目的</w:t>
      </w:r>
      <w:r>
        <w:tab/>
      </w:r>
      <w:r>
        <w:fldChar w:fldCharType="begin"/>
      </w:r>
      <w:r>
        <w:instrText xml:space="preserve"> PAGEREF _Toc1668 \h </w:instrText>
      </w:r>
      <w:r>
        <w:fldChar w:fldCharType="separate"/>
      </w:r>
      <w:r>
        <w:t>1</w:t>
      </w:r>
      <w:r>
        <w:fldChar w:fldCharType="end"/>
      </w:r>
      <w:r>
        <w:fldChar w:fldCharType="end"/>
      </w:r>
    </w:p>
    <w:p w14:paraId="3180C06F">
      <w:pPr>
        <w:pStyle w:val="7"/>
        <w:tabs>
          <w:tab w:val="right" w:leader="dot" w:pos="8788"/>
          <w:tab w:val="clear" w:pos="8778"/>
        </w:tabs>
      </w:pPr>
      <w:r>
        <w:fldChar w:fldCharType="begin"/>
      </w:r>
      <w:r>
        <w:instrText xml:space="preserve"> HYPERLINK \l "_Toc22530" </w:instrText>
      </w:r>
      <w:r>
        <w:fldChar w:fldCharType="separate"/>
      </w:r>
      <w:r>
        <w:t>（二）绩效评价的</w:t>
      </w:r>
      <w:r>
        <w:rPr>
          <w:rFonts w:hint="eastAsia"/>
        </w:rPr>
        <w:t>基本内容</w:t>
      </w:r>
      <w:r>
        <w:tab/>
      </w:r>
      <w:r>
        <w:fldChar w:fldCharType="begin"/>
      </w:r>
      <w:r>
        <w:instrText xml:space="preserve"> PAGEREF _Toc22530 \h </w:instrText>
      </w:r>
      <w:r>
        <w:fldChar w:fldCharType="separate"/>
      </w:r>
      <w:r>
        <w:t>1</w:t>
      </w:r>
      <w:r>
        <w:fldChar w:fldCharType="end"/>
      </w:r>
      <w:r>
        <w:fldChar w:fldCharType="end"/>
      </w:r>
    </w:p>
    <w:p w14:paraId="65DAE25E">
      <w:pPr>
        <w:pStyle w:val="7"/>
        <w:tabs>
          <w:tab w:val="right" w:leader="dot" w:pos="8788"/>
          <w:tab w:val="clear" w:pos="8778"/>
        </w:tabs>
      </w:pPr>
      <w:r>
        <w:fldChar w:fldCharType="begin"/>
      </w:r>
      <w:r>
        <w:instrText xml:space="preserve"> HYPERLINK \l "_Toc1734" </w:instrText>
      </w:r>
      <w:r>
        <w:fldChar w:fldCharType="separate"/>
      </w:r>
      <w:r>
        <w:t>（三）绩效评价依据</w:t>
      </w:r>
      <w:r>
        <w:tab/>
      </w:r>
      <w:r>
        <w:fldChar w:fldCharType="begin"/>
      </w:r>
      <w:r>
        <w:instrText xml:space="preserve"> PAGEREF _Toc1734 \h </w:instrText>
      </w:r>
      <w:r>
        <w:fldChar w:fldCharType="separate"/>
      </w:r>
      <w:r>
        <w:t>2</w:t>
      </w:r>
      <w:r>
        <w:fldChar w:fldCharType="end"/>
      </w:r>
      <w:r>
        <w:fldChar w:fldCharType="end"/>
      </w:r>
    </w:p>
    <w:p w14:paraId="781AEB76">
      <w:pPr>
        <w:pStyle w:val="7"/>
        <w:tabs>
          <w:tab w:val="right" w:leader="dot" w:pos="8788"/>
          <w:tab w:val="clear" w:pos="8778"/>
        </w:tabs>
      </w:pPr>
      <w:r>
        <w:fldChar w:fldCharType="begin"/>
      </w:r>
      <w:r>
        <w:instrText xml:space="preserve"> HYPERLINK \l "_Toc28977" </w:instrText>
      </w:r>
      <w:r>
        <w:fldChar w:fldCharType="separate"/>
      </w:r>
      <w:r>
        <w:t>（四）绩效评价原则和指标体系</w:t>
      </w:r>
      <w:r>
        <w:tab/>
      </w:r>
      <w:r>
        <w:fldChar w:fldCharType="begin"/>
      </w:r>
      <w:r>
        <w:instrText xml:space="preserve"> PAGEREF _Toc28977 \h </w:instrText>
      </w:r>
      <w:r>
        <w:fldChar w:fldCharType="separate"/>
      </w:r>
      <w:r>
        <w:t>2</w:t>
      </w:r>
      <w:r>
        <w:fldChar w:fldCharType="end"/>
      </w:r>
      <w:r>
        <w:fldChar w:fldCharType="end"/>
      </w:r>
    </w:p>
    <w:p w14:paraId="5C58CAC9">
      <w:pPr>
        <w:pStyle w:val="7"/>
        <w:tabs>
          <w:tab w:val="right" w:leader="dot" w:pos="8788"/>
          <w:tab w:val="clear" w:pos="8778"/>
        </w:tabs>
      </w:pPr>
      <w:r>
        <w:fldChar w:fldCharType="begin"/>
      </w:r>
      <w:r>
        <w:instrText xml:space="preserve"> HYPERLINK \l "_Toc27770" </w:instrText>
      </w:r>
      <w:r>
        <w:fldChar w:fldCharType="separate"/>
      </w:r>
      <w:r>
        <w:t>（五）绩效评价标准和评价方法</w:t>
      </w:r>
      <w:r>
        <w:tab/>
      </w:r>
      <w:r>
        <w:fldChar w:fldCharType="begin"/>
      </w:r>
      <w:r>
        <w:instrText xml:space="preserve"> PAGEREF _Toc27770 \h </w:instrText>
      </w:r>
      <w:r>
        <w:fldChar w:fldCharType="separate"/>
      </w:r>
      <w:r>
        <w:t>6</w:t>
      </w:r>
      <w:r>
        <w:fldChar w:fldCharType="end"/>
      </w:r>
      <w:r>
        <w:fldChar w:fldCharType="end"/>
      </w:r>
    </w:p>
    <w:p w14:paraId="735202D8">
      <w:pPr>
        <w:pStyle w:val="7"/>
        <w:tabs>
          <w:tab w:val="right" w:leader="dot" w:pos="8788"/>
          <w:tab w:val="clear" w:pos="8778"/>
        </w:tabs>
      </w:pPr>
      <w:r>
        <w:fldChar w:fldCharType="begin"/>
      </w:r>
      <w:r>
        <w:instrText xml:space="preserve"> HYPERLINK \l "_Toc12020" </w:instrText>
      </w:r>
      <w:r>
        <w:fldChar w:fldCharType="separate"/>
      </w:r>
      <w:r>
        <w:t>（六）绩效评价工作过程</w:t>
      </w:r>
      <w:r>
        <w:tab/>
      </w:r>
      <w:r>
        <w:fldChar w:fldCharType="begin"/>
      </w:r>
      <w:r>
        <w:instrText xml:space="preserve"> PAGEREF _Toc12020 \h </w:instrText>
      </w:r>
      <w:r>
        <w:fldChar w:fldCharType="separate"/>
      </w:r>
      <w:r>
        <w:t>6</w:t>
      </w:r>
      <w:r>
        <w:fldChar w:fldCharType="end"/>
      </w:r>
      <w:r>
        <w:fldChar w:fldCharType="end"/>
      </w:r>
    </w:p>
    <w:p w14:paraId="2799FAF3">
      <w:pPr>
        <w:pStyle w:val="7"/>
        <w:tabs>
          <w:tab w:val="right" w:leader="dot" w:pos="8788"/>
          <w:tab w:val="clear" w:pos="8778"/>
        </w:tabs>
      </w:pPr>
      <w:r>
        <w:fldChar w:fldCharType="begin"/>
      </w:r>
      <w:r>
        <w:instrText xml:space="preserve"> HYPERLINK \l "_Toc24240" </w:instrText>
      </w:r>
      <w:r>
        <w:fldChar w:fldCharType="separate"/>
      </w:r>
      <w:r>
        <w:t>三、</w:t>
      </w:r>
      <w:r>
        <w:rPr>
          <w:rFonts w:hint="eastAsia"/>
        </w:rPr>
        <w:t>项目</w:t>
      </w:r>
      <w:r>
        <w:t>评价结论</w:t>
      </w:r>
      <w:r>
        <w:tab/>
      </w:r>
      <w:r>
        <w:fldChar w:fldCharType="begin"/>
      </w:r>
      <w:r>
        <w:instrText xml:space="preserve"> PAGEREF _Toc24240 \h </w:instrText>
      </w:r>
      <w:r>
        <w:fldChar w:fldCharType="separate"/>
      </w:r>
      <w:r>
        <w:t>6</w:t>
      </w:r>
      <w:r>
        <w:fldChar w:fldCharType="end"/>
      </w:r>
      <w:r>
        <w:fldChar w:fldCharType="end"/>
      </w:r>
    </w:p>
    <w:p w14:paraId="193C8BB3">
      <w:pPr>
        <w:pStyle w:val="7"/>
        <w:tabs>
          <w:tab w:val="right" w:leader="dot" w:pos="8788"/>
          <w:tab w:val="clear" w:pos="8778"/>
        </w:tabs>
      </w:pPr>
      <w:r>
        <w:fldChar w:fldCharType="begin"/>
      </w:r>
      <w:r>
        <w:instrText xml:space="preserve"> HYPERLINK \l "_Toc28015" </w:instrText>
      </w:r>
      <w:r>
        <w:fldChar w:fldCharType="separate"/>
      </w:r>
      <w:r>
        <w:rPr>
          <w:rFonts w:hint="eastAsia"/>
        </w:rPr>
        <w:t>四、</w:t>
      </w:r>
      <w:r>
        <w:t>综合评价情况</w:t>
      </w:r>
      <w:r>
        <w:tab/>
      </w:r>
      <w:r>
        <w:fldChar w:fldCharType="begin"/>
      </w:r>
      <w:r>
        <w:instrText xml:space="preserve"> PAGEREF _Toc28015 \h </w:instrText>
      </w:r>
      <w:r>
        <w:fldChar w:fldCharType="separate"/>
      </w:r>
      <w:r>
        <w:t>6</w:t>
      </w:r>
      <w:r>
        <w:fldChar w:fldCharType="end"/>
      </w:r>
      <w:r>
        <w:fldChar w:fldCharType="end"/>
      </w:r>
    </w:p>
    <w:p w14:paraId="64078C54">
      <w:pPr>
        <w:pStyle w:val="7"/>
        <w:tabs>
          <w:tab w:val="right" w:leader="dot" w:pos="8788"/>
          <w:tab w:val="clear" w:pos="8778"/>
        </w:tabs>
      </w:pPr>
      <w:r>
        <w:fldChar w:fldCharType="begin"/>
      </w:r>
      <w:r>
        <w:instrText xml:space="preserve"> HYPERLINK \l "_Toc7437" </w:instrText>
      </w:r>
      <w:r>
        <w:fldChar w:fldCharType="separate"/>
      </w:r>
      <w:r>
        <w:rPr>
          <w:rFonts w:hint="eastAsia" w:ascii="仿宋_GB2312"/>
        </w:rPr>
        <w:t>（一）资金管理</w:t>
      </w:r>
      <w:r>
        <w:tab/>
      </w:r>
      <w:r>
        <w:fldChar w:fldCharType="begin"/>
      </w:r>
      <w:r>
        <w:instrText xml:space="preserve"> PAGEREF _Toc7437 \h </w:instrText>
      </w:r>
      <w:r>
        <w:fldChar w:fldCharType="separate"/>
      </w:r>
      <w:r>
        <w:t>7</w:t>
      </w:r>
      <w:r>
        <w:fldChar w:fldCharType="end"/>
      </w:r>
      <w:r>
        <w:fldChar w:fldCharType="end"/>
      </w:r>
    </w:p>
    <w:p w14:paraId="4DAE5615">
      <w:pPr>
        <w:pStyle w:val="7"/>
        <w:tabs>
          <w:tab w:val="right" w:leader="dot" w:pos="8788"/>
          <w:tab w:val="clear" w:pos="8778"/>
        </w:tabs>
      </w:pPr>
      <w:r>
        <w:fldChar w:fldCharType="begin"/>
      </w:r>
      <w:r>
        <w:instrText xml:space="preserve"> HYPERLINK \l "_Toc6545" </w:instrText>
      </w:r>
      <w:r>
        <w:fldChar w:fldCharType="separate"/>
      </w:r>
      <w:r>
        <w:rPr>
          <w:rFonts w:hint="eastAsia" w:ascii="仿宋_GB2312"/>
        </w:rPr>
        <w:t>（二）项目管理</w:t>
      </w:r>
      <w:r>
        <w:tab/>
      </w:r>
      <w:r>
        <w:fldChar w:fldCharType="begin"/>
      </w:r>
      <w:r>
        <w:instrText xml:space="preserve"> PAGEREF _Toc6545 \h </w:instrText>
      </w:r>
      <w:r>
        <w:fldChar w:fldCharType="separate"/>
      </w:r>
      <w:r>
        <w:t>7</w:t>
      </w:r>
      <w:r>
        <w:fldChar w:fldCharType="end"/>
      </w:r>
      <w:r>
        <w:fldChar w:fldCharType="end"/>
      </w:r>
    </w:p>
    <w:p w14:paraId="2826F55C">
      <w:pPr>
        <w:pStyle w:val="7"/>
        <w:tabs>
          <w:tab w:val="right" w:leader="dot" w:pos="8788"/>
          <w:tab w:val="clear" w:pos="8778"/>
        </w:tabs>
      </w:pPr>
      <w:r>
        <w:fldChar w:fldCharType="begin"/>
      </w:r>
      <w:r>
        <w:instrText xml:space="preserve"> HYPERLINK \l "_Toc25880" </w:instrText>
      </w:r>
      <w:r>
        <w:fldChar w:fldCharType="separate"/>
      </w:r>
      <w:r>
        <w:rPr>
          <w:rFonts w:hint="eastAsia" w:ascii="仿宋_GB2312"/>
        </w:rPr>
        <w:t>（三）使用成效及通报情况</w:t>
      </w:r>
      <w:r>
        <w:tab/>
      </w:r>
      <w:r>
        <w:fldChar w:fldCharType="begin"/>
      </w:r>
      <w:r>
        <w:instrText xml:space="preserve"> PAGEREF _Toc25880 \h </w:instrText>
      </w:r>
      <w:r>
        <w:fldChar w:fldCharType="separate"/>
      </w:r>
      <w:r>
        <w:t>8</w:t>
      </w:r>
      <w:r>
        <w:fldChar w:fldCharType="end"/>
      </w:r>
      <w:r>
        <w:fldChar w:fldCharType="end"/>
      </w:r>
    </w:p>
    <w:p w14:paraId="1FB61AC8">
      <w:pPr>
        <w:pStyle w:val="7"/>
        <w:tabs>
          <w:tab w:val="right" w:leader="dot" w:pos="8788"/>
          <w:tab w:val="clear" w:pos="8778"/>
        </w:tabs>
      </w:pPr>
      <w:r>
        <w:fldChar w:fldCharType="begin"/>
      </w:r>
      <w:r>
        <w:instrText xml:space="preserve"> HYPERLINK \l "_Toc21947" </w:instrText>
      </w:r>
      <w:r>
        <w:fldChar w:fldCharType="separate"/>
      </w:r>
      <w:r>
        <w:rPr>
          <w:rFonts w:hint="eastAsia"/>
        </w:rPr>
        <w:t>五</w:t>
      </w:r>
      <w:r>
        <w:t>、存在的问题和建议</w:t>
      </w:r>
      <w:r>
        <w:tab/>
      </w:r>
      <w:r>
        <w:fldChar w:fldCharType="begin"/>
      </w:r>
      <w:r>
        <w:instrText xml:space="preserve"> PAGEREF _Toc21947 \h </w:instrText>
      </w:r>
      <w:r>
        <w:fldChar w:fldCharType="separate"/>
      </w:r>
      <w:r>
        <w:t>8</w:t>
      </w:r>
      <w:r>
        <w:fldChar w:fldCharType="end"/>
      </w:r>
      <w:r>
        <w:fldChar w:fldCharType="end"/>
      </w:r>
    </w:p>
    <w:p w14:paraId="126E9828">
      <w:pPr>
        <w:pStyle w:val="7"/>
        <w:tabs>
          <w:tab w:val="right" w:leader="dot" w:pos="8788"/>
          <w:tab w:val="clear" w:pos="8778"/>
        </w:tabs>
      </w:pPr>
      <w:r>
        <w:fldChar w:fldCharType="begin"/>
      </w:r>
      <w:r>
        <w:instrText xml:space="preserve"> HYPERLINK \l "_Toc1755" </w:instrText>
      </w:r>
      <w:r>
        <w:fldChar w:fldCharType="separate"/>
      </w:r>
      <w:r>
        <w:rPr>
          <w:rFonts w:hint="eastAsia" w:ascii="仿宋_GB2312"/>
        </w:rPr>
        <w:t>（一）存在问题</w:t>
      </w:r>
      <w:r>
        <w:tab/>
      </w:r>
      <w:r>
        <w:fldChar w:fldCharType="begin"/>
      </w:r>
      <w:r>
        <w:instrText xml:space="preserve"> PAGEREF _Toc1755 \h </w:instrText>
      </w:r>
      <w:r>
        <w:fldChar w:fldCharType="separate"/>
      </w:r>
      <w:r>
        <w:t>8</w:t>
      </w:r>
      <w:r>
        <w:fldChar w:fldCharType="end"/>
      </w:r>
      <w:r>
        <w:fldChar w:fldCharType="end"/>
      </w:r>
    </w:p>
    <w:p w14:paraId="64F95F9C">
      <w:pPr>
        <w:pStyle w:val="7"/>
        <w:tabs>
          <w:tab w:val="right" w:leader="dot" w:pos="8788"/>
          <w:tab w:val="clear" w:pos="8778"/>
        </w:tabs>
      </w:pPr>
      <w:r>
        <w:fldChar w:fldCharType="begin"/>
      </w:r>
      <w:r>
        <w:instrText xml:space="preserve"> HYPERLINK \l "_Toc13391" </w:instrText>
      </w:r>
      <w:r>
        <w:fldChar w:fldCharType="separate"/>
      </w:r>
      <w:r>
        <w:rPr>
          <w:rFonts w:hint="eastAsia" w:ascii="仿宋_GB2312"/>
        </w:rPr>
        <w:t>（二）建议</w:t>
      </w:r>
      <w:r>
        <w:tab/>
      </w:r>
      <w:r>
        <w:fldChar w:fldCharType="begin"/>
      </w:r>
      <w:r>
        <w:instrText xml:space="preserve"> PAGEREF _Toc13391 \h </w:instrText>
      </w:r>
      <w:r>
        <w:fldChar w:fldCharType="separate"/>
      </w:r>
      <w:r>
        <w:t>8</w:t>
      </w:r>
      <w:r>
        <w:fldChar w:fldCharType="end"/>
      </w:r>
      <w:r>
        <w:fldChar w:fldCharType="end"/>
      </w:r>
    </w:p>
    <w:p w14:paraId="02EC2FBA">
      <w:pPr>
        <w:pStyle w:val="13"/>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szCs w:val="21"/>
        </w:rPr>
        <w:fldChar w:fldCharType="end"/>
      </w:r>
    </w:p>
    <w:p w14:paraId="0427EDBF">
      <w:pPr>
        <w:spacing w:line="360" w:lineRule="auto"/>
        <w:jc w:val="right"/>
        <w:rPr>
          <w:rFonts w:ascii="Arial Narrow" w:hAnsi="Arial Narrow"/>
          <w:bCs/>
          <w:w w:val="80"/>
          <w:sz w:val="28"/>
          <w:szCs w:val="28"/>
        </w:rPr>
      </w:pPr>
    </w:p>
    <w:p w14:paraId="012CD024">
      <w:pPr>
        <w:spacing w:line="360" w:lineRule="auto"/>
        <w:jc w:val="right"/>
        <w:rPr>
          <w:rFonts w:ascii="Arial Narrow" w:hAnsi="Arial Narrow"/>
          <w:bCs/>
          <w:w w:val="80"/>
          <w:sz w:val="28"/>
          <w:szCs w:val="28"/>
        </w:rPr>
      </w:pPr>
    </w:p>
    <w:p w14:paraId="5D6A4157">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00B9C60D">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5014DC54">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ascii="Arial Narrow" w:hAnsi="Arial Narrow" w:eastAsia="仿宋_GB2312"/>
          <w:sz w:val="28"/>
          <w:szCs w:val="28"/>
        </w:rPr>
        <w:t>0</w:t>
      </w:r>
      <w:r>
        <w:rPr>
          <w:rFonts w:hint="eastAsia" w:ascii="Arial Narrow" w:hAnsi="Arial Narrow" w:eastAsia="仿宋_GB2312"/>
          <w:sz w:val="28"/>
          <w:szCs w:val="28"/>
        </w:rPr>
        <w:t>48号</w:t>
      </w:r>
    </w:p>
    <w:p w14:paraId="7C9B6453">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2C62D210">
      <w:pPr>
        <w:adjustRightInd w:val="0"/>
        <w:snapToGrid w:val="0"/>
        <w:spacing w:line="360" w:lineRule="auto"/>
        <w:jc w:val="center"/>
        <w:rPr>
          <w:rStyle w:val="11"/>
          <w:rFonts w:ascii="Arial Narrow" w:hAnsi="Arial Narrow" w:eastAsia="仿宋_GB2312"/>
          <w:b/>
          <w:color w:val="auto"/>
          <w:sz w:val="36"/>
          <w:szCs w:val="36"/>
          <w:u w:val="none"/>
        </w:rPr>
      </w:pPr>
      <w:r>
        <w:rPr>
          <w:rStyle w:val="11"/>
          <w:rFonts w:hint="eastAsia" w:ascii="Arial Narrow" w:hAnsi="Arial Narrow" w:eastAsia="仿宋_GB2312"/>
          <w:b/>
          <w:color w:val="auto"/>
          <w:sz w:val="36"/>
          <w:szCs w:val="36"/>
          <w:u w:val="none"/>
        </w:rPr>
        <w:t>重庆市铜梁区生态环境局公益性岗位项目</w:t>
      </w:r>
    </w:p>
    <w:p w14:paraId="695185B7">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0DA1DCC0">
      <w:pPr>
        <w:pStyle w:val="14"/>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rPr>
        <w:t>“</w:t>
      </w:r>
      <w:r>
        <w:rPr>
          <w:rFonts w:ascii="Arial Narrow" w:hAnsi="Arial Narrow" w:eastAsia="仿宋_GB2312"/>
          <w:color w:val="auto"/>
        </w:rPr>
        <w:t>全面实施绩效管理</w:t>
      </w:r>
      <w:r>
        <w:rPr>
          <w:rFonts w:hint="eastAsia" w:ascii="Arial Narrow" w:hAnsi="Arial Narrow" w:eastAsia="仿宋_GB2312"/>
          <w:color w:val="auto"/>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重庆市铜梁区生态环境局（</w:t>
      </w:r>
      <w:r>
        <w:rPr>
          <w:rFonts w:ascii="Arial Narrow" w:hAnsi="Arial Narrow" w:eastAsia="仿宋_GB2312"/>
          <w:color w:val="auto"/>
        </w:rPr>
        <w:t>以下简称</w:t>
      </w:r>
      <w:r>
        <w:rPr>
          <w:rFonts w:hint="eastAsia" w:ascii="Arial Narrow" w:hAnsi="Arial Narrow" w:eastAsia="仿宋_GB2312"/>
          <w:color w:val="auto"/>
        </w:rPr>
        <w:t>“生态环境局”）公益性岗位项目</w:t>
      </w:r>
      <w:r>
        <w:rPr>
          <w:rFonts w:ascii="Arial Narrow" w:hAnsi="Arial Narrow" w:eastAsia="仿宋_GB2312"/>
          <w:color w:val="auto"/>
        </w:rPr>
        <w:t>进行绩效评价，现将评价情况报告如下：</w:t>
      </w:r>
    </w:p>
    <w:p w14:paraId="6716C4CE">
      <w:pPr>
        <w:spacing w:line="360" w:lineRule="auto"/>
        <w:ind w:firstLine="482" w:firstLineChars="200"/>
        <w:jc w:val="left"/>
        <w:outlineLvl w:val="0"/>
        <w:rPr>
          <w:rFonts w:ascii="Arial Narrow" w:hAnsi="Arial Narrow" w:eastAsia="仿宋_GB2312"/>
          <w:b/>
          <w:sz w:val="24"/>
        </w:rPr>
      </w:pPr>
      <w:bookmarkStart w:id="3" w:name="_Toc10984"/>
      <w:r>
        <w:rPr>
          <w:rFonts w:ascii="Arial Narrow" w:hAnsi="Arial Narrow" w:eastAsia="仿宋_GB2312"/>
          <w:b/>
          <w:sz w:val="24"/>
        </w:rPr>
        <w:t>一、基本情况</w:t>
      </w:r>
      <w:bookmarkEnd w:id="3"/>
    </w:p>
    <w:p w14:paraId="4732F1CE">
      <w:pPr>
        <w:spacing w:line="360" w:lineRule="auto"/>
        <w:ind w:firstLine="482" w:firstLineChars="200"/>
        <w:jc w:val="left"/>
        <w:outlineLvl w:val="0"/>
        <w:rPr>
          <w:rFonts w:ascii="Arial Narrow" w:hAnsi="Arial Narrow" w:eastAsia="仿宋_GB2312"/>
          <w:b/>
          <w:sz w:val="24"/>
        </w:rPr>
      </w:pPr>
      <w:bookmarkStart w:id="4" w:name="_Toc14527"/>
      <w:r>
        <w:rPr>
          <w:rFonts w:hint="eastAsia" w:ascii="Arial Narrow" w:hAnsi="Arial Narrow" w:eastAsia="仿宋_GB2312"/>
          <w:b/>
          <w:sz w:val="24"/>
        </w:rPr>
        <w:t>（一）项目情况</w:t>
      </w:r>
      <w:bookmarkEnd w:id="4"/>
    </w:p>
    <w:p w14:paraId="22CF4096">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公益性岗位项目</w:t>
      </w:r>
    </w:p>
    <w:p w14:paraId="1E4B0D40">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实施单位：重庆市铜梁区生态环境局</w:t>
      </w:r>
    </w:p>
    <w:p w14:paraId="49FF353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项目内容：2</w:t>
      </w:r>
      <w:r>
        <w:rPr>
          <w:rFonts w:ascii="Arial Narrow" w:hAnsi="Arial Narrow" w:eastAsia="仿宋_GB2312" w:cs="宋体"/>
          <w:kern w:val="0"/>
          <w:sz w:val="24"/>
        </w:rPr>
        <w:t>023</w:t>
      </w:r>
      <w:r>
        <w:rPr>
          <w:rFonts w:hint="eastAsia" w:ascii="Arial Narrow" w:hAnsi="Arial Narrow" w:eastAsia="仿宋_GB2312" w:cs="宋体"/>
          <w:kern w:val="0"/>
          <w:sz w:val="24"/>
        </w:rPr>
        <w:t>年在辖区内新开发5</w:t>
      </w:r>
      <w:r>
        <w:rPr>
          <w:rFonts w:ascii="Arial Narrow" w:hAnsi="Arial Narrow" w:eastAsia="仿宋_GB2312" w:cs="宋体"/>
          <w:kern w:val="0"/>
          <w:sz w:val="24"/>
        </w:rPr>
        <w:t>0</w:t>
      </w:r>
      <w:r>
        <w:rPr>
          <w:rFonts w:hint="eastAsia" w:ascii="Arial Narrow" w:hAnsi="Arial Narrow" w:eastAsia="仿宋_GB2312" w:cs="宋体"/>
          <w:kern w:val="0"/>
          <w:sz w:val="24"/>
        </w:rPr>
        <w:t>个生态公益性岗位，解决5</w:t>
      </w:r>
      <w:r>
        <w:rPr>
          <w:rFonts w:ascii="Arial Narrow" w:hAnsi="Arial Narrow" w:eastAsia="仿宋_GB2312" w:cs="宋体"/>
          <w:kern w:val="0"/>
          <w:sz w:val="24"/>
        </w:rPr>
        <w:t>0</w:t>
      </w:r>
      <w:r>
        <w:rPr>
          <w:rFonts w:hint="eastAsia" w:ascii="Arial Narrow" w:hAnsi="Arial Narrow" w:eastAsia="仿宋_GB2312" w:cs="宋体"/>
          <w:kern w:val="0"/>
          <w:sz w:val="24"/>
        </w:rPr>
        <w:t>名脱贫群众就近就业难问题。</w:t>
      </w:r>
    </w:p>
    <w:p w14:paraId="37C26C74">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w:t>
      </w:r>
      <w:r>
        <w:rPr>
          <w:rFonts w:ascii="Arial Narrow" w:hAnsi="Arial Narrow" w:eastAsia="仿宋_GB2312" w:cs="宋体"/>
          <w:kern w:val="0"/>
          <w:sz w:val="24"/>
        </w:rPr>
        <w:t>30</w:t>
      </w:r>
      <w:r>
        <w:rPr>
          <w:rFonts w:hint="eastAsia" w:ascii="Arial Narrow" w:hAnsi="Arial Narrow" w:eastAsia="仿宋_GB2312" w:cs="宋体"/>
          <w:kern w:val="0"/>
          <w:sz w:val="24"/>
        </w:rPr>
        <w:t>.</w:t>
      </w:r>
      <w:r>
        <w:rPr>
          <w:rFonts w:ascii="Arial Narrow" w:hAnsi="Arial Narrow" w:eastAsia="仿宋_GB2312" w:cs="宋体"/>
          <w:kern w:val="0"/>
          <w:sz w:val="24"/>
        </w:rPr>
        <w:t>99</w:t>
      </w:r>
      <w:r>
        <w:rPr>
          <w:rFonts w:hint="eastAsia" w:ascii="Arial Narrow" w:hAnsi="Arial Narrow" w:eastAsia="仿宋_GB2312" w:cs="宋体"/>
          <w:kern w:val="0"/>
          <w:sz w:val="24"/>
        </w:rPr>
        <w:t>万元，调减0.</w:t>
      </w:r>
      <w:r>
        <w:rPr>
          <w:rFonts w:ascii="Arial Narrow" w:hAnsi="Arial Narrow" w:eastAsia="仿宋_GB2312" w:cs="宋体"/>
          <w:kern w:val="0"/>
          <w:sz w:val="24"/>
        </w:rPr>
        <w:t>09</w:t>
      </w:r>
      <w:r>
        <w:rPr>
          <w:rFonts w:hint="eastAsia" w:ascii="Arial Narrow" w:hAnsi="Arial Narrow" w:eastAsia="仿宋_GB2312" w:cs="宋体"/>
          <w:kern w:val="0"/>
          <w:sz w:val="24"/>
        </w:rPr>
        <w:t>万元，均为上级补助资金。</w:t>
      </w:r>
    </w:p>
    <w:p w14:paraId="5A0F9460">
      <w:pPr>
        <w:spacing w:line="360" w:lineRule="auto"/>
        <w:ind w:firstLine="482" w:firstLineChars="200"/>
        <w:jc w:val="left"/>
        <w:outlineLvl w:val="0"/>
        <w:rPr>
          <w:rFonts w:ascii="Arial Narrow" w:hAnsi="Arial Narrow" w:eastAsia="仿宋_GB2312"/>
          <w:b/>
          <w:sz w:val="24"/>
        </w:rPr>
      </w:pPr>
      <w:bookmarkStart w:id="5" w:name="_Toc13573"/>
      <w:r>
        <w:rPr>
          <w:rFonts w:ascii="Arial Narrow" w:hAnsi="Arial Narrow" w:eastAsia="仿宋_GB2312"/>
          <w:b/>
          <w:sz w:val="24"/>
        </w:rPr>
        <w:t>二、绩效评价工作情况</w:t>
      </w:r>
      <w:bookmarkEnd w:id="5"/>
    </w:p>
    <w:p w14:paraId="579B8092">
      <w:pPr>
        <w:spacing w:line="360" w:lineRule="auto"/>
        <w:ind w:firstLine="482" w:firstLineChars="200"/>
        <w:jc w:val="left"/>
        <w:outlineLvl w:val="0"/>
        <w:rPr>
          <w:rFonts w:ascii="Arial Narrow" w:hAnsi="Arial Narrow" w:eastAsia="仿宋_GB2312"/>
          <w:b/>
          <w:sz w:val="24"/>
        </w:rPr>
      </w:pPr>
      <w:bookmarkStart w:id="6" w:name="_Toc1668"/>
      <w:bookmarkStart w:id="7" w:name="_Toc513775099"/>
      <w:r>
        <w:rPr>
          <w:rFonts w:ascii="Arial Narrow" w:hAnsi="Arial Narrow" w:eastAsia="仿宋_GB2312"/>
          <w:b/>
          <w:sz w:val="24"/>
        </w:rPr>
        <w:t>（一）绩效评价目的</w:t>
      </w:r>
      <w:bookmarkEnd w:id="6"/>
      <w:bookmarkEnd w:id="7"/>
    </w:p>
    <w:p w14:paraId="49F0BAC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40A1DE73">
      <w:pPr>
        <w:spacing w:line="360" w:lineRule="auto"/>
        <w:ind w:firstLine="482" w:firstLineChars="200"/>
        <w:jc w:val="left"/>
        <w:outlineLvl w:val="0"/>
        <w:rPr>
          <w:rFonts w:ascii="Arial Narrow" w:hAnsi="Arial Narrow" w:eastAsia="仿宋_GB2312"/>
          <w:b/>
          <w:sz w:val="24"/>
        </w:rPr>
      </w:pPr>
      <w:bookmarkStart w:id="8" w:name="_Toc22530"/>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40921009">
      <w:pPr>
        <w:pStyle w:val="14"/>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4206E88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2686F8F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046958A2">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5B20F98B">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3AD9B727">
      <w:pPr>
        <w:spacing w:line="360" w:lineRule="auto"/>
        <w:ind w:firstLine="482" w:firstLineChars="200"/>
        <w:jc w:val="left"/>
        <w:outlineLvl w:val="0"/>
        <w:rPr>
          <w:rFonts w:ascii="Arial Narrow" w:hAnsi="Arial Narrow" w:eastAsia="仿宋_GB2312"/>
          <w:b/>
          <w:sz w:val="24"/>
        </w:rPr>
      </w:pPr>
      <w:bookmarkStart w:id="11" w:name="_Toc1734"/>
      <w:r>
        <w:rPr>
          <w:rFonts w:ascii="Arial Narrow" w:hAnsi="Arial Narrow" w:eastAsia="仿宋_GB2312"/>
          <w:b/>
          <w:sz w:val="24"/>
        </w:rPr>
        <w:t>（三）绩效评价依据</w:t>
      </w:r>
      <w:bookmarkEnd w:id="9"/>
      <w:bookmarkEnd w:id="10"/>
      <w:bookmarkEnd w:id="11"/>
      <w:bookmarkStart w:id="12" w:name="_Toc335040595"/>
    </w:p>
    <w:bookmarkEnd w:id="12"/>
    <w:p w14:paraId="2DD3413C">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《重庆市铜梁区财政衔接推进乡村振兴补助资金绩效评价及考核办法》的通知（铜财〔2022〕678号）</w:t>
      </w:r>
      <w:r>
        <w:rPr>
          <w:rFonts w:hint="eastAsia" w:ascii="Arial Narrow" w:hAnsi="Arial Narrow" w:eastAsia="仿宋_GB2312" w:cs="Arial Narrow"/>
          <w:color w:val="auto"/>
        </w:rPr>
        <w:t>；</w:t>
      </w:r>
    </w:p>
    <w:p w14:paraId="6F53112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《重庆市铜梁区财政局关于开展2023年度项目财政重点绩效评价的通知》（铜财〔2024〕237号）</w:t>
      </w:r>
      <w:r>
        <w:rPr>
          <w:rFonts w:hint="eastAsia" w:ascii="Arial Narrow" w:hAnsi="Arial Narrow" w:eastAsia="仿宋_GB2312" w:cs="Arial Narrow"/>
          <w:color w:val="auto"/>
        </w:rPr>
        <w:t>；</w:t>
      </w:r>
    </w:p>
    <w:p w14:paraId="51AC9B7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《重庆市财政衔接推进乡村振兴补助资金绩效评价及考核办法》（渝财农〔2022〕2号）</w:t>
      </w:r>
      <w:r>
        <w:rPr>
          <w:rFonts w:hint="eastAsia" w:ascii="Arial Narrow" w:hAnsi="Arial Narrow" w:eastAsia="仿宋_GB2312" w:cs="Arial Narrow"/>
          <w:color w:val="auto"/>
        </w:rPr>
        <w:t>；</w:t>
      </w:r>
    </w:p>
    <w:p w14:paraId="6174337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《铜梁区区级政策和项目预算绩效管理办法（试行）》（铜财〔2022〕41号）</w:t>
      </w:r>
      <w:r>
        <w:rPr>
          <w:rFonts w:hint="eastAsia" w:ascii="Arial Narrow" w:hAnsi="Arial Narrow" w:eastAsia="仿宋_GB2312" w:cs="Arial Narrow"/>
          <w:color w:val="auto"/>
        </w:rPr>
        <w:t>；</w:t>
      </w:r>
    </w:p>
    <w:p w14:paraId="63FC8AC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《重庆市财政局等6部门关于加强财政衔接推进乡村振兴补助资金使用管理的实施意见》（渝财农〔2022〕73号）</w:t>
      </w:r>
      <w:r>
        <w:rPr>
          <w:rFonts w:hint="eastAsia" w:ascii="Arial Narrow" w:hAnsi="Arial Narrow" w:eastAsia="仿宋_GB2312" w:cs="Arial Narrow"/>
          <w:color w:val="auto"/>
        </w:rPr>
        <w:t>；</w:t>
      </w:r>
    </w:p>
    <w:p w14:paraId="5CC05F17">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w:t>
      </w:r>
      <w:r>
        <w:rPr>
          <w:rFonts w:hint="eastAsia" w:ascii="Arial Narrow" w:hAnsi="Arial Narrow" w:eastAsia="仿宋_GB2312"/>
          <w:color w:val="auto"/>
          <w:lang w:val="en-US" w:eastAsia="zh-CN"/>
        </w:rPr>
        <w:t>.</w:t>
      </w:r>
      <w:r>
        <w:rPr>
          <w:rFonts w:hint="eastAsia" w:ascii="Arial Narrow" w:hAnsi="Arial Narrow" w:eastAsia="仿宋_GB2312"/>
          <w:color w:val="auto"/>
        </w:rPr>
        <w:t>《铜梁区巩固拓展脱贫攻坚成果和衔接乡村振兴项目库建设管理实施细则》（铜乡振〔2021〕7号）</w:t>
      </w:r>
      <w:r>
        <w:rPr>
          <w:rFonts w:hint="eastAsia" w:ascii="Arial Narrow" w:hAnsi="Arial Narrow" w:eastAsia="仿宋_GB2312" w:cs="Arial Narrow"/>
          <w:color w:val="auto"/>
        </w:rPr>
        <w:t>；</w:t>
      </w:r>
    </w:p>
    <w:p w14:paraId="259F501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w:t>
      </w:r>
      <w:r>
        <w:rPr>
          <w:rFonts w:hint="eastAsia" w:ascii="Arial Narrow" w:hAnsi="Arial Narrow" w:eastAsia="仿宋_GB2312"/>
          <w:color w:val="auto"/>
          <w:lang w:val="en-US" w:eastAsia="zh-CN"/>
        </w:rPr>
        <w:t>.</w:t>
      </w:r>
      <w:r>
        <w:rPr>
          <w:rFonts w:hint="eastAsia" w:ascii="Arial Narrow" w:hAnsi="Arial Narrow" w:eastAsia="仿宋_GB2312"/>
          <w:color w:val="auto"/>
        </w:rPr>
        <w:t>《铜梁区财政衔接推进乡村振兴补助资金项目公告公示实施办法》（铜委农办〔2021〕19号）</w:t>
      </w:r>
      <w:r>
        <w:rPr>
          <w:rFonts w:hint="eastAsia" w:ascii="Arial Narrow" w:hAnsi="Arial Narrow" w:eastAsia="仿宋_GB2312" w:cs="Arial Narrow"/>
          <w:color w:val="auto"/>
        </w:rPr>
        <w:t>；</w:t>
      </w:r>
    </w:p>
    <w:p w14:paraId="5F1405F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hint="eastAsia" w:ascii="Arial Narrow" w:hAnsi="Arial Narrow" w:eastAsia="仿宋_GB2312"/>
          <w:color w:val="auto"/>
          <w:lang w:val="en-US" w:eastAsia="zh-CN"/>
        </w:rPr>
        <w:t>.</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s="Arial Narrow"/>
          <w:color w:val="auto"/>
        </w:rPr>
        <w:t>；</w:t>
      </w:r>
    </w:p>
    <w:p w14:paraId="3426D641">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hint="eastAsia" w:ascii="Arial Narrow" w:hAnsi="Arial Narrow" w:eastAsia="仿宋_GB2312"/>
          <w:color w:val="auto"/>
          <w:lang w:val="en-US" w:eastAsia="zh-CN"/>
        </w:rPr>
        <w:t>.</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s="Arial Narrow"/>
          <w:color w:val="auto"/>
        </w:rPr>
        <w:t>；</w:t>
      </w:r>
    </w:p>
    <w:p w14:paraId="44EE5DB3">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hint="eastAsia" w:ascii="Arial Narrow" w:hAnsi="Arial Narrow" w:eastAsia="仿宋_GB2312"/>
          <w:color w:val="auto"/>
          <w:lang w:val="en-US" w:eastAsia="zh-CN"/>
        </w:rPr>
        <w:t>.</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r>
        <w:rPr>
          <w:rFonts w:hint="eastAsia" w:ascii="Arial Narrow" w:hAnsi="Arial Narrow" w:eastAsia="仿宋_GB2312" w:cs="Arial Narrow"/>
          <w:color w:val="auto"/>
        </w:rPr>
        <w:t>；</w:t>
      </w:r>
    </w:p>
    <w:p w14:paraId="58BD0FD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hint="eastAsia" w:ascii="Arial Narrow" w:hAnsi="Arial Narrow" w:eastAsia="仿宋_GB2312"/>
          <w:color w:val="auto"/>
          <w:lang w:val="en-US" w:eastAsia="zh-CN"/>
        </w:rPr>
        <w:t>.</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3148E908">
      <w:pPr>
        <w:spacing w:line="360" w:lineRule="auto"/>
        <w:ind w:firstLine="482" w:firstLineChars="200"/>
        <w:jc w:val="left"/>
        <w:outlineLvl w:val="0"/>
        <w:rPr>
          <w:rFonts w:ascii="Arial Narrow" w:hAnsi="Arial Narrow" w:eastAsia="仿宋_GB2312"/>
          <w:b/>
          <w:sz w:val="24"/>
        </w:rPr>
      </w:pPr>
      <w:bookmarkStart w:id="14" w:name="_Toc28977"/>
      <w:r>
        <w:rPr>
          <w:rFonts w:ascii="Arial Narrow" w:hAnsi="Arial Narrow" w:eastAsia="仿宋_GB2312"/>
          <w:b/>
          <w:sz w:val="24"/>
        </w:rPr>
        <w:t>（四）绩效评价原则和指标体系</w:t>
      </w:r>
      <w:bookmarkEnd w:id="14"/>
    </w:p>
    <w:p w14:paraId="4759C3D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绩效评价主要遵循以下原则：</w:t>
      </w:r>
    </w:p>
    <w:p w14:paraId="59AA6AB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2BF2816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w:t>
      </w: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重要性原则。应当优先使用最具评价对象代表性、最能反映评价要求的核心指标。</w:t>
      </w:r>
    </w:p>
    <w:p w14:paraId="713A9096">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14F36E63">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56B5F0DE">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62FFBC6C">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绩效评价指标体系</w:t>
      </w:r>
    </w:p>
    <w:p w14:paraId="196D2D87">
      <w:pPr>
        <w:pStyle w:val="14"/>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根据《重庆市铜梁区财政衔接推进乡村振兴补助资金绩效评价及考核办法》的通知（铜财〔2022〕678号），本次绩效评价及考核指标体系如下：</w:t>
      </w:r>
    </w:p>
    <w:p w14:paraId="14371583">
      <w:pPr>
        <w:pStyle w:val="14"/>
        <w:spacing w:line="360" w:lineRule="auto"/>
        <w:ind w:firstLine="480" w:firstLineChars="200"/>
        <w:jc w:val="both"/>
        <w:rPr>
          <w:rFonts w:ascii="Arial Narrow" w:hAnsi="Arial Narrow" w:eastAsia="仿宋_GB2312"/>
          <w:color w:val="auto"/>
        </w:rPr>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pPr>
    </w:p>
    <w:tbl>
      <w:tblPr>
        <w:tblStyle w:val="9"/>
        <w:tblW w:w="14504" w:type="dxa"/>
        <w:tblInd w:w="0" w:type="dxa"/>
        <w:tblLayout w:type="fixed"/>
        <w:tblCellMar>
          <w:top w:w="0" w:type="dxa"/>
          <w:left w:w="108" w:type="dxa"/>
          <w:bottom w:w="0" w:type="dxa"/>
          <w:right w:w="108" w:type="dxa"/>
        </w:tblCellMar>
      </w:tblPr>
      <w:tblGrid>
        <w:gridCol w:w="812"/>
        <w:gridCol w:w="995"/>
        <w:gridCol w:w="995"/>
        <w:gridCol w:w="566"/>
        <w:gridCol w:w="3971"/>
        <w:gridCol w:w="7165"/>
      </w:tblGrid>
      <w:tr w14:paraId="1F44A748">
        <w:tblPrEx>
          <w:tblCellMar>
            <w:top w:w="0" w:type="dxa"/>
            <w:left w:w="108" w:type="dxa"/>
            <w:bottom w:w="0" w:type="dxa"/>
            <w:right w:w="108" w:type="dxa"/>
          </w:tblCellMar>
        </w:tblPrEx>
        <w:trPr>
          <w:cantSplit/>
          <w:trHeight w:val="516" w:hRule="atLeast"/>
          <w:tblHeader/>
        </w:trPr>
        <w:tc>
          <w:tcPr>
            <w:tcW w:w="14504" w:type="dxa"/>
            <w:gridSpan w:val="6"/>
            <w:tcBorders>
              <w:bottom w:val="single" w:color="auto" w:sz="4" w:space="0"/>
            </w:tcBorders>
            <w:shd w:val="clear" w:color="auto" w:fill="auto"/>
            <w:noWrap/>
            <w:vAlign w:val="center"/>
          </w:tcPr>
          <w:p w14:paraId="677268DD">
            <w:pPr>
              <w:pStyle w:val="14"/>
              <w:spacing w:line="360" w:lineRule="auto"/>
              <w:ind w:firstLine="482" w:firstLineChars="200"/>
              <w:jc w:val="center"/>
              <w:rPr>
                <w:rFonts w:hint="default" w:ascii="Arial Narrow" w:hAnsi="Arial Narrow" w:eastAsia="仿宋_GB2312" w:cs="Arial Narrow"/>
                <w:b/>
                <w:bCs/>
                <w:color w:val="auto"/>
              </w:rPr>
            </w:pPr>
            <w:r>
              <w:rPr>
                <w:rFonts w:hint="default" w:ascii="Arial Narrow" w:hAnsi="Arial Narrow" w:eastAsia="仿宋_GB2312" w:cs="Arial Narrow"/>
                <w:b/>
                <w:bCs/>
                <w:color w:val="auto"/>
              </w:rPr>
              <w:t>铜梁区衔接资金项目绩效评价及考核指标评分表</w:t>
            </w:r>
          </w:p>
        </w:tc>
      </w:tr>
      <w:tr w14:paraId="787717E2">
        <w:tblPrEx>
          <w:tblCellMar>
            <w:top w:w="0" w:type="dxa"/>
            <w:left w:w="108" w:type="dxa"/>
            <w:bottom w:w="0" w:type="dxa"/>
            <w:right w:w="108" w:type="dxa"/>
          </w:tblCellMar>
        </w:tblPrEx>
        <w:trPr>
          <w:cantSplit/>
          <w:trHeight w:val="516" w:hRule="atLeast"/>
          <w:tblHeader/>
        </w:trPr>
        <w:tc>
          <w:tcPr>
            <w:tcW w:w="8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F9A30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序号</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4CE1FAB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一级指标</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11DDCCB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二级指标</w:t>
            </w:r>
          </w:p>
        </w:tc>
        <w:tc>
          <w:tcPr>
            <w:tcW w:w="566" w:type="dxa"/>
            <w:tcBorders>
              <w:top w:val="single" w:color="auto" w:sz="4" w:space="0"/>
              <w:left w:val="nil"/>
              <w:bottom w:val="single" w:color="auto" w:sz="4" w:space="0"/>
              <w:right w:val="single" w:color="auto" w:sz="4" w:space="0"/>
            </w:tcBorders>
            <w:shd w:val="clear" w:color="auto" w:fill="auto"/>
            <w:noWrap/>
            <w:vAlign w:val="center"/>
          </w:tcPr>
          <w:p w14:paraId="1ACD8E6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分值</w:t>
            </w:r>
          </w:p>
        </w:tc>
        <w:tc>
          <w:tcPr>
            <w:tcW w:w="3971" w:type="dxa"/>
            <w:tcBorders>
              <w:top w:val="single" w:color="auto" w:sz="4" w:space="0"/>
              <w:left w:val="nil"/>
              <w:bottom w:val="single" w:color="auto" w:sz="4" w:space="0"/>
              <w:right w:val="single" w:color="auto" w:sz="4" w:space="0"/>
            </w:tcBorders>
            <w:shd w:val="clear" w:color="auto" w:fill="auto"/>
            <w:noWrap/>
            <w:vAlign w:val="center"/>
          </w:tcPr>
          <w:p w14:paraId="25C335B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指标释义</w:t>
            </w:r>
          </w:p>
        </w:tc>
        <w:tc>
          <w:tcPr>
            <w:tcW w:w="7165" w:type="dxa"/>
            <w:tcBorders>
              <w:top w:val="single" w:color="auto" w:sz="4" w:space="0"/>
              <w:left w:val="nil"/>
              <w:bottom w:val="single" w:color="auto" w:sz="4" w:space="0"/>
              <w:right w:val="single" w:color="auto" w:sz="4" w:space="0"/>
            </w:tcBorders>
            <w:shd w:val="clear" w:color="auto" w:fill="auto"/>
            <w:noWrap/>
            <w:vAlign w:val="center"/>
          </w:tcPr>
          <w:p w14:paraId="7333802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评价标准</w:t>
            </w:r>
          </w:p>
        </w:tc>
      </w:tr>
      <w:tr w14:paraId="763F07E8">
        <w:tblPrEx>
          <w:tblCellMar>
            <w:top w:w="0" w:type="dxa"/>
            <w:left w:w="108" w:type="dxa"/>
            <w:bottom w:w="0" w:type="dxa"/>
            <w:right w:w="108" w:type="dxa"/>
          </w:tblCellMar>
        </w:tblPrEx>
        <w:trPr>
          <w:cantSplit/>
          <w:trHeight w:val="116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612D2CD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31444C3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资金管理（5分）</w:t>
            </w:r>
          </w:p>
        </w:tc>
        <w:tc>
          <w:tcPr>
            <w:tcW w:w="995" w:type="dxa"/>
            <w:tcBorders>
              <w:top w:val="nil"/>
              <w:left w:val="nil"/>
              <w:bottom w:val="single" w:color="auto" w:sz="4" w:space="0"/>
              <w:right w:val="single" w:color="auto" w:sz="4" w:space="0"/>
            </w:tcBorders>
            <w:shd w:val="clear" w:color="auto" w:fill="auto"/>
            <w:vAlign w:val="center"/>
          </w:tcPr>
          <w:p w14:paraId="7994DBF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财政衔接资金安排情况</w:t>
            </w:r>
          </w:p>
        </w:tc>
        <w:tc>
          <w:tcPr>
            <w:tcW w:w="566" w:type="dxa"/>
            <w:tcBorders>
              <w:top w:val="nil"/>
              <w:left w:val="nil"/>
              <w:bottom w:val="single" w:color="auto" w:sz="4" w:space="0"/>
              <w:right w:val="single" w:color="auto" w:sz="4" w:space="0"/>
            </w:tcBorders>
            <w:shd w:val="clear" w:color="auto" w:fill="auto"/>
            <w:vAlign w:val="center"/>
          </w:tcPr>
          <w:p w14:paraId="779938F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3971" w:type="dxa"/>
            <w:tcBorders>
              <w:top w:val="nil"/>
              <w:left w:val="nil"/>
              <w:bottom w:val="single" w:color="auto" w:sz="4" w:space="0"/>
              <w:right w:val="single" w:color="auto" w:sz="4" w:space="0"/>
            </w:tcBorders>
            <w:shd w:val="clear" w:color="auto" w:fill="auto"/>
            <w:vAlign w:val="center"/>
          </w:tcPr>
          <w:p w14:paraId="2A801EB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7165" w:type="dxa"/>
            <w:tcBorders>
              <w:top w:val="nil"/>
              <w:left w:val="nil"/>
              <w:bottom w:val="single" w:color="auto" w:sz="4" w:space="0"/>
              <w:right w:val="single" w:color="auto" w:sz="4" w:space="0"/>
            </w:tcBorders>
            <w:shd w:val="clear" w:color="auto" w:fill="auto"/>
            <w:vAlign w:val="center"/>
          </w:tcPr>
          <w:p w14:paraId="5CB3536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资金使用方向符合文件规定（2分）。</w:t>
            </w:r>
          </w:p>
        </w:tc>
      </w:tr>
      <w:tr w14:paraId="6F36D425">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7E0422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995" w:type="dxa"/>
            <w:vMerge w:val="continue"/>
            <w:tcBorders>
              <w:top w:val="nil"/>
              <w:left w:val="single" w:color="auto" w:sz="4" w:space="0"/>
              <w:bottom w:val="single" w:color="auto" w:sz="4" w:space="0"/>
              <w:right w:val="single" w:color="auto" w:sz="4" w:space="0"/>
            </w:tcBorders>
            <w:vAlign w:val="center"/>
          </w:tcPr>
          <w:p w14:paraId="1313B90E">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591E391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资金分解下达进度</w:t>
            </w:r>
          </w:p>
        </w:tc>
        <w:tc>
          <w:tcPr>
            <w:tcW w:w="566" w:type="dxa"/>
            <w:tcBorders>
              <w:top w:val="nil"/>
              <w:left w:val="nil"/>
              <w:bottom w:val="single" w:color="auto" w:sz="4" w:space="0"/>
              <w:right w:val="single" w:color="auto" w:sz="4" w:space="0"/>
            </w:tcBorders>
            <w:shd w:val="clear" w:color="auto" w:fill="auto"/>
            <w:noWrap/>
            <w:vAlign w:val="center"/>
          </w:tcPr>
          <w:p w14:paraId="33B7AA3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3971" w:type="dxa"/>
            <w:tcBorders>
              <w:top w:val="nil"/>
              <w:left w:val="nil"/>
              <w:bottom w:val="single" w:color="auto" w:sz="4" w:space="0"/>
              <w:right w:val="single" w:color="auto" w:sz="4" w:space="0"/>
            </w:tcBorders>
            <w:shd w:val="clear" w:color="auto" w:fill="auto"/>
            <w:vAlign w:val="center"/>
          </w:tcPr>
          <w:p w14:paraId="4F6125C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评价区级业务主管部门分解下达当年资金及次年提前批资金进度情况。</w:t>
            </w:r>
          </w:p>
        </w:tc>
        <w:tc>
          <w:tcPr>
            <w:tcW w:w="7165" w:type="dxa"/>
            <w:tcBorders>
              <w:top w:val="nil"/>
              <w:left w:val="nil"/>
              <w:bottom w:val="single" w:color="auto" w:sz="4" w:space="0"/>
              <w:right w:val="single" w:color="auto" w:sz="4" w:space="0"/>
            </w:tcBorders>
            <w:shd w:val="clear" w:color="auto" w:fill="auto"/>
            <w:vAlign w:val="center"/>
          </w:tcPr>
          <w:p w14:paraId="1C980C8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区财政局下达资金文件时间到区级业务主管部门下达项目及资金计划文件时间间隔≤30日（3分）。</w:t>
            </w:r>
          </w:p>
        </w:tc>
      </w:tr>
      <w:tr w14:paraId="3F7C6FBB">
        <w:tblPrEx>
          <w:tblCellMar>
            <w:top w:w="0" w:type="dxa"/>
            <w:left w:w="108" w:type="dxa"/>
            <w:bottom w:w="0" w:type="dxa"/>
            <w:right w:w="108" w:type="dxa"/>
          </w:tblCellMar>
        </w:tblPrEx>
        <w:trPr>
          <w:cantSplit/>
          <w:trHeight w:val="101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D7DBA4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0207038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项目管理（55分）</w:t>
            </w:r>
          </w:p>
        </w:tc>
        <w:tc>
          <w:tcPr>
            <w:tcW w:w="995" w:type="dxa"/>
            <w:tcBorders>
              <w:top w:val="nil"/>
              <w:left w:val="nil"/>
              <w:bottom w:val="single" w:color="auto" w:sz="4" w:space="0"/>
              <w:right w:val="single" w:color="auto" w:sz="4" w:space="0"/>
            </w:tcBorders>
            <w:shd w:val="clear" w:color="auto" w:fill="auto"/>
            <w:vAlign w:val="center"/>
          </w:tcPr>
          <w:p w14:paraId="15335F4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项目库建设管理情况</w:t>
            </w:r>
          </w:p>
        </w:tc>
        <w:tc>
          <w:tcPr>
            <w:tcW w:w="566" w:type="dxa"/>
            <w:tcBorders>
              <w:top w:val="nil"/>
              <w:left w:val="nil"/>
              <w:bottom w:val="single" w:color="auto" w:sz="4" w:space="0"/>
              <w:right w:val="single" w:color="auto" w:sz="4" w:space="0"/>
            </w:tcBorders>
            <w:shd w:val="clear" w:color="auto" w:fill="auto"/>
            <w:noWrap/>
            <w:vAlign w:val="center"/>
          </w:tcPr>
          <w:p w14:paraId="09018FC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nil"/>
              <w:right w:val="nil"/>
            </w:tcBorders>
            <w:shd w:val="clear" w:color="auto" w:fill="auto"/>
            <w:vAlign w:val="center"/>
          </w:tcPr>
          <w:p w14:paraId="0AC9C7C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评价落实《铜梁区巩固拓展脱贫攻坚成果和衔接乡村振兴项目库建设管理实施细则》（铜乡振〔2021〕7号）落实情况。根据抽查情况赋分。</w:t>
            </w:r>
          </w:p>
        </w:tc>
        <w:tc>
          <w:tcPr>
            <w:tcW w:w="7165" w:type="dxa"/>
            <w:tcBorders>
              <w:top w:val="nil"/>
              <w:left w:val="single" w:color="auto" w:sz="4" w:space="0"/>
              <w:bottom w:val="single" w:color="auto" w:sz="4" w:space="0"/>
              <w:right w:val="single" w:color="auto" w:sz="4" w:space="0"/>
            </w:tcBorders>
            <w:shd w:val="clear" w:color="auto" w:fill="auto"/>
            <w:vAlign w:val="center"/>
          </w:tcPr>
          <w:p w14:paraId="1274459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1.项目入库及时充分、程序规范、内容完整（3分）；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2.入库项目具备实施条件（2分）；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3.衔接资金用于项目库之外的项目（-5分）。</w:t>
            </w:r>
          </w:p>
        </w:tc>
      </w:tr>
      <w:tr w14:paraId="77EECF7E">
        <w:tblPrEx>
          <w:tblCellMar>
            <w:top w:w="0" w:type="dxa"/>
            <w:left w:w="108" w:type="dxa"/>
            <w:bottom w:w="0" w:type="dxa"/>
            <w:right w:w="108" w:type="dxa"/>
          </w:tblCellMar>
        </w:tblPrEx>
        <w:trPr>
          <w:cantSplit/>
          <w:trHeight w:val="1261"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FFD711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w:t>
            </w:r>
          </w:p>
        </w:tc>
        <w:tc>
          <w:tcPr>
            <w:tcW w:w="995" w:type="dxa"/>
            <w:vMerge w:val="continue"/>
            <w:tcBorders>
              <w:top w:val="nil"/>
              <w:left w:val="single" w:color="auto" w:sz="4" w:space="0"/>
              <w:bottom w:val="single" w:color="auto" w:sz="4" w:space="0"/>
              <w:right w:val="single" w:color="auto" w:sz="4" w:space="0"/>
            </w:tcBorders>
            <w:vAlign w:val="center"/>
          </w:tcPr>
          <w:p w14:paraId="4B265A3C">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16EF257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项目绩效管理情况</w:t>
            </w:r>
          </w:p>
        </w:tc>
        <w:tc>
          <w:tcPr>
            <w:tcW w:w="566" w:type="dxa"/>
            <w:tcBorders>
              <w:top w:val="nil"/>
              <w:left w:val="nil"/>
              <w:bottom w:val="single" w:color="auto" w:sz="4" w:space="0"/>
              <w:right w:val="single" w:color="auto" w:sz="4" w:space="0"/>
            </w:tcBorders>
            <w:shd w:val="clear" w:color="auto" w:fill="auto"/>
            <w:noWrap/>
            <w:vAlign w:val="center"/>
          </w:tcPr>
          <w:p w14:paraId="243EBF8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single" w:color="auto" w:sz="4" w:space="0"/>
              <w:left w:val="nil"/>
              <w:bottom w:val="single" w:color="auto" w:sz="4" w:space="0"/>
              <w:right w:val="single" w:color="auto" w:sz="4" w:space="0"/>
            </w:tcBorders>
            <w:shd w:val="clear" w:color="auto" w:fill="auto"/>
            <w:vAlign w:val="center"/>
          </w:tcPr>
          <w:p w14:paraId="7ECF7A0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评价具体项目实施方案明确绩效目标情况、开展跟踪监督绩效监控情况、事后评价情况等。根据抽抽情况赋分。</w:t>
            </w:r>
          </w:p>
        </w:tc>
        <w:tc>
          <w:tcPr>
            <w:tcW w:w="7165" w:type="dxa"/>
            <w:tcBorders>
              <w:top w:val="nil"/>
              <w:left w:val="nil"/>
              <w:bottom w:val="single" w:color="auto" w:sz="4" w:space="0"/>
              <w:right w:val="single" w:color="auto" w:sz="4" w:space="0"/>
            </w:tcBorders>
            <w:shd w:val="clear" w:color="auto" w:fill="auto"/>
            <w:vAlign w:val="center"/>
          </w:tcPr>
          <w:p w14:paraId="49E935C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1.及时制定绩效目标、审核绩效目标（2分）；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2.开展绩效监控不少于1次（2分）；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3.对绩效目标偏离项目采取纠偏措施（2分）；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4.项目实施完毕后立即开展绩效自评，并形成绩效自评报告及绩效自评表。（2分）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5.项目绩效是否达到预期。（2分）</w:t>
            </w:r>
          </w:p>
        </w:tc>
      </w:tr>
      <w:tr w14:paraId="57E79740">
        <w:tblPrEx>
          <w:tblCellMar>
            <w:top w:w="0" w:type="dxa"/>
            <w:left w:w="108" w:type="dxa"/>
            <w:bottom w:w="0" w:type="dxa"/>
            <w:right w:w="108" w:type="dxa"/>
          </w:tblCellMar>
        </w:tblPrEx>
        <w:trPr>
          <w:cantSplit/>
          <w:trHeight w:val="12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7604FE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995" w:type="dxa"/>
            <w:vMerge w:val="continue"/>
            <w:tcBorders>
              <w:top w:val="nil"/>
              <w:left w:val="single" w:color="auto" w:sz="4" w:space="0"/>
              <w:bottom w:val="single" w:color="auto" w:sz="4" w:space="0"/>
              <w:right w:val="single" w:color="auto" w:sz="4" w:space="0"/>
            </w:tcBorders>
            <w:vAlign w:val="center"/>
          </w:tcPr>
          <w:p w14:paraId="01AF2EC8">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AD7923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项目建设管理情况</w:t>
            </w:r>
          </w:p>
        </w:tc>
        <w:tc>
          <w:tcPr>
            <w:tcW w:w="566" w:type="dxa"/>
            <w:tcBorders>
              <w:top w:val="nil"/>
              <w:left w:val="nil"/>
              <w:bottom w:val="single" w:color="auto" w:sz="4" w:space="0"/>
              <w:right w:val="single" w:color="auto" w:sz="4" w:space="0"/>
            </w:tcBorders>
            <w:shd w:val="clear" w:color="auto" w:fill="auto"/>
            <w:vAlign w:val="center"/>
          </w:tcPr>
          <w:p w14:paraId="545C29E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3971" w:type="dxa"/>
            <w:tcBorders>
              <w:top w:val="nil"/>
              <w:left w:val="nil"/>
              <w:bottom w:val="single" w:color="auto" w:sz="4" w:space="0"/>
              <w:right w:val="single" w:color="auto" w:sz="4" w:space="0"/>
            </w:tcBorders>
            <w:shd w:val="clear" w:color="auto" w:fill="auto"/>
            <w:vAlign w:val="center"/>
          </w:tcPr>
          <w:p w14:paraId="68678BA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评价有序推进项目前期工作、组织实施、项目验收、资料报送等情况。根据抽抽情况赋分。</w:t>
            </w:r>
          </w:p>
        </w:tc>
        <w:tc>
          <w:tcPr>
            <w:tcW w:w="7165" w:type="dxa"/>
            <w:tcBorders>
              <w:top w:val="nil"/>
              <w:left w:val="nil"/>
              <w:bottom w:val="single" w:color="auto" w:sz="4" w:space="0"/>
              <w:right w:val="single" w:color="auto" w:sz="4" w:space="0"/>
            </w:tcBorders>
            <w:shd w:val="clear" w:color="auto" w:fill="auto"/>
            <w:vAlign w:val="center"/>
          </w:tcPr>
          <w:p w14:paraId="14C134F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1.项目实施方法存在变更是否按规定报批；（1分）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2.是否定期对项目实施情况进行监督检查，对检查中发现的问题进行整改；（2分）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3.是否按照项目实施节点按时提交项目报账资料；（1分）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4.日常管理资料是否及时归档整理；（1分）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5.项目完工后是否在规定时间内进行验收。（1分）</w:t>
            </w:r>
          </w:p>
        </w:tc>
      </w:tr>
      <w:tr w14:paraId="21029036">
        <w:tblPrEx>
          <w:tblCellMar>
            <w:top w:w="0" w:type="dxa"/>
            <w:left w:w="108" w:type="dxa"/>
            <w:bottom w:w="0" w:type="dxa"/>
            <w:right w:w="108" w:type="dxa"/>
          </w:tblCellMar>
        </w:tblPrEx>
        <w:trPr>
          <w:cantSplit/>
          <w:trHeight w:val="218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7214AE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995" w:type="dxa"/>
            <w:vMerge w:val="continue"/>
            <w:tcBorders>
              <w:top w:val="nil"/>
              <w:left w:val="single" w:color="auto" w:sz="4" w:space="0"/>
              <w:bottom w:val="single" w:color="auto" w:sz="4" w:space="0"/>
              <w:right w:val="single" w:color="auto" w:sz="4" w:space="0"/>
            </w:tcBorders>
            <w:vAlign w:val="center"/>
          </w:tcPr>
          <w:p w14:paraId="209ED320">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977ADD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预算执行率情况</w:t>
            </w:r>
          </w:p>
        </w:tc>
        <w:tc>
          <w:tcPr>
            <w:tcW w:w="566" w:type="dxa"/>
            <w:tcBorders>
              <w:top w:val="nil"/>
              <w:left w:val="nil"/>
              <w:bottom w:val="single" w:color="auto" w:sz="4" w:space="0"/>
              <w:right w:val="single" w:color="auto" w:sz="4" w:space="0"/>
            </w:tcBorders>
            <w:shd w:val="clear" w:color="auto" w:fill="auto"/>
            <w:noWrap/>
            <w:vAlign w:val="center"/>
          </w:tcPr>
          <w:p w14:paraId="5B5B08A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3971" w:type="dxa"/>
            <w:tcBorders>
              <w:top w:val="nil"/>
              <w:left w:val="nil"/>
              <w:bottom w:val="single" w:color="auto" w:sz="4" w:space="0"/>
              <w:right w:val="single" w:color="auto" w:sz="4" w:space="0"/>
            </w:tcBorders>
            <w:shd w:val="clear" w:color="auto" w:fill="auto"/>
            <w:vAlign w:val="center"/>
          </w:tcPr>
          <w:p w14:paraId="0575792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评价有序推进项目工作和资金支付情况。根据抽查情况赋分。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67A2AA3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1.主要通过支出进度评价有序推进项目工作和资金支付情况，于7月末、10月中旬定期调度。</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1.7月末支出进度评分4分。资金支出进度达到全区平均进度或者序时进度的，得满分；未达到的按照与序时进度的比例扣分；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2.10月中旬支出进度评分4分。资金支出进度达到全区平均进度或者序时进度的，得满分；未达到的按照与序时进度的比例扣分；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620DE462">
        <w:tblPrEx>
          <w:tblCellMar>
            <w:top w:w="0" w:type="dxa"/>
            <w:left w:w="108" w:type="dxa"/>
            <w:bottom w:w="0" w:type="dxa"/>
            <w:right w:w="108" w:type="dxa"/>
          </w:tblCellMar>
        </w:tblPrEx>
        <w:trPr>
          <w:cantSplit/>
          <w:trHeight w:val="112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A1E379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7</w:t>
            </w:r>
          </w:p>
        </w:tc>
        <w:tc>
          <w:tcPr>
            <w:tcW w:w="995" w:type="dxa"/>
            <w:vMerge w:val="continue"/>
            <w:tcBorders>
              <w:top w:val="nil"/>
              <w:left w:val="single" w:color="auto" w:sz="4" w:space="0"/>
              <w:bottom w:val="single" w:color="auto" w:sz="4" w:space="0"/>
              <w:right w:val="single" w:color="auto" w:sz="4" w:space="0"/>
            </w:tcBorders>
            <w:vAlign w:val="center"/>
          </w:tcPr>
          <w:p w14:paraId="2D284046">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1906435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跟踪督促及发现问题整改情况</w:t>
            </w:r>
          </w:p>
        </w:tc>
        <w:tc>
          <w:tcPr>
            <w:tcW w:w="566" w:type="dxa"/>
            <w:tcBorders>
              <w:top w:val="nil"/>
              <w:left w:val="nil"/>
              <w:bottom w:val="single" w:color="auto" w:sz="4" w:space="0"/>
              <w:right w:val="single" w:color="auto" w:sz="4" w:space="0"/>
            </w:tcBorders>
            <w:shd w:val="clear" w:color="auto" w:fill="auto"/>
            <w:noWrap/>
            <w:vAlign w:val="center"/>
          </w:tcPr>
          <w:p w14:paraId="7B0E93E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3971" w:type="dxa"/>
            <w:tcBorders>
              <w:top w:val="nil"/>
              <w:left w:val="nil"/>
              <w:bottom w:val="single" w:color="auto" w:sz="4" w:space="0"/>
              <w:right w:val="single" w:color="auto" w:sz="4" w:space="0"/>
            </w:tcBorders>
            <w:shd w:val="clear" w:color="auto" w:fill="auto"/>
            <w:vAlign w:val="center"/>
          </w:tcPr>
          <w:p w14:paraId="29E33B1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评价定期开展监督检查情况、发现问题整改情况。根据未处理问题比例扣减。根据抽查情况赋分。</w:t>
            </w:r>
          </w:p>
        </w:tc>
        <w:tc>
          <w:tcPr>
            <w:tcW w:w="7165" w:type="dxa"/>
            <w:tcBorders>
              <w:top w:val="nil"/>
              <w:left w:val="nil"/>
              <w:bottom w:val="single" w:color="auto" w:sz="4" w:space="0"/>
              <w:right w:val="single" w:color="auto" w:sz="4" w:space="0"/>
            </w:tcBorders>
            <w:shd w:val="clear" w:color="auto" w:fill="auto"/>
            <w:vAlign w:val="center"/>
          </w:tcPr>
          <w:p w14:paraId="1B58C88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1.定期开展项目实施和资金支出进度等跟踪督促情况，落实到位的得2分，未完全落实到位的酌情扣分；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2.跟踪督促及各类检查发现问题整改到位情况，满分5分，根据未整改问题比例扣减；</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3.全国12317防止返贫监测和乡村振兴咨询服务平台（简称12317平台）反馈问题处理情况，满分1分。</w:t>
            </w:r>
          </w:p>
        </w:tc>
      </w:tr>
      <w:tr w14:paraId="66AB7183">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B0D7FD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995" w:type="dxa"/>
            <w:vMerge w:val="continue"/>
            <w:tcBorders>
              <w:top w:val="nil"/>
              <w:left w:val="single" w:color="auto" w:sz="4" w:space="0"/>
              <w:bottom w:val="single" w:color="auto" w:sz="4" w:space="0"/>
              <w:right w:val="single" w:color="auto" w:sz="4" w:space="0"/>
            </w:tcBorders>
            <w:vAlign w:val="center"/>
          </w:tcPr>
          <w:p w14:paraId="0EF46C4F">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4FE485B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账务处理及档案管理等情况</w:t>
            </w:r>
          </w:p>
        </w:tc>
        <w:tc>
          <w:tcPr>
            <w:tcW w:w="566" w:type="dxa"/>
            <w:tcBorders>
              <w:top w:val="nil"/>
              <w:left w:val="nil"/>
              <w:bottom w:val="single" w:color="auto" w:sz="4" w:space="0"/>
              <w:right w:val="single" w:color="auto" w:sz="4" w:space="0"/>
            </w:tcBorders>
            <w:shd w:val="clear" w:color="auto" w:fill="auto"/>
            <w:noWrap/>
            <w:vAlign w:val="center"/>
          </w:tcPr>
          <w:p w14:paraId="2DF3460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1C26B71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评价账务处理，资产转固，收益管理、档案管理等情况。根据抽查情况赋分。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47E132B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1.财务处理是否规范，原始凭证是否齐全，建成资产是否及时转固、收益管理是否合规；（4分）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2.档案管理是否完整、合规、真实。（1分）</w:t>
            </w:r>
          </w:p>
        </w:tc>
      </w:tr>
      <w:tr w14:paraId="6D7147F8">
        <w:tblPrEx>
          <w:tblCellMar>
            <w:top w:w="0" w:type="dxa"/>
            <w:left w:w="108" w:type="dxa"/>
            <w:bottom w:w="0" w:type="dxa"/>
            <w:right w:w="108" w:type="dxa"/>
          </w:tblCellMar>
        </w:tblPrEx>
        <w:trPr>
          <w:cantSplit/>
          <w:trHeight w:val="115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DF9FD5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995" w:type="dxa"/>
            <w:vMerge w:val="continue"/>
            <w:tcBorders>
              <w:top w:val="nil"/>
              <w:left w:val="single" w:color="auto" w:sz="4" w:space="0"/>
              <w:bottom w:val="single" w:color="auto" w:sz="4" w:space="0"/>
              <w:right w:val="single" w:color="auto" w:sz="4" w:space="0"/>
            </w:tcBorders>
            <w:vAlign w:val="center"/>
          </w:tcPr>
          <w:p w14:paraId="793D63EB">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59B06F7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信息公开和公告公示制度落实情况</w:t>
            </w:r>
          </w:p>
        </w:tc>
        <w:tc>
          <w:tcPr>
            <w:tcW w:w="566" w:type="dxa"/>
            <w:tcBorders>
              <w:top w:val="nil"/>
              <w:left w:val="nil"/>
              <w:bottom w:val="single" w:color="auto" w:sz="4" w:space="0"/>
              <w:right w:val="single" w:color="auto" w:sz="4" w:space="0"/>
            </w:tcBorders>
            <w:shd w:val="clear" w:color="auto" w:fill="auto"/>
            <w:noWrap/>
            <w:vAlign w:val="center"/>
          </w:tcPr>
          <w:p w14:paraId="3FC26C7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3971" w:type="dxa"/>
            <w:tcBorders>
              <w:top w:val="nil"/>
              <w:left w:val="nil"/>
              <w:bottom w:val="single" w:color="auto" w:sz="4" w:space="0"/>
              <w:right w:val="single" w:color="auto" w:sz="4" w:space="0"/>
            </w:tcBorders>
            <w:shd w:val="clear" w:color="auto" w:fill="auto"/>
            <w:vAlign w:val="center"/>
          </w:tcPr>
          <w:p w14:paraId="4388264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09E0E8E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分区级、镇级、村级进行评价。</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1.抽查区级公示公开情况，满分3分，未完整公开酌情扣分；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2.抽查镇级公示公开情况，满分3分，未完整公开酌情扣分；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3.抽查村级公示公开情况，满分3分，未完整公开酌情扣分。</w:t>
            </w:r>
          </w:p>
        </w:tc>
      </w:tr>
      <w:tr w14:paraId="37C4941A">
        <w:tblPrEx>
          <w:tblCellMar>
            <w:top w:w="0" w:type="dxa"/>
            <w:left w:w="108" w:type="dxa"/>
            <w:bottom w:w="0" w:type="dxa"/>
            <w:right w:w="108" w:type="dxa"/>
          </w:tblCellMar>
        </w:tblPrEx>
        <w:trPr>
          <w:cantSplit/>
          <w:trHeight w:val="16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3E4B87B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6A65CFD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使用成效及通报情况（40分）</w:t>
            </w:r>
          </w:p>
        </w:tc>
        <w:tc>
          <w:tcPr>
            <w:tcW w:w="995" w:type="dxa"/>
            <w:tcBorders>
              <w:top w:val="nil"/>
              <w:left w:val="nil"/>
              <w:bottom w:val="single" w:color="auto" w:sz="4" w:space="0"/>
              <w:right w:val="single" w:color="auto" w:sz="4" w:space="0"/>
            </w:tcBorders>
            <w:shd w:val="clear" w:color="auto" w:fill="auto"/>
            <w:vAlign w:val="center"/>
          </w:tcPr>
          <w:p w14:paraId="3D38926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资金使用效益</w:t>
            </w:r>
          </w:p>
        </w:tc>
        <w:tc>
          <w:tcPr>
            <w:tcW w:w="566" w:type="dxa"/>
            <w:tcBorders>
              <w:top w:val="nil"/>
              <w:left w:val="nil"/>
              <w:bottom w:val="single" w:color="auto" w:sz="4" w:space="0"/>
              <w:right w:val="single" w:color="auto" w:sz="4" w:space="0"/>
            </w:tcBorders>
            <w:shd w:val="clear" w:color="auto" w:fill="auto"/>
            <w:noWrap/>
            <w:vAlign w:val="center"/>
          </w:tcPr>
          <w:p w14:paraId="0A473E3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35</w:t>
            </w:r>
          </w:p>
        </w:tc>
        <w:tc>
          <w:tcPr>
            <w:tcW w:w="3971" w:type="dxa"/>
            <w:tcBorders>
              <w:top w:val="nil"/>
              <w:left w:val="nil"/>
              <w:bottom w:val="single" w:color="auto" w:sz="4" w:space="0"/>
              <w:right w:val="single" w:color="auto" w:sz="4" w:space="0"/>
            </w:tcBorders>
            <w:shd w:val="clear" w:color="auto" w:fill="auto"/>
            <w:vAlign w:val="center"/>
          </w:tcPr>
          <w:p w14:paraId="0F72518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评价项目是否达到预期成效，后续管护是否存在问题等。根据抽查情况赋分。</w:t>
            </w:r>
          </w:p>
        </w:tc>
        <w:tc>
          <w:tcPr>
            <w:tcW w:w="7165" w:type="dxa"/>
            <w:tcBorders>
              <w:top w:val="nil"/>
              <w:left w:val="nil"/>
              <w:bottom w:val="single" w:color="auto" w:sz="4" w:space="0"/>
              <w:right w:val="single" w:color="auto" w:sz="4" w:space="0"/>
            </w:tcBorders>
            <w:shd w:val="clear" w:color="auto" w:fill="auto"/>
            <w:vAlign w:val="center"/>
          </w:tcPr>
          <w:p w14:paraId="6122EB7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满分35分，根据抽查项目情况赋分。项目管理各环节，每存在一例不符合相关规定的，扣0.5分，扣完为止。</w:t>
            </w:r>
          </w:p>
        </w:tc>
      </w:tr>
      <w:tr w14:paraId="0EBEC5A9">
        <w:tblPrEx>
          <w:tblCellMar>
            <w:top w:w="0" w:type="dxa"/>
            <w:left w:w="108" w:type="dxa"/>
            <w:bottom w:w="0" w:type="dxa"/>
            <w:right w:w="108" w:type="dxa"/>
          </w:tblCellMar>
        </w:tblPrEx>
        <w:trPr>
          <w:cantSplit/>
          <w:trHeight w:val="767"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1EA1F6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11</w:t>
            </w:r>
          </w:p>
        </w:tc>
        <w:tc>
          <w:tcPr>
            <w:tcW w:w="995" w:type="dxa"/>
            <w:vMerge w:val="continue"/>
            <w:tcBorders>
              <w:top w:val="nil"/>
              <w:left w:val="single" w:color="auto" w:sz="4" w:space="0"/>
              <w:bottom w:val="single" w:color="auto" w:sz="4" w:space="0"/>
              <w:right w:val="single" w:color="auto" w:sz="4" w:space="0"/>
            </w:tcBorders>
            <w:vAlign w:val="center"/>
          </w:tcPr>
          <w:p w14:paraId="3B42296D">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4847A30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通报情况</w:t>
            </w:r>
          </w:p>
        </w:tc>
        <w:tc>
          <w:tcPr>
            <w:tcW w:w="566" w:type="dxa"/>
            <w:tcBorders>
              <w:top w:val="nil"/>
              <w:left w:val="nil"/>
              <w:bottom w:val="single" w:color="auto" w:sz="4" w:space="0"/>
              <w:right w:val="single" w:color="auto" w:sz="4" w:space="0"/>
            </w:tcBorders>
            <w:shd w:val="clear" w:color="auto" w:fill="auto"/>
            <w:vAlign w:val="center"/>
          </w:tcPr>
          <w:p w14:paraId="3EFB849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1EF5862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评价日常表现情况。</w:t>
            </w:r>
          </w:p>
        </w:tc>
        <w:tc>
          <w:tcPr>
            <w:tcW w:w="7165" w:type="dxa"/>
            <w:tcBorders>
              <w:top w:val="nil"/>
              <w:left w:val="nil"/>
              <w:bottom w:val="single" w:color="auto" w:sz="4" w:space="0"/>
              <w:right w:val="single" w:color="auto" w:sz="4" w:space="0"/>
            </w:tcBorders>
            <w:shd w:val="clear" w:color="auto" w:fill="auto"/>
            <w:vAlign w:val="center"/>
          </w:tcPr>
          <w:p w14:paraId="1CD1E08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557DAB5C">
        <w:tblPrEx>
          <w:tblCellMar>
            <w:top w:w="0" w:type="dxa"/>
            <w:left w:w="108" w:type="dxa"/>
            <w:bottom w:w="0" w:type="dxa"/>
            <w:right w:w="108" w:type="dxa"/>
          </w:tblCellMar>
        </w:tblPrEx>
        <w:trPr>
          <w:cantSplit/>
          <w:trHeight w:val="90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5988BD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995" w:type="dxa"/>
            <w:vMerge w:val="restart"/>
            <w:tcBorders>
              <w:top w:val="nil"/>
              <w:left w:val="single" w:color="auto" w:sz="4" w:space="0"/>
              <w:bottom w:val="single" w:color="000000" w:sz="4" w:space="0"/>
              <w:right w:val="single" w:color="auto" w:sz="4" w:space="0"/>
            </w:tcBorders>
            <w:shd w:val="clear" w:color="auto" w:fill="auto"/>
            <w:vAlign w:val="center"/>
          </w:tcPr>
          <w:p w14:paraId="5F83865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加减分指标</w:t>
            </w:r>
          </w:p>
        </w:tc>
        <w:tc>
          <w:tcPr>
            <w:tcW w:w="995" w:type="dxa"/>
            <w:tcBorders>
              <w:top w:val="nil"/>
              <w:left w:val="nil"/>
              <w:bottom w:val="single" w:color="auto" w:sz="4" w:space="0"/>
              <w:right w:val="single" w:color="auto" w:sz="4" w:space="0"/>
            </w:tcBorders>
            <w:shd w:val="clear" w:color="auto" w:fill="auto"/>
            <w:vAlign w:val="center"/>
          </w:tcPr>
          <w:p w14:paraId="09F3DB0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加分项</w:t>
            </w:r>
          </w:p>
        </w:tc>
        <w:tc>
          <w:tcPr>
            <w:tcW w:w="566" w:type="dxa"/>
            <w:tcBorders>
              <w:top w:val="nil"/>
              <w:left w:val="nil"/>
              <w:bottom w:val="single" w:color="auto" w:sz="4" w:space="0"/>
              <w:right w:val="single" w:color="auto" w:sz="4" w:space="0"/>
            </w:tcBorders>
            <w:shd w:val="clear" w:color="auto" w:fill="auto"/>
            <w:vAlign w:val="center"/>
          </w:tcPr>
          <w:p w14:paraId="213C90F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2F747E3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评价机制创新情况。最高加5分。</w:t>
            </w:r>
          </w:p>
        </w:tc>
        <w:tc>
          <w:tcPr>
            <w:tcW w:w="7165" w:type="dxa"/>
            <w:tcBorders>
              <w:top w:val="nil"/>
              <w:left w:val="nil"/>
              <w:bottom w:val="single" w:color="auto" w:sz="4" w:space="0"/>
              <w:right w:val="single" w:color="auto" w:sz="4" w:space="0"/>
            </w:tcBorders>
            <w:shd w:val="clear" w:color="auto" w:fill="auto"/>
            <w:vAlign w:val="center"/>
          </w:tcPr>
          <w:p w14:paraId="02562A6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1.在财政衔接资金分配、使用、监管等方面存在机制创新；（2分）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4F894649">
        <w:tblPrEx>
          <w:tblCellMar>
            <w:top w:w="0" w:type="dxa"/>
            <w:left w:w="108" w:type="dxa"/>
            <w:bottom w:w="0" w:type="dxa"/>
            <w:right w:w="108" w:type="dxa"/>
          </w:tblCellMar>
        </w:tblPrEx>
        <w:trPr>
          <w:cantSplit/>
          <w:trHeight w:val="816"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39775F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13</w:t>
            </w:r>
          </w:p>
        </w:tc>
        <w:tc>
          <w:tcPr>
            <w:tcW w:w="995" w:type="dxa"/>
            <w:vMerge w:val="continue"/>
            <w:tcBorders>
              <w:top w:val="nil"/>
              <w:left w:val="single" w:color="auto" w:sz="4" w:space="0"/>
              <w:bottom w:val="single" w:color="000000" w:sz="4" w:space="0"/>
              <w:right w:val="single" w:color="auto" w:sz="4" w:space="0"/>
            </w:tcBorders>
            <w:vAlign w:val="center"/>
          </w:tcPr>
          <w:p w14:paraId="1C03F3AF">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52B9471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扣分项</w:t>
            </w:r>
          </w:p>
        </w:tc>
        <w:tc>
          <w:tcPr>
            <w:tcW w:w="566" w:type="dxa"/>
            <w:tcBorders>
              <w:top w:val="nil"/>
              <w:left w:val="nil"/>
              <w:bottom w:val="single" w:color="auto" w:sz="4" w:space="0"/>
              <w:right w:val="single" w:color="auto" w:sz="4" w:space="0"/>
            </w:tcBorders>
            <w:shd w:val="clear" w:color="auto" w:fill="auto"/>
            <w:vAlign w:val="center"/>
          </w:tcPr>
          <w:p w14:paraId="79C88A2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nil"/>
              <w:left w:val="nil"/>
              <w:bottom w:val="single" w:color="auto" w:sz="4" w:space="0"/>
              <w:right w:val="single" w:color="auto" w:sz="4" w:space="0"/>
            </w:tcBorders>
            <w:shd w:val="clear" w:color="auto" w:fill="auto"/>
            <w:vAlign w:val="center"/>
          </w:tcPr>
          <w:p w14:paraId="0C68EB4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反映提供材料的真实性，有效性以及相关工作合法合规情况。（用于负面清单事项）</w:t>
            </w:r>
          </w:p>
        </w:tc>
        <w:tc>
          <w:tcPr>
            <w:tcW w:w="7165" w:type="dxa"/>
            <w:tcBorders>
              <w:top w:val="nil"/>
              <w:left w:val="nil"/>
              <w:bottom w:val="single" w:color="auto" w:sz="4" w:space="0"/>
              <w:right w:val="single" w:color="auto" w:sz="4" w:space="0"/>
            </w:tcBorders>
            <w:shd w:val="clear" w:color="auto" w:fill="auto"/>
            <w:vAlign w:val="center"/>
          </w:tcPr>
          <w:p w14:paraId="2515CBE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考核材料、数据中存在虚假信息的，或经有关部门监督检查发现问题的，视情节严重程度扣1-10分。</w:t>
            </w:r>
          </w:p>
        </w:tc>
      </w:tr>
    </w:tbl>
    <w:p w14:paraId="754FC00B">
      <w:pPr>
        <w:rPr>
          <w:rFonts w:ascii="Arial Narrow" w:hAnsi="Arial Narrow" w:eastAsia="仿宋_GB2312" w:cs="宋体"/>
          <w:kern w:val="0"/>
          <w:sz w:val="24"/>
        </w:rPr>
      </w:pPr>
    </w:p>
    <w:p w14:paraId="6691A20E">
      <w:pPr>
        <w:rPr>
          <w:rFonts w:ascii="Arial Narrow" w:hAnsi="Arial Narrow" w:eastAsia="仿宋_GB2312" w:cs="宋体"/>
          <w:kern w:val="0"/>
          <w:sz w:val="24"/>
        </w:rPr>
        <w:sectPr>
          <w:pgSz w:w="16840" w:h="11907" w:orient="landscape"/>
          <w:pgMar w:top="1418" w:right="1134" w:bottom="1134" w:left="1418" w:header="851" w:footer="851" w:gutter="0"/>
          <w:cols w:space="425" w:num="1"/>
          <w:docGrid w:linePitch="312" w:charSpace="0"/>
        </w:sectPr>
      </w:pPr>
    </w:p>
    <w:p w14:paraId="449066C9">
      <w:pPr>
        <w:spacing w:before="120" w:beforeLines="50" w:line="360" w:lineRule="auto"/>
        <w:ind w:firstLine="482" w:firstLineChars="200"/>
        <w:jc w:val="left"/>
        <w:outlineLvl w:val="0"/>
        <w:rPr>
          <w:rFonts w:ascii="Arial Narrow" w:hAnsi="Arial Narrow" w:eastAsia="仿宋_GB2312"/>
          <w:b/>
          <w:sz w:val="24"/>
        </w:rPr>
      </w:pPr>
      <w:bookmarkStart w:id="15" w:name="_Toc27770"/>
      <w:r>
        <w:rPr>
          <w:rFonts w:ascii="Arial Narrow" w:hAnsi="Arial Narrow" w:eastAsia="仿宋_GB2312"/>
          <w:b/>
          <w:sz w:val="24"/>
        </w:rPr>
        <w:t>（五）绩效评价标准和评价方法</w:t>
      </w:r>
      <w:bookmarkEnd w:id="15"/>
    </w:p>
    <w:p w14:paraId="7CD57845">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绩效评价标准</w:t>
      </w:r>
    </w:p>
    <w:p w14:paraId="0740D60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5DBCAB9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319C4E8B">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绩效评价方法</w:t>
      </w:r>
    </w:p>
    <w:p w14:paraId="6A8A897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6CCE3593">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5D22AD6B">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6B8F951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11D80052">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2CBAFBA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63AF831F">
      <w:pPr>
        <w:spacing w:line="360" w:lineRule="auto"/>
        <w:ind w:firstLine="482" w:firstLineChars="200"/>
        <w:jc w:val="left"/>
        <w:outlineLvl w:val="0"/>
        <w:rPr>
          <w:rFonts w:ascii="Arial Narrow" w:hAnsi="Arial Narrow" w:eastAsia="仿宋_GB2312"/>
          <w:b/>
          <w:sz w:val="24"/>
        </w:rPr>
      </w:pPr>
      <w:bookmarkStart w:id="18" w:name="_Toc437528932"/>
      <w:bookmarkStart w:id="19" w:name="_Toc12020"/>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62EED5D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3A9EACB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根据项目实际情况收集项目基础资料及数据深入了解项目整体情况。</w:t>
      </w:r>
    </w:p>
    <w:p w14:paraId="53D0E8E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组织实施现场调查、检查、走访等具体工作。</w:t>
      </w:r>
    </w:p>
    <w:p w14:paraId="1AC760A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依据收集到的项目相关资料和数据，比照经贵单位审定的评价指标体系的评分标准，分别对项目评价打分，汇总后加权平均形成综合评价得分，并对该项目的绩效评价等级进行确认。</w:t>
      </w:r>
    </w:p>
    <w:p w14:paraId="536972D7">
      <w:pPr>
        <w:spacing w:line="360" w:lineRule="auto"/>
        <w:ind w:firstLine="482" w:firstLineChars="200"/>
        <w:jc w:val="left"/>
        <w:outlineLvl w:val="0"/>
        <w:rPr>
          <w:rFonts w:ascii="Arial Narrow" w:hAnsi="Arial Narrow" w:eastAsia="仿宋_GB2312"/>
          <w:b/>
          <w:sz w:val="24"/>
        </w:rPr>
      </w:pPr>
      <w:bookmarkStart w:id="20" w:name="_Toc437528933"/>
      <w:bookmarkStart w:id="21" w:name="_Toc24240"/>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6C4E71B5">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公益性岗位项目</w:t>
      </w:r>
      <w:r>
        <w:rPr>
          <w:rFonts w:hint="eastAsia" w:ascii="Arial Narrow" w:hAnsi="Arial Narrow" w:eastAsia="仿宋_GB2312"/>
          <w:sz w:val="24"/>
        </w:rPr>
        <w:t>绩效评价得分</w:t>
      </w:r>
      <w:r>
        <w:rPr>
          <w:rFonts w:hint="eastAsia" w:ascii="Arial Narrow" w:hAnsi="Arial Narrow" w:eastAsia="仿宋_GB2312" w:cs="宋体"/>
          <w:kern w:val="0"/>
          <w:sz w:val="24"/>
        </w:rPr>
        <w:t>99.00</w:t>
      </w:r>
      <w:r>
        <w:rPr>
          <w:rFonts w:hint="eastAsia" w:ascii="Arial Narrow" w:hAnsi="Arial Narrow" w:eastAsia="仿宋_GB2312"/>
          <w:sz w:val="24"/>
        </w:rPr>
        <w:t>分，</w:t>
      </w:r>
      <w:r>
        <w:rPr>
          <w:rFonts w:ascii="Arial Narrow" w:hAnsi="Arial Narrow" w:eastAsia="仿宋_GB2312"/>
          <w:sz w:val="24"/>
        </w:rPr>
        <w:t>绩效评价等级为：</w:t>
      </w:r>
      <w:r>
        <w:rPr>
          <w:rFonts w:hint="eastAsia" w:ascii="Arial Narrow" w:hAnsi="Arial Narrow" w:eastAsia="仿宋_GB2312"/>
          <w:sz w:val="24"/>
        </w:rPr>
        <w:t>优。</w:t>
      </w:r>
    </w:p>
    <w:p w14:paraId="7C0D8C6F">
      <w:pPr>
        <w:spacing w:line="360" w:lineRule="auto"/>
        <w:ind w:firstLine="482" w:firstLineChars="200"/>
        <w:outlineLvl w:val="0"/>
        <w:rPr>
          <w:rFonts w:ascii="Arial Narrow" w:hAnsi="Arial Narrow" w:eastAsia="仿宋_GB2312"/>
          <w:b/>
          <w:sz w:val="24"/>
        </w:rPr>
      </w:pPr>
      <w:bookmarkStart w:id="22" w:name="_Toc28015"/>
      <w:r>
        <w:rPr>
          <w:rFonts w:hint="eastAsia" w:ascii="Arial Narrow" w:hAnsi="Arial Narrow" w:eastAsia="仿宋_GB2312"/>
          <w:b/>
          <w:sz w:val="24"/>
        </w:rPr>
        <w:t>四、</w:t>
      </w:r>
      <w:r>
        <w:rPr>
          <w:rFonts w:ascii="Arial Narrow" w:hAnsi="Arial Narrow" w:eastAsia="仿宋_GB2312"/>
          <w:b/>
          <w:sz w:val="24"/>
        </w:rPr>
        <w:t>综合评价情况</w:t>
      </w:r>
      <w:bookmarkEnd w:id="22"/>
    </w:p>
    <w:p w14:paraId="7159AC85">
      <w:pPr>
        <w:spacing w:line="360" w:lineRule="auto"/>
        <w:ind w:firstLine="482" w:firstLineChars="200"/>
        <w:jc w:val="left"/>
        <w:outlineLvl w:val="0"/>
        <w:rPr>
          <w:rFonts w:ascii="仿宋_GB2312" w:eastAsia="仿宋_GB2312"/>
          <w:b/>
          <w:sz w:val="24"/>
        </w:rPr>
      </w:pPr>
      <w:bookmarkStart w:id="23" w:name="_Toc7437"/>
      <w:r>
        <w:rPr>
          <w:rFonts w:hint="eastAsia" w:ascii="仿宋_GB2312" w:eastAsia="仿宋_GB2312"/>
          <w:b/>
          <w:sz w:val="24"/>
        </w:rPr>
        <w:t>（一）资金管理</w:t>
      </w:r>
      <w:bookmarkEnd w:id="23"/>
    </w:p>
    <w:p w14:paraId="70C2F923">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财政衔接资金安排情况</w:t>
      </w:r>
    </w:p>
    <w:p w14:paraId="06D8EAD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号）、《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2B01BEA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资金分解下达进度</w:t>
      </w:r>
    </w:p>
    <w:p w14:paraId="4AD811E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区财政局于2023年2月16日发布《重庆市铜梁区财政局关于下达2023年区级财政衔接推进乡村振兴补助资金预算的通知》（铜财〔2023〕46号），业务主管部门于2023年4月10日发布《关于下达2023年区级财政衔接推进乡村振兴补助资金项目安排计划的通知》（铜委农办〔2023〕3号），区财政局下达资金文件时间到区级业务主管部门下达项目及资金计划文件时间间隔大于30日。</w:t>
      </w:r>
    </w:p>
    <w:p w14:paraId="49AEB137">
      <w:pPr>
        <w:spacing w:line="360" w:lineRule="auto"/>
        <w:ind w:firstLine="482" w:firstLineChars="200"/>
        <w:jc w:val="left"/>
        <w:outlineLvl w:val="0"/>
        <w:rPr>
          <w:rFonts w:ascii="仿宋_GB2312" w:eastAsia="仿宋_GB2312"/>
          <w:b/>
          <w:sz w:val="24"/>
        </w:rPr>
      </w:pPr>
      <w:bookmarkStart w:id="24" w:name="_Toc6545"/>
      <w:r>
        <w:rPr>
          <w:rFonts w:hint="eastAsia" w:ascii="仿宋_GB2312" w:eastAsia="仿宋_GB2312"/>
          <w:b/>
          <w:sz w:val="24"/>
        </w:rPr>
        <w:t>（二）项目管理</w:t>
      </w:r>
      <w:bookmarkEnd w:id="24"/>
    </w:p>
    <w:p w14:paraId="7E4C1F1F">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项目库建设管理情况</w:t>
      </w:r>
    </w:p>
    <w:p w14:paraId="34328A2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项目入库及时充分、程序规范、内容完整，制定切合实际的实施方案，具备实施条件，衔接资金未用于项目库之外的项目。</w:t>
      </w:r>
    </w:p>
    <w:p w14:paraId="7C4FCB46">
      <w:pPr>
        <w:adjustRightInd w:val="0"/>
        <w:snapToGrid w:val="0"/>
        <w:spacing w:line="360" w:lineRule="auto"/>
        <w:ind w:firstLine="480" w:firstLineChars="200"/>
        <w:rPr>
          <w:rFonts w:ascii="Arial Narrow" w:hAnsi="Arial Narrow" w:eastAsia="仿宋_GB2312"/>
          <w:color w:val="000000" w:themeColor="text1"/>
          <w:sz w:val="24"/>
          <w14:textFill>
            <w14:solidFill>
              <w14:schemeClr w14:val="tx1"/>
            </w14:solidFill>
          </w14:textFill>
        </w:rPr>
      </w:pPr>
      <w:r>
        <w:rPr>
          <w:rFonts w:hint="eastAsia" w:ascii="Arial Narrow" w:hAnsi="Arial Narrow" w:eastAsia="仿宋_GB2312"/>
          <w:color w:val="000000" w:themeColor="text1"/>
          <w:sz w:val="24"/>
          <w14:textFill>
            <w14:solidFill>
              <w14:schemeClr w14:val="tx1"/>
            </w14:solidFill>
          </w14:textFill>
        </w:rPr>
        <w:t>2</w:t>
      </w:r>
      <w:r>
        <w:rPr>
          <w:rFonts w:hint="eastAsia" w:ascii="Arial Narrow" w:hAnsi="Arial Narrow" w:eastAsia="仿宋_GB2312"/>
          <w:color w:val="000000" w:themeColor="text1"/>
          <w:sz w:val="24"/>
          <w:lang w:val="en-US" w:eastAsia="zh-CN"/>
          <w14:textFill>
            <w14:solidFill>
              <w14:schemeClr w14:val="tx1"/>
            </w14:solidFill>
          </w14:textFill>
        </w:rPr>
        <w:t>.</w:t>
      </w:r>
      <w:r>
        <w:rPr>
          <w:rFonts w:hint="eastAsia" w:ascii="Arial Narrow" w:hAnsi="Arial Narrow" w:eastAsia="仿宋_GB2312"/>
          <w:color w:val="000000" w:themeColor="text1"/>
          <w:sz w:val="24"/>
          <w14:textFill>
            <w14:solidFill>
              <w14:schemeClr w14:val="tx1"/>
            </w14:solidFill>
          </w14:textFill>
        </w:rPr>
        <w:t>项目绩效管理情况</w:t>
      </w:r>
    </w:p>
    <w:p w14:paraId="0781E659">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color w:val="000000" w:themeColor="text1"/>
          <w:sz w:val="24"/>
          <w14:textFill>
            <w14:solidFill>
              <w14:schemeClr w14:val="tx1"/>
            </w14:solidFill>
          </w14:textFill>
        </w:rPr>
        <w:t>及时制定了明确的绩效目标，实施过程中对绩效目标进行监控，在项目实施完毕后开展了绩效自评，形成绩效自评表及自评报告。绩效目标自评表填写不规范，扣1分。</w:t>
      </w:r>
    </w:p>
    <w:p w14:paraId="69C38D3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sz w:val="24"/>
        </w:rPr>
        <w:t>绩效基本达到预期。</w:t>
      </w:r>
    </w:p>
    <w:p w14:paraId="58C5FBE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ascii="Arial Narrow" w:hAnsi="Arial Narrow" w:eastAsia="仿宋_GB2312"/>
          <w:sz w:val="24"/>
          <w:lang w:val="en-US" w:eastAsia="zh-CN"/>
        </w:rPr>
        <w:t>.</w:t>
      </w:r>
      <w:r>
        <w:rPr>
          <w:rFonts w:hint="eastAsia" w:ascii="Arial Narrow" w:hAnsi="Arial Narrow" w:eastAsia="仿宋_GB2312"/>
          <w:sz w:val="24"/>
        </w:rPr>
        <w:t>项目建设管理情况</w:t>
      </w:r>
    </w:p>
    <w:p w14:paraId="789A69D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公益性岗位项目不涉及项目建设管理。</w:t>
      </w:r>
    </w:p>
    <w:p w14:paraId="31D337E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w:t>
      </w:r>
      <w:r>
        <w:rPr>
          <w:rFonts w:hint="eastAsia" w:ascii="Arial Narrow" w:hAnsi="Arial Narrow" w:eastAsia="仿宋_GB2312"/>
          <w:sz w:val="24"/>
          <w:lang w:val="en-US" w:eastAsia="zh-CN"/>
        </w:rPr>
        <w:t>.</w:t>
      </w:r>
      <w:r>
        <w:rPr>
          <w:rFonts w:hint="eastAsia" w:ascii="Arial Narrow" w:hAnsi="Arial Narrow" w:eastAsia="仿宋_GB2312"/>
          <w:sz w:val="24"/>
        </w:rPr>
        <w:t>预算执行率情况</w:t>
      </w:r>
    </w:p>
    <w:p w14:paraId="7703770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公益性岗位项目最后一笔款项拨付于2023年</w:t>
      </w:r>
      <w:r>
        <w:rPr>
          <w:rFonts w:ascii="Arial Narrow" w:hAnsi="Arial Narrow" w:eastAsia="仿宋_GB2312"/>
          <w:sz w:val="24"/>
        </w:rPr>
        <w:t>5</w:t>
      </w:r>
      <w:r>
        <w:rPr>
          <w:rFonts w:hint="eastAsia" w:ascii="Arial Narrow" w:hAnsi="Arial Narrow" w:eastAsia="仿宋_GB2312"/>
          <w:sz w:val="24"/>
        </w:rPr>
        <w:t>月</w:t>
      </w:r>
      <w:r>
        <w:rPr>
          <w:rFonts w:ascii="Arial Narrow" w:hAnsi="Arial Narrow" w:eastAsia="仿宋_GB2312"/>
          <w:sz w:val="24"/>
        </w:rPr>
        <w:t>5</w:t>
      </w:r>
      <w:r>
        <w:rPr>
          <w:rFonts w:hint="eastAsia" w:ascii="Arial Narrow" w:hAnsi="Arial Narrow" w:eastAsia="仿宋_GB2312"/>
          <w:sz w:val="24"/>
        </w:rPr>
        <w:t>日，项目整体支付进度达标，未见明显异常。</w:t>
      </w:r>
    </w:p>
    <w:p w14:paraId="28E0F30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w:t>
      </w:r>
      <w:r>
        <w:rPr>
          <w:rFonts w:hint="eastAsia" w:ascii="Arial Narrow" w:hAnsi="Arial Narrow" w:eastAsia="仿宋_GB2312"/>
          <w:sz w:val="24"/>
          <w:lang w:val="en-US" w:eastAsia="zh-CN"/>
        </w:rPr>
        <w:t>.</w:t>
      </w:r>
      <w:r>
        <w:rPr>
          <w:rFonts w:hint="eastAsia" w:ascii="Arial Narrow" w:hAnsi="Arial Narrow" w:eastAsia="仿宋_GB2312"/>
          <w:sz w:val="24"/>
        </w:rPr>
        <w:t>跟踪督促及发现问题整改情况</w:t>
      </w:r>
    </w:p>
    <w:p w14:paraId="0392D2C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通过实施单位提供的检查表、自评表等资料显示，本项目实施单位定期开展项目实施和资金支出进度等跟踪督促，未发现异常情况。</w:t>
      </w:r>
    </w:p>
    <w:p w14:paraId="6235162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w:t>
      </w:r>
      <w:r>
        <w:rPr>
          <w:rFonts w:hint="eastAsia" w:ascii="Arial Narrow" w:hAnsi="Arial Narrow" w:eastAsia="仿宋_GB2312"/>
          <w:sz w:val="24"/>
          <w:lang w:val="en-US" w:eastAsia="zh-CN"/>
        </w:rPr>
        <w:t>.</w:t>
      </w:r>
      <w:r>
        <w:rPr>
          <w:rFonts w:hint="eastAsia" w:ascii="Arial Narrow" w:hAnsi="Arial Narrow" w:eastAsia="仿宋_GB2312"/>
          <w:sz w:val="24"/>
        </w:rPr>
        <w:t>账务处理及档案管理等情况</w:t>
      </w:r>
    </w:p>
    <w:p w14:paraId="7D6C4C2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7EAED1A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ascii="Arial Narrow" w:hAnsi="Arial Narrow" w:eastAsia="仿宋_GB2312"/>
          <w:sz w:val="24"/>
          <w:lang w:val="en-US" w:eastAsia="zh-CN"/>
        </w:rPr>
        <w:t>.</w:t>
      </w:r>
      <w:r>
        <w:rPr>
          <w:rFonts w:hint="eastAsia" w:ascii="Arial Narrow" w:hAnsi="Arial Narrow" w:eastAsia="仿宋_GB2312"/>
          <w:sz w:val="24"/>
        </w:rPr>
        <w:t>信息公开和公告公示制度落实情况</w:t>
      </w:r>
    </w:p>
    <w:p w14:paraId="4B3C4E6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各镇</w:t>
      </w:r>
      <w:r>
        <w:rPr>
          <w:rFonts w:hint="eastAsia" w:ascii="Arial Narrow" w:hAnsi="Arial Narrow" w:eastAsia="仿宋_GB2312"/>
          <w:sz w:val="24"/>
        </w:rPr>
        <w:t>对</w:t>
      </w:r>
      <w:r>
        <w:rPr>
          <w:rFonts w:hint="eastAsia" w:ascii="Arial Narrow" w:hAnsi="Arial Narrow" w:eastAsia="仿宋_GB2312" w:cs="宋体"/>
          <w:kern w:val="0"/>
          <w:sz w:val="24"/>
        </w:rPr>
        <w:t>公益性岗位项目</w:t>
      </w:r>
      <w:r>
        <w:rPr>
          <w:rFonts w:hint="eastAsia" w:ascii="Arial Narrow" w:hAnsi="Arial Narrow" w:eastAsia="仿宋_GB2312"/>
          <w:sz w:val="24"/>
        </w:rPr>
        <w:t>进行了公益性岗位招聘公告公示。</w:t>
      </w:r>
    </w:p>
    <w:p w14:paraId="2188ABF0">
      <w:pPr>
        <w:spacing w:line="360" w:lineRule="auto"/>
        <w:ind w:firstLine="482" w:firstLineChars="200"/>
        <w:jc w:val="left"/>
        <w:outlineLvl w:val="0"/>
        <w:rPr>
          <w:rFonts w:ascii="仿宋_GB2312" w:eastAsia="仿宋_GB2312"/>
          <w:b/>
          <w:sz w:val="24"/>
        </w:rPr>
      </w:pPr>
      <w:bookmarkStart w:id="25" w:name="_Toc25880"/>
      <w:r>
        <w:rPr>
          <w:rFonts w:hint="eastAsia" w:ascii="仿宋_GB2312" w:eastAsia="仿宋_GB2312"/>
          <w:b/>
          <w:sz w:val="24"/>
        </w:rPr>
        <w:t>（三）使用成效及通报情况</w:t>
      </w:r>
      <w:bookmarkEnd w:id="25"/>
    </w:p>
    <w:p w14:paraId="765FF1E4">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资金使用效益</w:t>
      </w:r>
    </w:p>
    <w:p w14:paraId="6F69198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项目总体资金均专款专用，项目完成进度和及时性达到计划预期目的，完成了绩效目标，已安排</w:t>
      </w:r>
      <w:r>
        <w:rPr>
          <w:rFonts w:hint="eastAsia" w:ascii="Arial Narrow" w:hAnsi="Arial Narrow" w:eastAsia="仿宋_GB2312" w:cs="宋体"/>
          <w:kern w:val="0"/>
          <w:sz w:val="24"/>
        </w:rPr>
        <w:t>生态公益性岗位</w:t>
      </w:r>
      <w:r>
        <w:rPr>
          <w:rFonts w:hint="eastAsia" w:ascii="Arial Narrow" w:hAnsi="Arial Narrow" w:eastAsia="仿宋_GB2312"/>
          <w:sz w:val="24"/>
        </w:rPr>
        <w:t>5</w:t>
      </w:r>
      <w:r>
        <w:rPr>
          <w:rFonts w:ascii="Arial Narrow" w:hAnsi="Arial Narrow" w:eastAsia="仿宋_GB2312"/>
          <w:sz w:val="24"/>
        </w:rPr>
        <w:t>0</w:t>
      </w:r>
      <w:r>
        <w:rPr>
          <w:rFonts w:hint="eastAsia" w:ascii="Arial Narrow" w:hAnsi="Arial Narrow" w:eastAsia="仿宋_GB2312"/>
          <w:sz w:val="24"/>
        </w:rPr>
        <w:t>个。</w:t>
      </w:r>
    </w:p>
    <w:p w14:paraId="17D0885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通报情况</w:t>
      </w:r>
    </w:p>
    <w:p w14:paraId="5C3F02E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项目实施管理日常表现良好，未被通报问题和反馈情况。</w:t>
      </w:r>
    </w:p>
    <w:p w14:paraId="493D2EF6">
      <w:pPr>
        <w:spacing w:line="360" w:lineRule="auto"/>
        <w:ind w:firstLine="482" w:firstLineChars="200"/>
        <w:outlineLvl w:val="0"/>
        <w:rPr>
          <w:rFonts w:ascii="Arial Narrow" w:hAnsi="Arial Narrow" w:eastAsia="仿宋_GB2312"/>
          <w:b/>
          <w:sz w:val="24"/>
        </w:rPr>
      </w:pPr>
      <w:bookmarkStart w:id="26" w:name="_Toc21947"/>
      <w:r>
        <w:rPr>
          <w:rFonts w:hint="eastAsia" w:ascii="Arial Narrow" w:hAnsi="Arial Narrow" w:eastAsia="仿宋_GB2312"/>
          <w:b/>
          <w:sz w:val="24"/>
        </w:rPr>
        <w:t>五</w:t>
      </w:r>
      <w:r>
        <w:rPr>
          <w:rFonts w:ascii="Arial Narrow" w:hAnsi="Arial Narrow" w:eastAsia="仿宋_GB2312"/>
          <w:b/>
          <w:sz w:val="24"/>
        </w:rPr>
        <w:t>、存在的问题和建议</w:t>
      </w:r>
      <w:bookmarkEnd w:id="26"/>
    </w:p>
    <w:p w14:paraId="3516EA24">
      <w:pPr>
        <w:spacing w:line="360" w:lineRule="auto"/>
        <w:ind w:firstLine="482" w:firstLineChars="200"/>
        <w:jc w:val="left"/>
        <w:outlineLvl w:val="0"/>
        <w:rPr>
          <w:rFonts w:ascii="仿宋_GB2312" w:eastAsia="仿宋_GB2312"/>
          <w:b/>
          <w:sz w:val="24"/>
        </w:rPr>
      </w:pPr>
      <w:bookmarkStart w:id="27" w:name="_Toc1755"/>
      <w:r>
        <w:rPr>
          <w:rFonts w:hint="eastAsia" w:ascii="仿宋_GB2312" w:eastAsia="仿宋_GB2312"/>
          <w:b/>
          <w:sz w:val="24"/>
        </w:rPr>
        <w:t>（一）存在问题</w:t>
      </w:r>
      <w:bookmarkEnd w:id="27"/>
    </w:p>
    <w:p w14:paraId="39F21C0B">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绩效目标自评表填写不规范，如：数量指标（新增50个脱贫人员就近就业）分值、年度指标值、全年实际值、得分均填写20。</w:t>
      </w:r>
    </w:p>
    <w:p w14:paraId="6F04D127">
      <w:pPr>
        <w:spacing w:line="360" w:lineRule="auto"/>
        <w:ind w:firstLine="482" w:firstLineChars="200"/>
        <w:jc w:val="left"/>
        <w:outlineLvl w:val="0"/>
        <w:rPr>
          <w:rFonts w:ascii="仿宋_GB2312" w:eastAsia="仿宋_GB2312"/>
          <w:b/>
          <w:sz w:val="24"/>
        </w:rPr>
      </w:pPr>
      <w:bookmarkStart w:id="28" w:name="_Toc13391"/>
      <w:r>
        <w:rPr>
          <w:rFonts w:hint="eastAsia" w:ascii="仿宋_GB2312" w:eastAsia="仿宋_GB2312"/>
          <w:b/>
          <w:sz w:val="24"/>
        </w:rPr>
        <w:t>（二）建议</w:t>
      </w:r>
      <w:bookmarkEnd w:id="28"/>
    </w:p>
    <w:p w14:paraId="305503D1">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项目实施完毕后，规范填写绩效目标自评表，完善自评表、自评报告，总结项目经验，为巩固拓展脱贫攻坚成果同乡村振兴有效衔接决策和分配财政专项衔接资金提供重要参考。</w:t>
      </w:r>
    </w:p>
    <w:p w14:paraId="44CBEC4A">
      <w:pPr>
        <w:adjustRightInd w:val="0"/>
        <w:snapToGrid w:val="0"/>
        <w:spacing w:line="360" w:lineRule="auto"/>
        <w:ind w:firstLine="480" w:firstLineChars="200"/>
        <w:rPr>
          <w:rStyle w:val="11"/>
          <w:rFonts w:ascii="Arial Narrow" w:hAnsi="Arial Narrow" w:eastAsia="仿宋_GB2312"/>
          <w:color w:val="auto"/>
          <w:sz w:val="24"/>
          <w:u w:val="none"/>
        </w:rPr>
      </w:pPr>
    </w:p>
    <w:p w14:paraId="38B6E079">
      <w:pPr>
        <w:adjustRightInd w:val="0"/>
        <w:snapToGrid w:val="0"/>
        <w:spacing w:line="360" w:lineRule="auto"/>
        <w:ind w:firstLine="420" w:firstLineChars="200"/>
        <w:rPr>
          <w:rStyle w:val="11"/>
          <w:color w:val="auto"/>
          <w:u w:val="none"/>
        </w:rPr>
      </w:pPr>
    </w:p>
    <w:p w14:paraId="77DB3226">
      <w:pPr>
        <w:adjustRightInd w:val="0"/>
        <w:snapToGrid w:val="0"/>
        <w:spacing w:line="360" w:lineRule="auto"/>
        <w:rPr>
          <w:rStyle w:val="11"/>
          <w:rFonts w:ascii="Arial Narrow" w:hAnsi="Arial Narrow" w:eastAsia="仿宋_GB2312"/>
          <w:color w:val="auto"/>
          <w:sz w:val="24"/>
          <w:u w:val="none"/>
        </w:rPr>
      </w:pPr>
      <w:r>
        <w:rPr>
          <w:rStyle w:val="11"/>
          <w:rFonts w:ascii="Arial Narrow" w:hAnsi="Arial Narrow" w:eastAsia="仿宋_GB2312"/>
          <w:color w:val="auto"/>
          <w:sz w:val="24"/>
          <w:u w:val="none"/>
        </w:rPr>
        <w:t>附件：1</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绩效评价指标体系及评分结果表；</w:t>
      </w:r>
    </w:p>
    <w:p w14:paraId="4372D595">
      <w:pPr>
        <w:adjustRightInd w:val="0"/>
        <w:snapToGrid w:val="0"/>
        <w:spacing w:line="360" w:lineRule="auto"/>
        <w:ind w:firstLine="720" w:firstLineChars="300"/>
        <w:rPr>
          <w:rStyle w:val="11"/>
          <w:rFonts w:ascii="Arial Narrow" w:hAnsi="Arial Narrow" w:eastAsia="仿宋_GB2312"/>
          <w:color w:val="auto"/>
          <w:sz w:val="24"/>
          <w:u w:val="none"/>
        </w:rPr>
      </w:pPr>
      <w:r>
        <w:rPr>
          <w:rStyle w:val="11"/>
          <w:rFonts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会计师事务所营业执照和资质复印件。</w:t>
      </w:r>
    </w:p>
    <w:p w14:paraId="286B3E2F">
      <w:pPr>
        <w:adjustRightInd w:val="0"/>
        <w:snapToGrid w:val="0"/>
        <w:spacing w:line="360" w:lineRule="auto"/>
        <w:rPr>
          <w:rStyle w:val="11"/>
          <w:rFonts w:ascii="Arial Narrow" w:hAnsi="Arial Narrow" w:eastAsia="仿宋_GB2312"/>
          <w:color w:val="auto"/>
          <w:sz w:val="24"/>
          <w:u w:val="none"/>
        </w:rPr>
      </w:pPr>
    </w:p>
    <w:p w14:paraId="4E560194">
      <w:pPr>
        <w:adjustRightInd w:val="0"/>
        <w:snapToGrid w:val="0"/>
        <w:spacing w:line="360" w:lineRule="auto"/>
        <w:ind w:firstLine="720" w:firstLineChars="300"/>
        <w:rPr>
          <w:rStyle w:val="11"/>
          <w:rFonts w:ascii="Arial Narrow" w:hAnsi="Arial Narrow" w:eastAsia="仿宋_GB2312"/>
          <w:color w:val="auto"/>
          <w:sz w:val="24"/>
          <w:u w:val="none"/>
        </w:rPr>
      </w:pPr>
    </w:p>
    <w:p w14:paraId="076F33BB">
      <w:pPr>
        <w:adjustRightInd w:val="0"/>
        <w:snapToGrid w:val="0"/>
        <w:spacing w:line="360" w:lineRule="auto"/>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 xml:space="preserve"> 重庆铭鸿金全会计师事务所有限责任公司</w:t>
      </w:r>
    </w:p>
    <w:p w14:paraId="18CC3C83">
      <w:pPr>
        <w:adjustRightInd w:val="0"/>
        <w:snapToGrid w:val="0"/>
        <w:spacing w:line="360" w:lineRule="auto"/>
        <w:ind w:right="960" w:firstLine="4800" w:firstLineChars="2000"/>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二</w:t>
      </w:r>
      <w:r>
        <w:rPr>
          <w:rStyle w:val="11"/>
          <w:rFonts w:hint="eastAsia" w:ascii="Arial Narrow" w:hAnsi="Arial Narrow" w:eastAsia="仿宋_GB2312"/>
          <w:color w:val="auto"/>
          <w:sz w:val="24"/>
          <w:u w:val="none"/>
          <w:lang w:eastAsia="zh-CN"/>
        </w:rPr>
        <w:t>〇</w:t>
      </w:r>
      <w:bookmarkStart w:id="29" w:name="_GoBack"/>
      <w:bookmarkEnd w:id="29"/>
      <w:r>
        <w:rPr>
          <w:rStyle w:val="11"/>
          <w:rFonts w:hint="eastAsia" w:ascii="Arial Narrow" w:hAnsi="Arial Narrow" w:eastAsia="仿宋_GB2312"/>
          <w:color w:val="auto"/>
          <w:sz w:val="24"/>
          <w:u w:val="none"/>
        </w:rPr>
        <w:t>二四年六月十四日</w:t>
      </w:r>
    </w:p>
    <w:sectPr>
      <w:pgSz w:w="11907" w:h="16840" w:orient="landscape"/>
      <w:pgMar w:top="1418" w:right="1418"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64E4D">
    <w:pPr>
      <w:pStyle w:val="5"/>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BA9BC">
    <w:pPr>
      <w:pStyle w:val="5"/>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40C98">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1640C"/>
    <w:rsid w:val="00060BD2"/>
    <w:rsid w:val="00063E0B"/>
    <w:rsid w:val="000769EE"/>
    <w:rsid w:val="00086622"/>
    <w:rsid w:val="00087AFF"/>
    <w:rsid w:val="000D1A3B"/>
    <w:rsid w:val="000E2FDB"/>
    <w:rsid w:val="000E4529"/>
    <w:rsid w:val="000E6A52"/>
    <w:rsid w:val="0010003E"/>
    <w:rsid w:val="001019B2"/>
    <w:rsid w:val="00104568"/>
    <w:rsid w:val="00143A99"/>
    <w:rsid w:val="0015073D"/>
    <w:rsid w:val="00152152"/>
    <w:rsid w:val="00164C87"/>
    <w:rsid w:val="001A42EB"/>
    <w:rsid w:val="001C6F32"/>
    <w:rsid w:val="001E0132"/>
    <w:rsid w:val="001F3624"/>
    <w:rsid w:val="001F43AE"/>
    <w:rsid w:val="00216472"/>
    <w:rsid w:val="00224D96"/>
    <w:rsid w:val="00226E7E"/>
    <w:rsid w:val="0024139B"/>
    <w:rsid w:val="00276D1C"/>
    <w:rsid w:val="00282997"/>
    <w:rsid w:val="002A496C"/>
    <w:rsid w:val="002C083D"/>
    <w:rsid w:val="002C36AE"/>
    <w:rsid w:val="002C5020"/>
    <w:rsid w:val="002C7EFA"/>
    <w:rsid w:val="00324E2F"/>
    <w:rsid w:val="00327BED"/>
    <w:rsid w:val="00331DC5"/>
    <w:rsid w:val="00336ACA"/>
    <w:rsid w:val="003557BC"/>
    <w:rsid w:val="0037066E"/>
    <w:rsid w:val="00384C3C"/>
    <w:rsid w:val="003879CE"/>
    <w:rsid w:val="003A00D8"/>
    <w:rsid w:val="003B42BF"/>
    <w:rsid w:val="0040516E"/>
    <w:rsid w:val="00414A58"/>
    <w:rsid w:val="004200C2"/>
    <w:rsid w:val="00420AA7"/>
    <w:rsid w:val="00421C71"/>
    <w:rsid w:val="00470930"/>
    <w:rsid w:val="004A6242"/>
    <w:rsid w:val="004C1F3A"/>
    <w:rsid w:val="004C38B4"/>
    <w:rsid w:val="004D1145"/>
    <w:rsid w:val="004D2A6E"/>
    <w:rsid w:val="004E6833"/>
    <w:rsid w:val="004F7A0F"/>
    <w:rsid w:val="00501A64"/>
    <w:rsid w:val="00506023"/>
    <w:rsid w:val="00536985"/>
    <w:rsid w:val="005651CB"/>
    <w:rsid w:val="00572DD6"/>
    <w:rsid w:val="005A02C5"/>
    <w:rsid w:val="005A6053"/>
    <w:rsid w:val="005B468B"/>
    <w:rsid w:val="005C6902"/>
    <w:rsid w:val="005D6C0A"/>
    <w:rsid w:val="005E133F"/>
    <w:rsid w:val="005F01BA"/>
    <w:rsid w:val="0061001E"/>
    <w:rsid w:val="0061417A"/>
    <w:rsid w:val="00655510"/>
    <w:rsid w:val="00667D26"/>
    <w:rsid w:val="00673D65"/>
    <w:rsid w:val="0069678B"/>
    <w:rsid w:val="006A58E0"/>
    <w:rsid w:val="006D14F7"/>
    <w:rsid w:val="006E75D6"/>
    <w:rsid w:val="006E7DA1"/>
    <w:rsid w:val="006F7CBD"/>
    <w:rsid w:val="0073019B"/>
    <w:rsid w:val="00730A8E"/>
    <w:rsid w:val="00740AB7"/>
    <w:rsid w:val="00740E9D"/>
    <w:rsid w:val="00741402"/>
    <w:rsid w:val="00765F46"/>
    <w:rsid w:val="007A6BE6"/>
    <w:rsid w:val="00827385"/>
    <w:rsid w:val="00842151"/>
    <w:rsid w:val="00856815"/>
    <w:rsid w:val="008701B6"/>
    <w:rsid w:val="008952B1"/>
    <w:rsid w:val="008C381D"/>
    <w:rsid w:val="008D4F7C"/>
    <w:rsid w:val="008E609D"/>
    <w:rsid w:val="0090729E"/>
    <w:rsid w:val="009309C0"/>
    <w:rsid w:val="0093667D"/>
    <w:rsid w:val="00950E41"/>
    <w:rsid w:val="00983CB7"/>
    <w:rsid w:val="009957B8"/>
    <w:rsid w:val="0099666C"/>
    <w:rsid w:val="009E4352"/>
    <w:rsid w:val="009F1C42"/>
    <w:rsid w:val="00A066D6"/>
    <w:rsid w:val="00A14650"/>
    <w:rsid w:val="00A352D4"/>
    <w:rsid w:val="00A922C5"/>
    <w:rsid w:val="00A95CA5"/>
    <w:rsid w:val="00AB5FF4"/>
    <w:rsid w:val="00AC3880"/>
    <w:rsid w:val="00AD0284"/>
    <w:rsid w:val="00AE470F"/>
    <w:rsid w:val="00AF58DD"/>
    <w:rsid w:val="00B134A6"/>
    <w:rsid w:val="00B25A79"/>
    <w:rsid w:val="00B7289F"/>
    <w:rsid w:val="00B94CCE"/>
    <w:rsid w:val="00BA0D07"/>
    <w:rsid w:val="00BA212E"/>
    <w:rsid w:val="00BB191E"/>
    <w:rsid w:val="00BB3674"/>
    <w:rsid w:val="00BC2692"/>
    <w:rsid w:val="00BC7BED"/>
    <w:rsid w:val="00BD4203"/>
    <w:rsid w:val="00BD6FFD"/>
    <w:rsid w:val="00BE6F31"/>
    <w:rsid w:val="00C02FB6"/>
    <w:rsid w:val="00C107C7"/>
    <w:rsid w:val="00C12443"/>
    <w:rsid w:val="00C35442"/>
    <w:rsid w:val="00C36A73"/>
    <w:rsid w:val="00C60A62"/>
    <w:rsid w:val="00C93C4A"/>
    <w:rsid w:val="00CB54FB"/>
    <w:rsid w:val="00CC769D"/>
    <w:rsid w:val="00CD06CD"/>
    <w:rsid w:val="00D1562E"/>
    <w:rsid w:val="00D1701A"/>
    <w:rsid w:val="00D254D3"/>
    <w:rsid w:val="00D26E16"/>
    <w:rsid w:val="00D415D5"/>
    <w:rsid w:val="00DB55F0"/>
    <w:rsid w:val="00DE6E23"/>
    <w:rsid w:val="00DF608E"/>
    <w:rsid w:val="00E065AA"/>
    <w:rsid w:val="00E1059A"/>
    <w:rsid w:val="00E23D6E"/>
    <w:rsid w:val="00E27A95"/>
    <w:rsid w:val="00E66C12"/>
    <w:rsid w:val="00E709E2"/>
    <w:rsid w:val="00E80BDA"/>
    <w:rsid w:val="00EA1C10"/>
    <w:rsid w:val="00EA4BCF"/>
    <w:rsid w:val="00EB4610"/>
    <w:rsid w:val="00EB474C"/>
    <w:rsid w:val="00EB6F5B"/>
    <w:rsid w:val="00ED0A8C"/>
    <w:rsid w:val="00F2011E"/>
    <w:rsid w:val="00F36680"/>
    <w:rsid w:val="00F43B1C"/>
    <w:rsid w:val="00F54C3F"/>
    <w:rsid w:val="00F61D28"/>
    <w:rsid w:val="00F64D50"/>
    <w:rsid w:val="00F6551E"/>
    <w:rsid w:val="00F671F2"/>
    <w:rsid w:val="00F71AE8"/>
    <w:rsid w:val="00F84DF0"/>
    <w:rsid w:val="00FA6718"/>
    <w:rsid w:val="00FD0241"/>
    <w:rsid w:val="00FD1A79"/>
    <w:rsid w:val="00FD5F18"/>
    <w:rsid w:val="00FE1E65"/>
    <w:rsid w:val="00FE5705"/>
    <w:rsid w:val="00FF5AA5"/>
    <w:rsid w:val="02717C9D"/>
    <w:rsid w:val="0C955D75"/>
    <w:rsid w:val="10FD0312"/>
    <w:rsid w:val="119F4A7B"/>
    <w:rsid w:val="120E6874"/>
    <w:rsid w:val="134C3CB2"/>
    <w:rsid w:val="1A624D7F"/>
    <w:rsid w:val="1BA16E9C"/>
    <w:rsid w:val="21C56BDB"/>
    <w:rsid w:val="270731DD"/>
    <w:rsid w:val="29054270"/>
    <w:rsid w:val="2A5E3844"/>
    <w:rsid w:val="314F7CF2"/>
    <w:rsid w:val="357129F4"/>
    <w:rsid w:val="371050B8"/>
    <w:rsid w:val="45947F31"/>
    <w:rsid w:val="4DF1278B"/>
    <w:rsid w:val="4E804195"/>
    <w:rsid w:val="55115D7C"/>
    <w:rsid w:val="57CB58C2"/>
    <w:rsid w:val="60087B46"/>
    <w:rsid w:val="629B4EDD"/>
    <w:rsid w:val="6C0B491D"/>
    <w:rsid w:val="6EB1230C"/>
    <w:rsid w:val="7E90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8"/>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29BB2-3D0A-414E-9EBA-C4A8E8DC42CF}">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5396</Words>
  <Characters>5732</Characters>
  <Lines>49</Lines>
  <Paragraphs>13</Paragraphs>
  <TotalTime>16</TotalTime>
  <ScaleCrop>false</ScaleCrop>
  <LinksUpToDate>false</LinksUpToDate>
  <CharactersWithSpaces>5760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2024-11-20T01:32:02Z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