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02420">
      <w:pPr>
        <w:spacing w:line="360" w:lineRule="auto"/>
        <w:jc w:val="center"/>
        <w:rPr>
          <w:rFonts w:ascii="Arial Narrow" w:hAnsi="Arial Narrow"/>
          <w:b/>
          <w:bCs/>
          <w:sz w:val="36"/>
          <w:szCs w:val="36"/>
        </w:rPr>
      </w:pPr>
    </w:p>
    <w:p w14:paraId="0E9712B4">
      <w:pPr>
        <w:spacing w:line="360" w:lineRule="auto"/>
        <w:jc w:val="center"/>
        <w:rPr>
          <w:rFonts w:ascii="Arial Narrow" w:hAnsi="Arial Narrow"/>
          <w:b/>
          <w:bCs/>
          <w:sz w:val="36"/>
          <w:szCs w:val="36"/>
        </w:rPr>
      </w:pPr>
    </w:p>
    <w:p w14:paraId="0611001E">
      <w:pPr>
        <w:spacing w:line="360" w:lineRule="auto"/>
        <w:jc w:val="center"/>
        <w:rPr>
          <w:rFonts w:ascii="Arial Narrow" w:hAnsi="Arial Narrow"/>
          <w:b/>
          <w:bCs/>
          <w:sz w:val="36"/>
          <w:szCs w:val="36"/>
        </w:rPr>
      </w:pPr>
    </w:p>
    <w:p w14:paraId="0622C79C">
      <w:pPr>
        <w:spacing w:line="360" w:lineRule="auto"/>
        <w:jc w:val="center"/>
        <w:rPr>
          <w:rFonts w:ascii="Arial Narrow" w:hAnsi="Arial Narrow"/>
          <w:b/>
          <w:bCs/>
          <w:sz w:val="36"/>
          <w:szCs w:val="36"/>
        </w:rPr>
      </w:pPr>
    </w:p>
    <w:p w14:paraId="6186D436">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重庆市铜梁区水利局农村饮水提升项目等</w:t>
      </w:r>
      <w:r>
        <w:rPr>
          <w:rFonts w:ascii="Arial Narrow" w:hAnsi="Arial Narrow" w:eastAsia="仿宋"/>
          <w:b/>
          <w:sz w:val="36"/>
          <w:szCs w:val="36"/>
        </w:rPr>
        <w:t>3</w:t>
      </w:r>
      <w:r>
        <w:rPr>
          <w:rFonts w:hint="eastAsia" w:ascii="Arial Narrow" w:hAnsi="Arial Narrow" w:eastAsia="仿宋"/>
          <w:b/>
          <w:sz w:val="36"/>
          <w:szCs w:val="36"/>
        </w:rPr>
        <w:t>个项目</w:t>
      </w:r>
    </w:p>
    <w:p w14:paraId="1443E32F">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52F3ED9B">
      <w:pPr>
        <w:adjustRightInd w:val="0"/>
        <w:snapToGrid w:val="0"/>
        <w:spacing w:line="360" w:lineRule="auto"/>
        <w:jc w:val="center"/>
        <w:rPr>
          <w:rFonts w:ascii="Arial Narrow" w:hAnsi="Arial Narrow"/>
          <w:b/>
          <w:sz w:val="36"/>
          <w:szCs w:val="36"/>
        </w:rPr>
      </w:pPr>
    </w:p>
    <w:p w14:paraId="11A00F22">
      <w:pPr>
        <w:adjustRightInd w:val="0"/>
        <w:snapToGrid w:val="0"/>
        <w:spacing w:line="360" w:lineRule="auto"/>
        <w:jc w:val="center"/>
        <w:rPr>
          <w:rFonts w:ascii="Arial Narrow" w:hAnsi="Arial Narrow"/>
          <w:b/>
          <w:spacing w:val="100"/>
          <w:sz w:val="32"/>
          <w:szCs w:val="32"/>
        </w:rPr>
      </w:pPr>
    </w:p>
    <w:p w14:paraId="18DAF931">
      <w:pPr>
        <w:adjustRightInd w:val="0"/>
        <w:snapToGrid w:val="0"/>
        <w:spacing w:line="360" w:lineRule="auto"/>
        <w:jc w:val="center"/>
        <w:rPr>
          <w:rFonts w:ascii="Arial Narrow" w:hAnsi="Arial Narrow"/>
          <w:b/>
          <w:spacing w:val="100"/>
          <w:sz w:val="32"/>
          <w:szCs w:val="32"/>
        </w:rPr>
      </w:pPr>
    </w:p>
    <w:p w14:paraId="578A29BE">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313D4BD3">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ascii="Arial Narrow" w:hAnsi="Arial Narrow" w:eastAsia="仿宋"/>
          <w:bCs/>
          <w:sz w:val="32"/>
          <w:szCs w:val="32"/>
        </w:rPr>
        <w:t>0</w:t>
      </w:r>
      <w:r>
        <w:rPr>
          <w:rFonts w:hint="eastAsia" w:ascii="Arial Narrow" w:hAnsi="Arial Narrow" w:eastAsia="仿宋"/>
          <w:bCs/>
          <w:sz w:val="32"/>
          <w:szCs w:val="32"/>
        </w:rPr>
        <w:t>42</w:t>
      </w:r>
      <w:r>
        <w:rPr>
          <w:rFonts w:ascii="Arial Narrow" w:hAnsi="Arial Narrow" w:eastAsia="仿宋"/>
          <w:bCs/>
          <w:sz w:val="32"/>
          <w:szCs w:val="32"/>
        </w:rPr>
        <w:t>号</w:t>
      </w:r>
    </w:p>
    <w:p w14:paraId="24AB2EFB">
      <w:pPr>
        <w:adjustRightInd w:val="0"/>
        <w:snapToGrid w:val="0"/>
        <w:spacing w:line="360" w:lineRule="auto"/>
        <w:jc w:val="center"/>
        <w:rPr>
          <w:rFonts w:ascii="Arial Narrow" w:hAnsi="Arial Narrow"/>
          <w:b/>
          <w:spacing w:val="100"/>
          <w:sz w:val="32"/>
          <w:szCs w:val="32"/>
        </w:rPr>
      </w:pPr>
    </w:p>
    <w:p w14:paraId="28644E69">
      <w:pPr>
        <w:adjustRightInd w:val="0"/>
        <w:snapToGrid w:val="0"/>
        <w:spacing w:line="360" w:lineRule="auto"/>
        <w:jc w:val="center"/>
        <w:rPr>
          <w:rFonts w:ascii="Arial Narrow" w:hAnsi="Arial Narrow"/>
          <w:b/>
          <w:spacing w:val="100"/>
          <w:sz w:val="32"/>
          <w:szCs w:val="32"/>
        </w:rPr>
      </w:pPr>
    </w:p>
    <w:p w14:paraId="2B549382">
      <w:pPr>
        <w:adjustRightInd w:val="0"/>
        <w:snapToGrid w:val="0"/>
        <w:spacing w:line="360" w:lineRule="auto"/>
        <w:jc w:val="center"/>
        <w:rPr>
          <w:rFonts w:ascii="Arial Narrow" w:hAnsi="Arial Narrow"/>
          <w:b/>
          <w:spacing w:val="100"/>
          <w:sz w:val="32"/>
          <w:szCs w:val="32"/>
        </w:rPr>
      </w:pPr>
    </w:p>
    <w:p w14:paraId="27C04A85">
      <w:pPr>
        <w:adjustRightInd w:val="0"/>
        <w:snapToGrid w:val="0"/>
        <w:spacing w:line="360" w:lineRule="auto"/>
        <w:jc w:val="center"/>
        <w:rPr>
          <w:rFonts w:ascii="Arial Narrow" w:hAnsi="Arial Narrow"/>
          <w:b/>
          <w:spacing w:val="100"/>
          <w:sz w:val="32"/>
          <w:szCs w:val="32"/>
        </w:rPr>
      </w:pPr>
    </w:p>
    <w:p w14:paraId="08DB8AE7">
      <w:pPr>
        <w:adjustRightInd w:val="0"/>
        <w:snapToGrid w:val="0"/>
        <w:spacing w:line="360" w:lineRule="auto"/>
        <w:jc w:val="center"/>
        <w:rPr>
          <w:rFonts w:ascii="Arial Narrow" w:hAnsi="Arial Narrow"/>
          <w:b/>
          <w:spacing w:val="100"/>
          <w:sz w:val="32"/>
          <w:szCs w:val="32"/>
        </w:rPr>
      </w:pPr>
    </w:p>
    <w:p w14:paraId="0CEBAE07">
      <w:pPr>
        <w:adjustRightInd w:val="0"/>
        <w:snapToGrid w:val="0"/>
        <w:spacing w:line="360" w:lineRule="auto"/>
        <w:jc w:val="center"/>
        <w:rPr>
          <w:rFonts w:ascii="Arial Narrow" w:hAnsi="Arial Narrow"/>
          <w:b/>
          <w:spacing w:val="100"/>
          <w:sz w:val="32"/>
          <w:szCs w:val="32"/>
        </w:rPr>
      </w:pPr>
    </w:p>
    <w:p w14:paraId="702B8357">
      <w:pPr>
        <w:adjustRightInd w:val="0"/>
        <w:snapToGrid w:val="0"/>
        <w:spacing w:line="360" w:lineRule="auto"/>
        <w:jc w:val="center"/>
        <w:rPr>
          <w:rFonts w:ascii="Arial Narrow" w:hAnsi="Arial Narrow"/>
          <w:b/>
          <w:spacing w:val="100"/>
          <w:sz w:val="32"/>
          <w:szCs w:val="32"/>
        </w:rPr>
      </w:pPr>
    </w:p>
    <w:p w14:paraId="423BB558">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54FB0EAB">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336B32EB">
      <w:pPr>
        <w:spacing w:line="360" w:lineRule="auto"/>
        <w:jc w:val="center"/>
        <w:rPr>
          <w:rFonts w:ascii="Arial Narrow" w:hAnsi="Arial Narrow"/>
          <w:sz w:val="24"/>
        </w:rPr>
      </w:pPr>
    </w:p>
    <w:p w14:paraId="65028453">
      <w:pPr>
        <w:pStyle w:val="7"/>
        <w:tabs>
          <w:tab w:val="right" w:leader="dot" w:pos="8788"/>
          <w:tab w:val="clear" w:pos="8778"/>
        </w:tabs>
      </w:pPr>
      <w:r>
        <w:rPr>
          <w:rStyle w:val="11"/>
          <w:color w:val="auto"/>
          <w:u w:val="none"/>
        </w:rPr>
        <w:fldChar w:fldCharType="begin"/>
      </w:r>
      <w:r>
        <w:rPr>
          <w:rStyle w:val="11"/>
          <w:rFonts w:ascii="仿宋" w:hAnsi="仿宋" w:eastAsia="仿宋"/>
          <w:b w:val="0"/>
          <w:bCs w:val="0"/>
          <w:color w:val="auto"/>
          <w:szCs w:val="21"/>
          <w:u w:val="none"/>
        </w:rPr>
        <w:instrText xml:space="preserve"> TOC \o "1-3" \h \z \u </w:instrText>
      </w:r>
      <w:r>
        <w:rPr>
          <w:rStyle w:val="11"/>
          <w:color w:val="auto"/>
          <w:u w:val="none"/>
        </w:rPr>
        <w:fldChar w:fldCharType="separate"/>
      </w:r>
      <w:r>
        <w:fldChar w:fldCharType="begin"/>
      </w:r>
      <w:r>
        <w:instrText xml:space="preserve"> HYPERLINK \l "_Toc30271" </w:instrText>
      </w:r>
      <w:r>
        <w:fldChar w:fldCharType="separate"/>
      </w:r>
      <w:r>
        <w:t>一、基本情况</w:t>
      </w:r>
      <w:r>
        <w:tab/>
      </w:r>
      <w:r>
        <w:fldChar w:fldCharType="begin"/>
      </w:r>
      <w:r>
        <w:instrText xml:space="preserve"> PAGEREF _Toc30271 \h </w:instrText>
      </w:r>
      <w:r>
        <w:fldChar w:fldCharType="separate"/>
      </w:r>
      <w:r>
        <w:t>1</w:t>
      </w:r>
      <w:r>
        <w:fldChar w:fldCharType="end"/>
      </w:r>
      <w:r>
        <w:fldChar w:fldCharType="end"/>
      </w:r>
    </w:p>
    <w:p w14:paraId="0D582414">
      <w:pPr>
        <w:pStyle w:val="7"/>
        <w:tabs>
          <w:tab w:val="right" w:leader="dot" w:pos="8788"/>
          <w:tab w:val="clear" w:pos="8778"/>
        </w:tabs>
      </w:pPr>
      <w:r>
        <w:fldChar w:fldCharType="begin"/>
      </w:r>
      <w:r>
        <w:instrText xml:space="preserve"> HYPERLINK \l "_Toc13068" </w:instrText>
      </w:r>
      <w:r>
        <w:fldChar w:fldCharType="separate"/>
      </w:r>
      <w:r>
        <w:rPr>
          <w:rFonts w:hint="eastAsia"/>
        </w:rPr>
        <w:t>（一）项目情况</w:t>
      </w:r>
      <w:r>
        <w:tab/>
      </w:r>
      <w:r>
        <w:fldChar w:fldCharType="begin"/>
      </w:r>
      <w:r>
        <w:instrText xml:space="preserve"> PAGEREF _Toc13068 \h </w:instrText>
      </w:r>
      <w:r>
        <w:fldChar w:fldCharType="separate"/>
      </w:r>
      <w:r>
        <w:t>1</w:t>
      </w:r>
      <w:r>
        <w:fldChar w:fldCharType="end"/>
      </w:r>
      <w:r>
        <w:fldChar w:fldCharType="end"/>
      </w:r>
    </w:p>
    <w:p w14:paraId="474FBB1C">
      <w:pPr>
        <w:pStyle w:val="7"/>
        <w:tabs>
          <w:tab w:val="right" w:leader="dot" w:pos="8788"/>
          <w:tab w:val="clear" w:pos="8778"/>
        </w:tabs>
      </w:pPr>
      <w:r>
        <w:fldChar w:fldCharType="begin"/>
      </w:r>
      <w:r>
        <w:instrText xml:space="preserve"> HYPERLINK \l "_Toc22970" </w:instrText>
      </w:r>
      <w:r>
        <w:fldChar w:fldCharType="separate"/>
      </w:r>
      <w:r>
        <w:t>二、绩效评价工作情况</w:t>
      </w:r>
      <w:r>
        <w:tab/>
      </w:r>
      <w:r>
        <w:fldChar w:fldCharType="begin"/>
      </w:r>
      <w:r>
        <w:instrText xml:space="preserve"> PAGEREF _Toc22970 \h </w:instrText>
      </w:r>
      <w:r>
        <w:fldChar w:fldCharType="separate"/>
      </w:r>
      <w:r>
        <w:t>2</w:t>
      </w:r>
      <w:r>
        <w:fldChar w:fldCharType="end"/>
      </w:r>
      <w:r>
        <w:fldChar w:fldCharType="end"/>
      </w:r>
    </w:p>
    <w:p w14:paraId="1B13FB53">
      <w:pPr>
        <w:pStyle w:val="7"/>
        <w:tabs>
          <w:tab w:val="right" w:leader="dot" w:pos="8788"/>
          <w:tab w:val="clear" w:pos="8778"/>
        </w:tabs>
      </w:pPr>
      <w:r>
        <w:fldChar w:fldCharType="begin"/>
      </w:r>
      <w:r>
        <w:instrText xml:space="preserve"> HYPERLINK \l "_Toc9182" </w:instrText>
      </w:r>
      <w:r>
        <w:fldChar w:fldCharType="separate"/>
      </w:r>
      <w:r>
        <w:t>（一）绩效评价目的</w:t>
      </w:r>
      <w:r>
        <w:tab/>
      </w:r>
      <w:r>
        <w:fldChar w:fldCharType="begin"/>
      </w:r>
      <w:r>
        <w:instrText xml:space="preserve"> PAGEREF _Toc9182 \h </w:instrText>
      </w:r>
      <w:r>
        <w:fldChar w:fldCharType="separate"/>
      </w:r>
      <w:r>
        <w:t>2</w:t>
      </w:r>
      <w:r>
        <w:fldChar w:fldCharType="end"/>
      </w:r>
      <w:r>
        <w:fldChar w:fldCharType="end"/>
      </w:r>
    </w:p>
    <w:p w14:paraId="6D151B47">
      <w:pPr>
        <w:pStyle w:val="7"/>
        <w:tabs>
          <w:tab w:val="right" w:leader="dot" w:pos="8788"/>
          <w:tab w:val="clear" w:pos="8778"/>
        </w:tabs>
      </w:pPr>
      <w:r>
        <w:fldChar w:fldCharType="begin"/>
      </w:r>
      <w:r>
        <w:instrText xml:space="preserve"> HYPERLINK \l "_Toc19101" </w:instrText>
      </w:r>
      <w:r>
        <w:fldChar w:fldCharType="separate"/>
      </w:r>
      <w:r>
        <w:t>（二）绩效评价的</w:t>
      </w:r>
      <w:r>
        <w:rPr>
          <w:rFonts w:hint="eastAsia"/>
        </w:rPr>
        <w:t>基本内容</w:t>
      </w:r>
      <w:r>
        <w:tab/>
      </w:r>
      <w:r>
        <w:fldChar w:fldCharType="begin"/>
      </w:r>
      <w:r>
        <w:instrText xml:space="preserve"> PAGEREF _Toc19101 \h </w:instrText>
      </w:r>
      <w:r>
        <w:fldChar w:fldCharType="separate"/>
      </w:r>
      <w:r>
        <w:t>2</w:t>
      </w:r>
      <w:r>
        <w:fldChar w:fldCharType="end"/>
      </w:r>
      <w:r>
        <w:fldChar w:fldCharType="end"/>
      </w:r>
    </w:p>
    <w:p w14:paraId="790970B4">
      <w:pPr>
        <w:pStyle w:val="7"/>
        <w:tabs>
          <w:tab w:val="right" w:leader="dot" w:pos="8788"/>
          <w:tab w:val="clear" w:pos="8778"/>
        </w:tabs>
      </w:pPr>
      <w:r>
        <w:fldChar w:fldCharType="begin"/>
      </w:r>
      <w:r>
        <w:instrText xml:space="preserve"> HYPERLINK \l "_Toc18380" </w:instrText>
      </w:r>
      <w:r>
        <w:fldChar w:fldCharType="separate"/>
      </w:r>
      <w:r>
        <w:t>（三）绩效评价依据</w:t>
      </w:r>
      <w:r>
        <w:tab/>
      </w:r>
      <w:r>
        <w:fldChar w:fldCharType="begin"/>
      </w:r>
      <w:r>
        <w:instrText xml:space="preserve"> PAGEREF _Toc18380 \h </w:instrText>
      </w:r>
      <w:r>
        <w:fldChar w:fldCharType="separate"/>
      </w:r>
      <w:r>
        <w:t>2</w:t>
      </w:r>
      <w:r>
        <w:fldChar w:fldCharType="end"/>
      </w:r>
      <w:r>
        <w:fldChar w:fldCharType="end"/>
      </w:r>
    </w:p>
    <w:p w14:paraId="06186D7B">
      <w:pPr>
        <w:pStyle w:val="7"/>
        <w:tabs>
          <w:tab w:val="right" w:leader="dot" w:pos="8788"/>
          <w:tab w:val="clear" w:pos="8778"/>
        </w:tabs>
      </w:pPr>
      <w:r>
        <w:fldChar w:fldCharType="begin"/>
      </w:r>
      <w:r>
        <w:instrText xml:space="preserve"> HYPERLINK \l "_Toc14631" </w:instrText>
      </w:r>
      <w:r>
        <w:fldChar w:fldCharType="separate"/>
      </w:r>
      <w:r>
        <w:t>（四）绩效评价原则和指标体系</w:t>
      </w:r>
      <w:r>
        <w:tab/>
      </w:r>
      <w:r>
        <w:fldChar w:fldCharType="begin"/>
      </w:r>
      <w:r>
        <w:instrText xml:space="preserve"> PAGEREF _Toc14631 \h </w:instrText>
      </w:r>
      <w:r>
        <w:fldChar w:fldCharType="separate"/>
      </w:r>
      <w:r>
        <w:t>3</w:t>
      </w:r>
      <w:r>
        <w:fldChar w:fldCharType="end"/>
      </w:r>
      <w:r>
        <w:fldChar w:fldCharType="end"/>
      </w:r>
    </w:p>
    <w:p w14:paraId="7BECDCBA">
      <w:pPr>
        <w:pStyle w:val="7"/>
        <w:tabs>
          <w:tab w:val="right" w:leader="dot" w:pos="8788"/>
          <w:tab w:val="clear" w:pos="8778"/>
        </w:tabs>
      </w:pPr>
      <w:r>
        <w:fldChar w:fldCharType="begin"/>
      </w:r>
      <w:r>
        <w:instrText xml:space="preserve"> HYPERLINK \l "_Toc13009" </w:instrText>
      </w:r>
      <w:r>
        <w:fldChar w:fldCharType="separate"/>
      </w:r>
      <w:r>
        <w:t>（五）绩效评价标准和评价方法</w:t>
      </w:r>
      <w:r>
        <w:tab/>
      </w:r>
      <w:r>
        <w:fldChar w:fldCharType="begin"/>
      </w:r>
      <w:r>
        <w:instrText xml:space="preserve"> PAGEREF _Toc13009 \h </w:instrText>
      </w:r>
      <w:r>
        <w:fldChar w:fldCharType="separate"/>
      </w:r>
      <w:r>
        <w:t>6</w:t>
      </w:r>
      <w:r>
        <w:fldChar w:fldCharType="end"/>
      </w:r>
      <w:r>
        <w:fldChar w:fldCharType="end"/>
      </w:r>
    </w:p>
    <w:p w14:paraId="1B4DD763">
      <w:pPr>
        <w:pStyle w:val="7"/>
        <w:tabs>
          <w:tab w:val="right" w:leader="dot" w:pos="8788"/>
          <w:tab w:val="clear" w:pos="8778"/>
        </w:tabs>
      </w:pPr>
      <w:r>
        <w:fldChar w:fldCharType="begin"/>
      </w:r>
      <w:r>
        <w:instrText xml:space="preserve"> HYPERLINK \l "_Toc852" </w:instrText>
      </w:r>
      <w:r>
        <w:fldChar w:fldCharType="separate"/>
      </w:r>
      <w:r>
        <w:t>（六）绩效评价工作过程</w:t>
      </w:r>
      <w:r>
        <w:tab/>
      </w:r>
      <w:r>
        <w:fldChar w:fldCharType="begin"/>
      </w:r>
      <w:r>
        <w:instrText xml:space="preserve"> PAGEREF _Toc852 \h </w:instrText>
      </w:r>
      <w:r>
        <w:fldChar w:fldCharType="separate"/>
      </w:r>
      <w:r>
        <w:t>6</w:t>
      </w:r>
      <w:r>
        <w:fldChar w:fldCharType="end"/>
      </w:r>
      <w:r>
        <w:fldChar w:fldCharType="end"/>
      </w:r>
    </w:p>
    <w:p w14:paraId="01C1F36E">
      <w:pPr>
        <w:pStyle w:val="7"/>
        <w:tabs>
          <w:tab w:val="right" w:leader="dot" w:pos="8788"/>
          <w:tab w:val="clear" w:pos="8778"/>
        </w:tabs>
      </w:pPr>
      <w:r>
        <w:fldChar w:fldCharType="begin"/>
      </w:r>
      <w:r>
        <w:instrText xml:space="preserve"> HYPERLINK \l "_Toc9526" </w:instrText>
      </w:r>
      <w:r>
        <w:fldChar w:fldCharType="separate"/>
      </w:r>
      <w:r>
        <w:t>三、</w:t>
      </w:r>
      <w:r>
        <w:rPr>
          <w:rFonts w:hint="eastAsia"/>
        </w:rPr>
        <w:t>项目</w:t>
      </w:r>
      <w:r>
        <w:t>评价结论</w:t>
      </w:r>
      <w:r>
        <w:tab/>
      </w:r>
      <w:r>
        <w:fldChar w:fldCharType="begin"/>
      </w:r>
      <w:r>
        <w:instrText xml:space="preserve"> PAGEREF _Toc9526 \h </w:instrText>
      </w:r>
      <w:r>
        <w:fldChar w:fldCharType="separate"/>
      </w:r>
      <w:r>
        <w:t>6</w:t>
      </w:r>
      <w:r>
        <w:fldChar w:fldCharType="end"/>
      </w:r>
      <w:r>
        <w:fldChar w:fldCharType="end"/>
      </w:r>
    </w:p>
    <w:p w14:paraId="57E5D6CE">
      <w:pPr>
        <w:pStyle w:val="7"/>
        <w:tabs>
          <w:tab w:val="right" w:leader="dot" w:pos="8788"/>
          <w:tab w:val="clear" w:pos="8778"/>
        </w:tabs>
      </w:pPr>
      <w:r>
        <w:fldChar w:fldCharType="begin"/>
      </w:r>
      <w:r>
        <w:instrText xml:space="preserve"> HYPERLINK \l "_Toc24963" </w:instrText>
      </w:r>
      <w:r>
        <w:fldChar w:fldCharType="separate"/>
      </w:r>
      <w:r>
        <w:rPr>
          <w:rFonts w:hint="eastAsia"/>
        </w:rPr>
        <w:t>四、</w:t>
      </w:r>
      <w:r>
        <w:t>综合评价情况</w:t>
      </w:r>
      <w:r>
        <w:tab/>
      </w:r>
      <w:r>
        <w:fldChar w:fldCharType="begin"/>
      </w:r>
      <w:r>
        <w:instrText xml:space="preserve"> PAGEREF _Toc24963 \h </w:instrText>
      </w:r>
      <w:r>
        <w:fldChar w:fldCharType="separate"/>
      </w:r>
      <w:r>
        <w:t>7</w:t>
      </w:r>
      <w:r>
        <w:fldChar w:fldCharType="end"/>
      </w:r>
      <w:r>
        <w:fldChar w:fldCharType="end"/>
      </w:r>
    </w:p>
    <w:p w14:paraId="5E558CB7">
      <w:pPr>
        <w:pStyle w:val="7"/>
        <w:tabs>
          <w:tab w:val="right" w:leader="dot" w:pos="8788"/>
          <w:tab w:val="clear" w:pos="8778"/>
        </w:tabs>
      </w:pPr>
      <w:r>
        <w:fldChar w:fldCharType="begin"/>
      </w:r>
      <w:r>
        <w:instrText xml:space="preserve"> HYPERLINK \l "_Toc29231" </w:instrText>
      </w:r>
      <w:r>
        <w:fldChar w:fldCharType="separate"/>
      </w:r>
      <w:r>
        <w:rPr>
          <w:rFonts w:hint="eastAsia" w:ascii="仿宋_GB2312"/>
        </w:rPr>
        <w:t>（一）资金管理</w:t>
      </w:r>
      <w:r>
        <w:tab/>
      </w:r>
      <w:r>
        <w:fldChar w:fldCharType="begin"/>
      </w:r>
      <w:r>
        <w:instrText xml:space="preserve"> PAGEREF _Toc29231 \h </w:instrText>
      </w:r>
      <w:r>
        <w:fldChar w:fldCharType="separate"/>
      </w:r>
      <w:r>
        <w:t>7</w:t>
      </w:r>
      <w:r>
        <w:fldChar w:fldCharType="end"/>
      </w:r>
      <w:r>
        <w:fldChar w:fldCharType="end"/>
      </w:r>
    </w:p>
    <w:p w14:paraId="0053A3C9">
      <w:pPr>
        <w:pStyle w:val="7"/>
        <w:tabs>
          <w:tab w:val="right" w:leader="dot" w:pos="8788"/>
          <w:tab w:val="clear" w:pos="8778"/>
        </w:tabs>
      </w:pPr>
      <w:r>
        <w:fldChar w:fldCharType="begin"/>
      </w:r>
      <w:r>
        <w:instrText xml:space="preserve"> HYPERLINK \l "_Toc11551" </w:instrText>
      </w:r>
      <w:r>
        <w:fldChar w:fldCharType="separate"/>
      </w:r>
      <w:r>
        <w:rPr>
          <w:rFonts w:hint="eastAsia" w:ascii="仿宋_GB2312"/>
        </w:rPr>
        <w:t>（二）项目管理</w:t>
      </w:r>
      <w:r>
        <w:tab/>
      </w:r>
      <w:r>
        <w:fldChar w:fldCharType="begin"/>
      </w:r>
      <w:r>
        <w:instrText xml:space="preserve"> PAGEREF _Toc11551 \h </w:instrText>
      </w:r>
      <w:r>
        <w:fldChar w:fldCharType="separate"/>
      </w:r>
      <w:r>
        <w:t>7</w:t>
      </w:r>
      <w:r>
        <w:fldChar w:fldCharType="end"/>
      </w:r>
      <w:r>
        <w:fldChar w:fldCharType="end"/>
      </w:r>
    </w:p>
    <w:p w14:paraId="47E8FEA3">
      <w:pPr>
        <w:pStyle w:val="7"/>
        <w:tabs>
          <w:tab w:val="right" w:leader="dot" w:pos="8788"/>
          <w:tab w:val="clear" w:pos="8778"/>
        </w:tabs>
      </w:pPr>
      <w:r>
        <w:fldChar w:fldCharType="begin"/>
      </w:r>
      <w:r>
        <w:instrText xml:space="preserve"> HYPERLINK \l "_Toc15457" </w:instrText>
      </w:r>
      <w:r>
        <w:fldChar w:fldCharType="separate"/>
      </w:r>
      <w:r>
        <w:rPr>
          <w:rFonts w:hint="eastAsia" w:ascii="仿宋_GB2312"/>
        </w:rPr>
        <w:t>（三）使用成效及通报情况</w:t>
      </w:r>
      <w:r>
        <w:tab/>
      </w:r>
      <w:r>
        <w:fldChar w:fldCharType="begin"/>
      </w:r>
      <w:r>
        <w:instrText xml:space="preserve"> PAGEREF _Toc15457 \h </w:instrText>
      </w:r>
      <w:r>
        <w:fldChar w:fldCharType="separate"/>
      </w:r>
      <w:r>
        <w:t>8</w:t>
      </w:r>
      <w:r>
        <w:fldChar w:fldCharType="end"/>
      </w:r>
      <w:r>
        <w:fldChar w:fldCharType="end"/>
      </w:r>
    </w:p>
    <w:p w14:paraId="0D411112">
      <w:pPr>
        <w:pStyle w:val="7"/>
        <w:tabs>
          <w:tab w:val="right" w:leader="dot" w:pos="8788"/>
          <w:tab w:val="clear" w:pos="8778"/>
        </w:tabs>
      </w:pPr>
      <w:r>
        <w:fldChar w:fldCharType="begin"/>
      </w:r>
      <w:r>
        <w:instrText xml:space="preserve"> HYPERLINK \l "_Toc31129" </w:instrText>
      </w:r>
      <w:r>
        <w:fldChar w:fldCharType="separate"/>
      </w:r>
      <w:r>
        <w:rPr>
          <w:rFonts w:hint="eastAsia"/>
        </w:rPr>
        <w:t>五</w:t>
      </w:r>
      <w:r>
        <w:t>、存在的问题和建议</w:t>
      </w:r>
      <w:r>
        <w:tab/>
      </w:r>
      <w:r>
        <w:fldChar w:fldCharType="begin"/>
      </w:r>
      <w:r>
        <w:instrText xml:space="preserve"> PAGEREF _Toc31129 \h </w:instrText>
      </w:r>
      <w:r>
        <w:fldChar w:fldCharType="separate"/>
      </w:r>
      <w:r>
        <w:t>9</w:t>
      </w:r>
      <w:r>
        <w:fldChar w:fldCharType="end"/>
      </w:r>
      <w:r>
        <w:fldChar w:fldCharType="end"/>
      </w:r>
    </w:p>
    <w:p w14:paraId="73FDC79E">
      <w:pPr>
        <w:pStyle w:val="7"/>
        <w:tabs>
          <w:tab w:val="right" w:leader="dot" w:pos="8788"/>
          <w:tab w:val="clear" w:pos="8778"/>
        </w:tabs>
      </w:pPr>
      <w:r>
        <w:fldChar w:fldCharType="begin"/>
      </w:r>
      <w:r>
        <w:instrText xml:space="preserve"> HYPERLINK \l "_Toc16234" </w:instrText>
      </w:r>
      <w:r>
        <w:fldChar w:fldCharType="separate"/>
      </w:r>
      <w:r>
        <w:rPr>
          <w:rFonts w:hint="eastAsia" w:ascii="仿宋_GB2312"/>
        </w:rPr>
        <w:t>（一）存在问题</w:t>
      </w:r>
      <w:r>
        <w:tab/>
      </w:r>
      <w:r>
        <w:fldChar w:fldCharType="begin"/>
      </w:r>
      <w:r>
        <w:instrText xml:space="preserve"> PAGEREF _Toc16234 \h </w:instrText>
      </w:r>
      <w:r>
        <w:fldChar w:fldCharType="separate"/>
      </w:r>
      <w:r>
        <w:t>9</w:t>
      </w:r>
      <w:r>
        <w:fldChar w:fldCharType="end"/>
      </w:r>
      <w:r>
        <w:fldChar w:fldCharType="end"/>
      </w:r>
    </w:p>
    <w:p w14:paraId="67DBFD01">
      <w:pPr>
        <w:pStyle w:val="7"/>
        <w:tabs>
          <w:tab w:val="right" w:leader="dot" w:pos="8788"/>
          <w:tab w:val="clear" w:pos="8778"/>
        </w:tabs>
      </w:pPr>
      <w:r>
        <w:fldChar w:fldCharType="begin"/>
      </w:r>
      <w:r>
        <w:instrText xml:space="preserve"> HYPERLINK \l "_Toc31292" </w:instrText>
      </w:r>
      <w:r>
        <w:fldChar w:fldCharType="separate"/>
      </w:r>
      <w:r>
        <w:rPr>
          <w:rFonts w:hint="eastAsia" w:ascii="仿宋_GB2312"/>
        </w:rPr>
        <w:t>（二）建议</w:t>
      </w:r>
      <w:r>
        <w:tab/>
      </w:r>
      <w:r>
        <w:fldChar w:fldCharType="begin"/>
      </w:r>
      <w:r>
        <w:instrText xml:space="preserve"> PAGEREF _Toc31292 \h </w:instrText>
      </w:r>
      <w:r>
        <w:fldChar w:fldCharType="separate"/>
      </w:r>
      <w:r>
        <w:t>9</w:t>
      </w:r>
      <w:r>
        <w:fldChar w:fldCharType="end"/>
      </w:r>
      <w:r>
        <w:fldChar w:fldCharType="end"/>
      </w:r>
    </w:p>
    <w:p w14:paraId="3511EAC2">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szCs w:val="21"/>
        </w:rPr>
        <w:fldChar w:fldCharType="end"/>
      </w:r>
    </w:p>
    <w:p w14:paraId="0106B56C">
      <w:pPr>
        <w:spacing w:line="360" w:lineRule="auto"/>
        <w:jc w:val="right"/>
        <w:rPr>
          <w:rFonts w:ascii="Arial Narrow" w:hAnsi="Arial Narrow"/>
          <w:bCs/>
          <w:w w:val="80"/>
          <w:sz w:val="28"/>
          <w:szCs w:val="28"/>
        </w:rPr>
      </w:pPr>
    </w:p>
    <w:p w14:paraId="72446EBD">
      <w:pPr>
        <w:spacing w:line="360" w:lineRule="auto"/>
        <w:jc w:val="right"/>
        <w:rPr>
          <w:rFonts w:ascii="Arial Narrow" w:hAnsi="Arial Narrow"/>
          <w:bCs/>
          <w:w w:val="80"/>
          <w:sz w:val="28"/>
          <w:szCs w:val="28"/>
        </w:rPr>
      </w:pPr>
    </w:p>
    <w:p w14:paraId="234853BD">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39D985C3">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6067E3CA">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ascii="Arial Narrow" w:hAnsi="Arial Narrow" w:eastAsia="仿宋_GB2312"/>
          <w:sz w:val="28"/>
          <w:szCs w:val="28"/>
        </w:rPr>
        <w:t>0</w:t>
      </w:r>
      <w:r>
        <w:rPr>
          <w:rFonts w:hint="eastAsia" w:ascii="Arial Narrow" w:hAnsi="Arial Narrow" w:eastAsia="仿宋_GB2312"/>
          <w:sz w:val="28"/>
          <w:szCs w:val="28"/>
        </w:rPr>
        <w:t>42号</w:t>
      </w:r>
    </w:p>
    <w:p w14:paraId="09B653A3">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6E7A04AA">
      <w:pPr>
        <w:adjustRightInd w:val="0"/>
        <w:snapToGrid w:val="0"/>
        <w:spacing w:line="360" w:lineRule="auto"/>
        <w:jc w:val="center"/>
        <w:rPr>
          <w:rStyle w:val="11"/>
          <w:rFonts w:ascii="Arial Narrow" w:hAnsi="Arial Narrow" w:eastAsia="仿宋_GB2312"/>
          <w:b/>
          <w:color w:val="auto"/>
          <w:sz w:val="36"/>
          <w:szCs w:val="36"/>
          <w:u w:val="none"/>
        </w:rPr>
      </w:pPr>
      <w:r>
        <w:rPr>
          <w:rStyle w:val="11"/>
          <w:rFonts w:hint="eastAsia" w:ascii="Arial Narrow" w:hAnsi="Arial Narrow" w:eastAsia="仿宋_GB2312"/>
          <w:b/>
          <w:color w:val="auto"/>
          <w:sz w:val="36"/>
          <w:szCs w:val="36"/>
          <w:u w:val="none"/>
        </w:rPr>
        <w:t>重庆市铜梁区水利局农村饮水提升项目等3个项目</w:t>
      </w:r>
    </w:p>
    <w:p w14:paraId="43E1FACB">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17C4177D">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rPr>
        <w:t>“</w:t>
      </w:r>
      <w:r>
        <w:rPr>
          <w:rFonts w:ascii="Arial Narrow" w:hAnsi="Arial Narrow" w:eastAsia="仿宋_GB2312"/>
          <w:color w:val="auto"/>
        </w:rPr>
        <w:t>全面实施绩效管理</w:t>
      </w:r>
      <w:r>
        <w:rPr>
          <w:rFonts w:hint="eastAsia" w:ascii="Arial Narrow" w:hAnsi="Arial Narrow" w:eastAsia="仿宋_GB2312"/>
          <w:color w:val="auto"/>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重庆市铜梁区水利局（</w:t>
      </w:r>
      <w:r>
        <w:rPr>
          <w:rFonts w:ascii="Arial Narrow" w:hAnsi="Arial Narrow" w:eastAsia="仿宋_GB2312"/>
          <w:color w:val="auto"/>
        </w:rPr>
        <w:t>以下简称</w:t>
      </w:r>
      <w:r>
        <w:rPr>
          <w:rFonts w:hint="eastAsia" w:ascii="Arial Narrow" w:hAnsi="Arial Narrow" w:eastAsia="仿宋_GB2312"/>
          <w:color w:val="auto"/>
        </w:rPr>
        <w:t>“水利局”）农村饮水提升项目等</w:t>
      </w:r>
      <w:r>
        <w:rPr>
          <w:rFonts w:ascii="Arial Narrow" w:hAnsi="Arial Narrow" w:eastAsia="仿宋_GB2312"/>
          <w:color w:val="auto"/>
        </w:rPr>
        <w:t>3</w:t>
      </w:r>
      <w:r>
        <w:rPr>
          <w:rFonts w:hint="eastAsia" w:ascii="Arial Narrow" w:hAnsi="Arial Narrow" w:eastAsia="仿宋_GB2312"/>
          <w:color w:val="auto"/>
        </w:rPr>
        <w:t>个项目</w:t>
      </w:r>
      <w:r>
        <w:rPr>
          <w:rFonts w:ascii="Arial Narrow" w:hAnsi="Arial Narrow" w:eastAsia="仿宋_GB2312"/>
          <w:color w:val="auto"/>
        </w:rPr>
        <w:t>进行绩效评价，现将评价情况报告如下：</w:t>
      </w:r>
    </w:p>
    <w:p w14:paraId="6DF4B7CB">
      <w:pPr>
        <w:spacing w:line="360" w:lineRule="auto"/>
        <w:ind w:firstLine="482" w:firstLineChars="200"/>
        <w:jc w:val="left"/>
        <w:outlineLvl w:val="0"/>
        <w:rPr>
          <w:rFonts w:ascii="Arial Narrow" w:hAnsi="Arial Narrow" w:eastAsia="仿宋_GB2312"/>
          <w:b/>
          <w:sz w:val="24"/>
        </w:rPr>
      </w:pPr>
      <w:bookmarkStart w:id="3" w:name="_Toc30271"/>
      <w:r>
        <w:rPr>
          <w:rFonts w:ascii="Arial Narrow" w:hAnsi="Arial Narrow" w:eastAsia="仿宋_GB2312"/>
          <w:b/>
          <w:sz w:val="24"/>
        </w:rPr>
        <w:t>一、基本情况</w:t>
      </w:r>
      <w:bookmarkEnd w:id="3"/>
    </w:p>
    <w:p w14:paraId="0B60093E">
      <w:pPr>
        <w:spacing w:line="360" w:lineRule="auto"/>
        <w:ind w:firstLine="482" w:firstLineChars="200"/>
        <w:jc w:val="left"/>
        <w:outlineLvl w:val="0"/>
        <w:rPr>
          <w:rFonts w:ascii="Arial Narrow" w:hAnsi="Arial Narrow" w:eastAsia="仿宋_GB2312"/>
          <w:b/>
          <w:sz w:val="24"/>
        </w:rPr>
      </w:pPr>
      <w:bookmarkStart w:id="4" w:name="_Toc13068"/>
      <w:r>
        <w:rPr>
          <w:rFonts w:hint="eastAsia" w:ascii="Arial Narrow" w:hAnsi="Arial Narrow" w:eastAsia="仿宋_GB2312"/>
          <w:b/>
          <w:sz w:val="24"/>
        </w:rPr>
        <w:t>（一）项目情况</w:t>
      </w:r>
      <w:bookmarkEnd w:id="4"/>
    </w:p>
    <w:p w14:paraId="5011E914">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w:t>
      </w:r>
      <w:r>
        <w:rPr>
          <w:rFonts w:hint="eastAsia" w:ascii="Arial Narrow" w:hAnsi="Arial Narrow" w:eastAsia="仿宋_GB2312" w:cs="宋体"/>
          <w:kern w:val="0"/>
          <w:sz w:val="24"/>
          <w:lang w:val="en-US" w:eastAsia="zh-CN"/>
        </w:rPr>
        <w:t>.</w:t>
      </w:r>
      <w:r>
        <w:rPr>
          <w:rFonts w:hint="eastAsia" w:ascii="Arial Narrow" w:hAnsi="Arial Narrow" w:eastAsia="仿宋_GB2312" w:cs="宋体"/>
          <w:kern w:val="0"/>
          <w:sz w:val="24"/>
        </w:rPr>
        <w:t>农村饮水安全巩固提升工程（土桥镇）项目</w:t>
      </w:r>
    </w:p>
    <w:p w14:paraId="2519E11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实施单位：重庆市铜梁区水利局</w:t>
      </w:r>
    </w:p>
    <w:p w14:paraId="41B3A74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项目内容：对重庆市铜梁区土桥镇六赢村、庆林村、高垭村、河水村、高桥村等5个村管网进行改造。</w:t>
      </w:r>
    </w:p>
    <w:p w14:paraId="4A6D60A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w:t>
      </w:r>
      <w:r>
        <w:rPr>
          <w:rFonts w:ascii="Arial Narrow" w:hAnsi="Arial Narrow" w:eastAsia="仿宋_GB2312" w:cs="宋体"/>
          <w:kern w:val="0"/>
          <w:sz w:val="24"/>
        </w:rPr>
        <w:t>463</w:t>
      </w:r>
      <w:r>
        <w:rPr>
          <w:rFonts w:hint="eastAsia" w:ascii="Arial Narrow" w:hAnsi="Arial Narrow" w:eastAsia="仿宋_GB2312" w:cs="宋体"/>
          <w:kern w:val="0"/>
          <w:sz w:val="24"/>
        </w:rPr>
        <w:t>.</w:t>
      </w:r>
      <w:r>
        <w:rPr>
          <w:rFonts w:ascii="Arial Narrow" w:hAnsi="Arial Narrow" w:eastAsia="仿宋_GB2312" w:cs="宋体"/>
          <w:kern w:val="0"/>
          <w:sz w:val="24"/>
        </w:rPr>
        <w:t>00</w:t>
      </w:r>
      <w:r>
        <w:rPr>
          <w:rFonts w:hint="eastAsia" w:ascii="Arial Narrow" w:hAnsi="Arial Narrow" w:eastAsia="仿宋_GB2312" w:cs="宋体"/>
          <w:kern w:val="0"/>
          <w:sz w:val="24"/>
        </w:rPr>
        <w:t>万元，追加投入</w:t>
      </w:r>
      <w:r>
        <w:rPr>
          <w:rFonts w:ascii="Arial Narrow" w:hAnsi="Arial Narrow" w:eastAsia="仿宋_GB2312" w:cs="宋体"/>
          <w:kern w:val="0"/>
          <w:sz w:val="24"/>
        </w:rPr>
        <w:t>20</w:t>
      </w:r>
      <w:r>
        <w:rPr>
          <w:rFonts w:hint="eastAsia" w:ascii="Arial Narrow" w:hAnsi="Arial Narrow" w:eastAsia="仿宋_GB2312" w:cs="宋体"/>
          <w:kern w:val="0"/>
          <w:sz w:val="24"/>
        </w:rPr>
        <w:t>.</w:t>
      </w:r>
      <w:r>
        <w:rPr>
          <w:rFonts w:ascii="Arial Narrow" w:hAnsi="Arial Narrow" w:eastAsia="仿宋_GB2312" w:cs="宋体"/>
          <w:kern w:val="0"/>
          <w:sz w:val="24"/>
        </w:rPr>
        <w:t>19</w:t>
      </w:r>
      <w:r>
        <w:rPr>
          <w:rFonts w:hint="eastAsia" w:ascii="Arial Narrow" w:hAnsi="Arial Narrow" w:eastAsia="仿宋_GB2312" w:cs="宋体"/>
          <w:kern w:val="0"/>
          <w:sz w:val="24"/>
        </w:rPr>
        <w:t>万元，实际投入</w:t>
      </w:r>
      <w:r>
        <w:rPr>
          <w:rFonts w:ascii="Arial Narrow" w:hAnsi="Arial Narrow" w:eastAsia="仿宋_GB2312" w:cs="宋体"/>
          <w:kern w:val="0"/>
          <w:sz w:val="24"/>
        </w:rPr>
        <w:t>483</w:t>
      </w:r>
      <w:r>
        <w:rPr>
          <w:rFonts w:hint="eastAsia" w:ascii="Arial Narrow" w:hAnsi="Arial Narrow" w:eastAsia="仿宋_GB2312" w:cs="宋体"/>
          <w:kern w:val="0"/>
          <w:sz w:val="24"/>
        </w:rPr>
        <w:t>.</w:t>
      </w:r>
      <w:r>
        <w:rPr>
          <w:rFonts w:ascii="Arial Narrow" w:hAnsi="Arial Narrow" w:eastAsia="仿宋_GB2312" w:cs="宋体"/>
          <w:kern w:val="0"/>
          <w:sz w:val="24"/>
        </w:rPr>
        <w:t>19</w:t>
      </w:r>
      <w:r>
        <w:rPr>
          <w:rFonts w:hint="eastAsia" w:ascii="Arial Narrow" w:hAnsi="Arial Narrow" w:eastAsia="仿宋_GB2312" w:cs="宋体"/>
          <w:kern w:val="0"/>
          <w:sz w:val="24"/>
        </w:rPr>
        <w:t>万元，其中：2</w:t>
      </w:r>
      <w:r>
        <w:rPr>
          <w:rFonts w:ascii="Arial Narrow" w:hAnsi="Arial Narrow" w:eastAsia="仿宋_GB2312" w:cs="宋体"/>
          <w:kern w:val="0"/>
          <w:sz w:val="24"/>
        </w:rPr>
        <w:t>023</w:t>
      </w:r>
      <w:r>
        <w:rPr>
          <w:rFonts w:hint="eastAsia" w:ascii="Arial Narrow" w:hAnsi="Arial Narrow" w:eastAsia="仿宋_GB2312" w:cs="宋体"/>
          <w:kern w:val="0"/>
          <w:sz w:val="24"/>
        </w:rPr>
        <w:t>年市财政乡村振兴补助资金4</w:t>
      </w:r>
      <w:r>
        <w:rPr>
          <w:rFonts w:ascii="Arial Narrow" w:hAnsi="Arial Narrow" w:eastAsia="仿宋_GB2312" w:cs="宋体"/>
          <w:kern w:val="0"/>
          <w:sz w:val="24"/>
        </w:rPr>
        <w:t>02</w:t>
      </w:r>
      <w:r>
        <w:rPr>
          <w:rFonts w:hint="eastAsia" w:ascii="Arial Narrow" w:hAnsi="Arial Narrow" w:eastAsia="仿宋_GB2312" w:cs="宋体"/>
          <w:kern w:val="0"/>
          <w:sz w:val="24"/>
        </w:rPr>
        <w:t>.</w:t>
      </w:r>
      <w:r>
        <w:rPr>
          <w:rFonts w:ascii="Arial Narrow" w:hAnsi="Arial Narrow" w:eastAsia="仿宋_GB2312" w:cs="宋体"/>
          <w:kern w:val="0"/>
          <w:sz w:val="24"/>
        </w:rPr>
        <w:t>00</w:t>
      </w:r>
      <w:r>
        <w:rPr>
          <w:rFonts w:hint="eastAsia" w:ascii="Arial Narrow" w:hAnsi="Arial Narrow" w:eastAsia="仿宋_GB2312" w:cs="宋体"/>
          <w:kern w:val="0"/>
          <w:sz w:val="24"/>
        </w:rPr>
        <w:t>万元，自筹资金8</w:t>
      </w:r>
      <w:r>
        <w:rPr>
          <w:rFonts w:ascii="Arial Narrow" w:hAnsi="Arial Narrow" w:eastAsia="仿宋_GB2312" w:cs="宋体"/>
          <w:kern w:val="0"/>
          <w:sz w:val="24"/>
        </w:rPr>
        <w:t>1</w:t>
      </w:r>
      <w:r>
        <w:rPr>
          <w:rFonts w:hint="eastAsia" w:ascii="Arial Narrow" w:hAnsi="Arial Narrow" w:eastAsia="仿宋_GB2312" w:cs="宋体"/>
          <w:kern w:val="0"/>
          <w:sz w:val="24"/>
        </w:rPr>
        <w:t>.</w:t>
      </w:r>
      <w:r>
        <w:rPr>
          <w:rFonts w:ascii="Arial Narrow" w:hAnsi="Arial Narrow" w:eastAsia="仿宋_GB2312" w:cs="宋体"/>
          <w:kern w:val="0"/>
          <w:sz w:val="24"/>
        </w:rPr>
        <w:t>19</w:t>
      </w:r>
      <w:r>
        <w:rPr>
          <w:rFonts w:hint="eastAsia" w:ascii="Arial Narrow" w:hAnsi="Arial Narrow" w:eastAsia="仿宋_GB2312" w:cs="宋体"/>
          <w:kern w:val="0"/>
          <w:sz w:val="24"/>
        </w:rPr>
        <w:t>万元。</w:t>
      </w:r>
    </w:p>
    <w:p w14:paraId="137CB846">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2</w:t>
      </w:r>
      <w:r>
        <w:rPr>
          <w:rFonts w:hint="eastAsia" w:ascii="Arial Narrow" w:hAnsi="Arial Narrow" w:eastAsia="仿宋_GB2312" w:cs="宋体"/>
          <w:kern w:val="0"/>
          <w:sz w:val="24"/>
          <w:lang w:val="en-US" w:eastAsia="zh-CN"/>
        </w:rPr>
        <w:t>.</w:t>
      </w:r>
      <w:bookmarkStart w:id="5" w:name="_Hlk169855688"/>
      <w:r>
        <w:rPr>
          <w:rFonts w:hint="eastAsia" w:ascii="Arial Narrow" w:hAnsi="Arial Narrow" w:eastAsia="仿宋_GB2312" w:cs="宋体"/>
          <w:kern w:val="0"/>
          <w:sz w:val="24"/>
        </w:rPr>
        <w:t>农村饮水提升项目（东城）项目</w:t>
      </w:r>
      <w:bookmarkEnd w:id="5"/>
    </w:p>
    <w:p w14:paraId="617CFA2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实施单位：重庆市铜梁区水利局</w:t>
      </w:r>
    </w:p>
    <w:p w14:paraId="31E2872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项目内容：铺设输水管道61.678km及安装控制闸阀、排气阀、排泥阀、减压阀、计量水表等合计284个，并新建室外集成式变频供水泵站2座，改造加压泵站1座。</w:t>
      </w:r>
    </w:p>
    <w:p w14:paraId="5D2E09A2">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w:t>
      </w:r>
      <w:r>
        <w:rPr>
          <w:rFonts w:ascii="Arial Narrow" w:hAnsi="Arial Narrow" w:eastAsia="仿宋_GB2312" w:cs="宋体"/>
          <w:kern w:val="0"/>
          <w:sz w:val="24"/>
        </w:rPr>
        <w:t>370</w:t>
      </w:r>
      <w:r>
        <w:rPr>
          <w:rFonts w:hint="eastAsia" w:ascii="Arial Narrow" w:hAnsi="Arial Narrow" w:eastAsia="仿宋_GB2312" w:cs="宋体"/>
          <w:kern w:val="0"/>
          <w:sz w:val="24"/>
        </w:rPr>
        <w:t>.</w:t>
      </w:r>
      <w:r>
        <w:rPr>
          <w:rFonts w:ascii="Arial Narrow" w:hAnsi="Arial Narrow" w:eastAsia="仿宋_GB2312" w:cs="宋体"/>
          <w:kern w:val="0"/>
          <w:sz w:val="24"/>
        </w:rPr>
        <w:t>00</w:t>
      </w:r>
      <w:r>
        <w:rPr>
          <w:rFonts w:hint="eastAsia" w:ascii="Arial Narrow" w:hAnsi="Arial Narrow" w:eastAsia="仿宋_GB2312" w:cs="宋体"/>
          <w:kern w:val="0"/>
          <w:sz w:val="24"/>
        </w:rPr>
        <w:t>万元，均为中央补助资金。</w:t>
      </w:r>
    </w:p>
    <w:p w14:paraId="61D4ABE2">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3</w:t>
      </w:r>
      <w:r>
        <w:rPr>
          <w:rFonts w:hint="eastAsia" w:ascii="Arial Narrow" w:hAnsi="Arial Narrow" w:eastAsia="仿宋_GB2312" w:cs="宋体"/>
          <w:kern w:val="0"/>
          <w:sz w:val="24"/>
          <w:lang w:val="en-US" w:eastAsia="zh-CN"/>
        </w:rPr>
        <w:t>.</w:t>
      </w:r>
      <w:r>
        <w:rPr>
          <w:rFonts w:hint="eastAsia" w:ascii="Arial Narrow" w:hAnsi="Arial Narrow" w:eastAsia="仿宋_GB2312" w:cs="宋体"/>
          <w:kern w:val="0"/>
          <w:sz w:val="24"/>
        </w:rPr>
        <w:t>公益性岗位项目</w:t>
      </w:r>
    </w:p>
    <w:p w14:paraId="5B8411A6">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实施单位：重庆市铜梁区水利局</w:t>
      </w:r>
    </w:p>
    <w:p w14:paraId="32F40E02">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项目内容：设置水利公益性岗位7</w:t>
      </w:r>
      <w:r>
        <w:rPr>
          <w:rFonts w:ascii="Arial Narrow" w:hAnsi="Arial Narrow" w:eastAsia="仿宋_GB2312" w:cs="宋体"/>
          <w:kern w:val="0"/>
          <w:sz w:val="24"/>
        </w:rPr>
        <w:t>4</w:t>
      </w:r>
      <w:r>
        <w:rPr>
          <w:rFonts w:hint="eastAsia" w:ascii="Arial Narrow" w:hAnsi="Arial Narrow" w:eastAsia="仿宋_GB2312" w:cs="宋体"/>
          <w:kern w:val="0"/>
          <w:sz w:val="24"/>
        </w:rPr>
        <w:t>个</w:t>
      </w:r>
      <w:r>
        <w:rPr>
          <w:rFonts w:ascii="Arial Narrow" w:hAnsi="Arial Narrow" w:eastAsia="仿宋_GB2312" w:cs="宋体"/>
          <w:kern w:val="0"/>
          <w:sz w:val="24"/>
        </w:rPr>
        <w:t xml:space="preserve"> </w:t>
      </w:r>
    </w:p>
    <w:p w14:paraId="598C87C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w:t>
      </w:r>
      <w:r>
        <w:rPr>
          <w:rFonts w:ascii="Arial Narrow" w:hAnsi="Arial Narrow" w:eastAsia="仿宋_GB2312" w:cs="宋体"/>
          <w:kern w:val="0"/>
          <w:sz w:val="24"/>
        </w:rPr>
        <w:t>44</w:t>
      </w:r>
      <w:r>
        <w:rPr>
          <w:rFonts w:hint="eastAsia" w:ascii="Arial Narrow" w:hAnsi="Arial Narrow" w:eastAsia="仿宋_GB2312" w:cs="宋体"/>
          <w:kern w:val="0"/>
          <w:sz w:val="24"/>
        </w:rPr>
        <w:t>.</w:t>
      </w:r>
      <w:r>
        <w:rPr>
          <w:rFonts w:ascii="Arial Narrow" w:hAnsi="Arial Narrow" w:eastAsia="仿宋_GB2312" w:cs="宋体"/>
          <w:kern w:val="0"/>
          <w:sz w:val="24"/>
        </w:rPr>
        <w:t>40</w:t>
      </w:r>
      <w:r>
        <w:rPr>
          <w:rFonts w:hint="eastAsia" w:ascii="Arial Narrow" w:hAnsi="Arial Narrow" w:eastAsia="仿宋_GB2312" w:cs="宋体"/>
          <w:kern w:val="0"/>
          <w:sz w:val="24"/>
        </w:rPr>
        <w:t>万元，均为上级补助资金。</w:t>
      </w:r>
    </w:p>
    <w:p w14:paraId="3B82A478">
      <w:pPr>
        <w:spacing w:line="360" w:lineRule="auto"/>
        <w:ind w:firstLine="482" w:firstLineChars="200"/>
        <w:jc w:val="left"/>
        <w:outlineLvl w:val="0"/>
        <w:rPr>
          <w:rFonts w:ascii="Arial Narrow" w:hAnsi="Arial Narrow" w:eastAsia="仿宋_GB2312"/>
          <w:b/>
          <w:sz w:val="24"/>
        </w:rPr>
      </w:pPr>
      <w:bookmarkStart w:id="6" w:name="_Toc22970"/>
      <w:r>
        <w:rPr>
          <w:rFonts w:ascii="Arial Narrow" w:hAnsi="Arial Narrow" w:eastAsia="仿宋_GB2312"/>
          <w:b/>
          <w:sz w:val="24"/>
        </w:rPr>
        <w:t>二、绩效评价工作情况</w:t>
      </w:r>
      <w:bookmarkEnd w:id="6"/>
    </w:p>
    <w:p w14:paraId="1A5D9189">
      <w:pPr>
        <w:spacing w:line="360" w:lineRule="auto"/>
        <w:ind w:firstLine="482" w:firstLineChars="200"/>
        <w:jc w:val="left"/>
        <w:outlineLvl w:val="0"/>
        <w:rPr>
          <w:rFonts w:ascii="Arial Narrow" w:hAnsi="Arial Narrow" w:eastAsia="仿宋_GB2312"/>
          <w:b/>
          <w:sz w:val="24"/>
        </w:rPr>
      </w:pPr>
      <w:bookmarkStart w:id="7" w:name="_Toc9182"/>
      <w:bookmarkStart w:id="8" w:name="_Toc513775099"/>
      <w:r>
        <w:rPr>
          <w:rFonts w:ascii="Arial Narrow" w:hAnsi="Arial Narrow" w:eastAsia="仿宋_GB2312"/>
          <w:b/>
          <w:sz w:val="24"/>
        </w:rPr>
        <w:t>（一）绩效评价目的</w:t>
      </w:r>
      <w:bookmarkEnd w:id="7"/>
      <w:bookmarkEnd w:id="8"/>
    </w:p>
    <w:p w14:paraId="6F4B505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198ECAAE">
      <w:pPr>
        <w:spacing w:line="360" w:lineRule="auto"/>
        <w:ind w:firstLine="482" w:firstLineChars="200"/>
        <w:jc w:val="left"/>
        <w:outlineLvl w:val="0"/>
        <w:rPr>
          <w:rFonts w:ascii="Arial Narrow" w:hAnsi="Arial Narrow" w:eastAsia="仿宋_GB2312"/>
          <w:b/>
          <w:sz w:val="24"/>
        </w:rPr>
      </w:pPr>
      <w:bookmarkStart w:id="9" w:name="_Toc19101"/>
      <w:bookmarkStart w:id="10"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9"/>
    </w:p>
    <w:p w14:paraId="51BB33E8">
      <w:pPr>
        <w:pStyle w:val="14"/>
        <w:spacing w:line="360" w:lineRule="auto"/>
        <w:ind w:firstLine="480" w:firstLineChars="200"/>
        <w:rPr>
          <w:rFonts w:ascii="Arial Narrow" w:hAnsi="Arial Narrow" w:eastAsia="仿宋_GB2312"/>
          <w:color w:val="auto"/>
        </w:rPr>
      </w:pPr>
      <w:bookmarkStart w:id="11"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5F2749E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6657D76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7A47C91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7C809CA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51F10FAF">
      <w:pPr>
        <w:spacing w:line="360" w:lineRule="auto"/>
        <w:ind w:firstLine="482" w:firstLineChars="200"/>
        <w:jc w:val="left"/>
        <w:outlineLvl w:val="0"/>
        <w:rPr>
          <w:rFonts w:ascii="Arial Narrow" w:hAnsi="Arial Narrow" w:eastAsia="仿宋_GB2312"/>
          <w:b/>
          <w:sz w:val="24"/>
        </w:rPr>
      </w:pPr>
      <w:bookmarkStart w:id="12" w:name="_Toc18380"/>
      <w:r>
        <w:rPr>
          <w:rFonts w:ascii="Arial Narrow" w:hAnsi="Arial Narrow" w:eastAsia="仿宋_GB2312"/>
          <w:b/>
          <w:sz w:val="24"/>
        </w:rPr>
        <w:t>（三）绩效评价依据</w:t>
      </w:r>
      <w:bookmarkEnd w:id="10"/>
      <w:bookmarkEnd w:id="11"/>
      <w:bookmarkEnd w:id="12"/>
      <w:bookmarkStart w:id="13" w:name="_Toc335040595"/>
    </w:p>
    <w:bookmarkEnd w:id="13"/>
    <w:p w14:paraId="7465978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《重庆市铜梁区财政衔接推进乡村振兴补助资金绩效评价及考核办法》的通知（铜财〔2022〕678号）</w:t>
      </w:r>
      <w:r>
        <w:rPr>
          <w:rFonts w:hint="eastAsia" w:ascii="Arial Narrow" w:hAnsi="Arial Narrow" w:eastAsia="仿宋_GB2312" w:cs="Arial Narrow"/>
          <w:color w:val="auto"/>
        </w:rPr>
        <w:t>；</w:t>
      </w:r>
    </w:p>
    <w:p w14:paraId="65006CF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《重庆市铜梁区财政局关于开展2023年度项目财政重点绩效评价的通知》（铜财〔2024〕237号）</w:t>
      </w:r>
      <w:r>
        <w:rPr>
          <w:rFonts w:hint="eastAsia" w:ascii="Arial Narrow" w:hAnsi="Arial Narrow" w:eastAsia="仿宋_GB2312" w:cs="Arial Narrow"/>
          <w:color w:val="auto"/>
        </w:rPr>
        <w:t>；</w:t>
      </w:r>
    </w:p>
    <w:p w14:paraId="263747C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《重庆市财政衔接推进乡村振兴补助资金绩效评价及考核办法》（渝财农〔2022〕2号）</w:t>
      </w:r>
      <w:r>
        <w:rPr>
          <w:rFonts w:hint="eastAsia" w:ascii="Arial Narrow" w:hAnsi="Arial Narrow" w:eastAsia="仿宋_GB2312" w:cs="Arial Narrow"/>
          <w:color w:val="auto"/>
        </w:rPr>
        <w:t>；</w:t>
      </w:r>
    </w:p>
    <w:p w14:paraId="7F7BCFF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《铜梁区区级政策和项目预算绩效管理办法（试行）》（铜财〔2022〕41号）</w:t>
      </w:r>
      <w:r>
        <w:rPr>
          <w:rFonts w:hint="eastAsia" w:ascii="Arial Narrow" w:hAnsi="Arial Narrow" w:eastAsia="仿宋_GB2312" w:cs="Arial Narrow"/>
          <w:color w:val="auto"/>
        </w:rPr>
        <w:t>；</w:t>
      </w:r>
    </w:p>
    <w:p w14:paraId="0AB5E6F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《重庆市财政局等6部门关于加强财政衔接推进乡村振兴补助资金使用管理的实施意见》（渝财农〔2022〕73号）</w:t>
      </w:r>
      <w:r>
        <w:rPr>
          <w:rFonts w:hint="eastAsia" w:ascii="Arial Narrow" w:hAnsi="Arial Narrow" w:eastAsia="仿宋_GB2312" w:cs="Arial Narrow"/>
          <w:color w:val="auto"/>
        </w:rPr>
        <w:t>；</w:t>
      </w:r>
    </w:p>
    <w:p w14:paraId="6368C7C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w:t>
      </w:r>
      <w:r>
        <w:rPr>
          <w:rFonts w:hint="eastAsia" w:ascii="Arial Narrow" w:hAnsi="Arial Narrow" w:eastAsia="仿宋_GB2312"/>
          <w:color w:val="auto"/>
          <w:lang w:val="en-US" w:eastAsia="zh-CN"/>
        </w:rPr>
        <w:t>.</w:t>
      </w:r>
      <w:r>
        <w:rPr>
          <w:rFonts w:hint="eastAsia" w:ascii="Arial Narrow" w:hAnsi="Arial Narrow" w:eastAsia="仿宋_GB2312"/>
          <w:color w:val="auto"/>
        </w:rPr>
        <w:t>《铜梁区巩固拓展脱贫攻坚成果和衔接乡村振兴项目库建设管理实施细则》（铜乡振〔2021〕7号）</w:t>
      </w:r>
      <w:r>
        <w:rPr>
          <w:rFonts w:hint="eastAsia" w:ascii="Arial Narrow" w:hAnsi="Arial Narrow" w:eastAsia="仿宋_GB2312" w:cs="Arial Narrow"/>
          <w:color w:val="auto"/>
        </w:rPr>
        <w:t>；</w:t>
      </w:r>
    </w:p>
    <w:p w14:paraId="3F28137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w:t>
      </w:r>
      <w:r>
        <w:rPr>
          <w:rFonts w:hint="eastAsia" w:ascii="Arial Narrow" w:hAnsi="Arial Narrow" w:eastAsia="仿宋_GB2312"/>
          <w:color w:val="auto"/>
          <w:lang w:val="en-US" w:eastAsia="zh-CN"/>
        </w:rPr>
        <w:t>.</w:t>
      </w:r>
      <w:r>
        <w:rPr>
          <w:rFonts w:hint="eastAsia" w:ascii="Arial Narrow" w:hAnsi="Arial Narrow" w:eastAsia="仿宋_GB2312"/>
          <w:color w:val="auto"/>
        </w:rPr>
        <w:t>《铜梁区财政衔接推进乡村振兴补助资金项目公告公示实施办法》（铜委农办〔2021〕19号）</w:t>
      </w:r>
      <w:r>
        <w:rPr>
          <w:rFonts w:hint="eastAsia" w:ascii="Arial Narrow" w:hAnsi="Arial Narrow" w:eastAsia="仿宋_GB2312" w:cs="Arial Narrow"/>
          <w:color w:val="auto"/>
        </w:rPr>
        <w:t>；</w:t>
      </w:r>
    </w:p>
    <w:p w14:paraId="12F6882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hint="eastAsia" w:ascii="Arial Narrow" w:hAnsi="Arial Narrow" w:eastAsia="仿宋_GB2312"/>
          <w:color w:val="auto"/>
          <w:lang w:val="en-US" w:eastAsia="zh-CN"/>
        </w:rPr>
        <w:t>.</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s="Arial Narrow"/>
          <w:color w:val="auto"/>
        </w:rPr>
        <w:t>；</w:t>
      </w:r>
    </w:p>
    <w:p w14:paraId="773D2D0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hint="eastAsia" w:ascii="Arial Narrow" w:hAnsi="Arial Narrow" w:eastAsia="仿宋_GB2312"/>
          <w:color w:val="auto"/>
          <w:lang w:val="en-US" w:eastAsia="zh-CN"/>
        </w:rPr>
        <w:t>.</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s="Arial Narrow"/>
          <w:color w:val="auto"/>
        </w:rPr>
        <w:t>；</w:t>
      </w:r>
    </w:p>
    <w:p w14:paraId="2F550EB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hint="eastAsia" w:ascii="Arial Narrow" w:hAnsi="Arial Narrow" w:eastAsia="仿宋_GB2312"/>
          <w:color w:val="auto"/>
          <w:lang w:val="en-US" w:eastAsia="zh-CN"/>
        </w:rPr>
        <w:t>.</w:t>
      </w:r>
      <w:r>
        <w:rPr>
          <w:rFonts w:ascii="Arial Narrow" w:hAnsi="Arial Narrow" w:eastAsia="仿宋_GB2312"/>
          <w:color w:val="auto"/>
        </w:rPr>
        <w:t>《会计师事务所财政支出绩效评价业务指引》（注协</w:t>
      </w:r>
      <w:bookmarkStart w:id="14" w:name="_Hlk162597612"/>
      <w:r>
        <w:rPr>
          <w:rFonts w:hint="eastAsia" w:ascii="Arial Narrow" w:hAnsi="Arial Narrow" w:eastAsia="仿宋_GB2312"/>
          <w:color w:val="auto"/>
        </w:rPr>
        <w:t>〔2016〕</w:t>
      </w:r>
      <w:bookmarkEnd w:id="14"/>
      <w:r>
        <w:rPr>
          <w:rFonts w:ascii="Arial Narrow" w:hAnsi="Arial Narrow" w:eastAsia="仿宋_GB2312"/>
          <w:color w:val="auto"/>
        </w:rPr>
        <w:t>10号）</w:t>
      </w:r>
      <w:r>
        <w:rPr>
          <w:rFonts w:hint="eastAsia" w:ascii="Arial Narrow" w:hAnsi="Arial Narrow" w:eastAsia="仿宋_GB2312" w:cs="Arial Narrow"/>
          <w:color w:val="auto"/>
        </w:rPr>
        <w:t>；</w:t>
      </w:r>
    </w:p>
    <w:p w14:paraId="3F9379E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hint="eastAsia" w:ascii="Arial Narrow" w:hAnsi="Arial Narrow" w:eastAsia="仿宋_GB2312"/>
          <w:color w:val="auto"/>
          <w:lang w:val="en-US" w:eastAsia="zh-CN"/>
        </w:rPr>
        <w:t>.</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07FE5A12">
      <w:pPr>
        <w:spacing w:line="360" w:lineRule="auto"/>
        <w:ind w:firstLine="482" w:firstLineChars="200"/>
        <w:jc w:val="left"/>
        <w:outlineLvl w:val="0"/>
        <w:rPr>
          <w:rFonts w:ascii="Arial Narrow" w:hAnsi="Arial Narrow" w:eastAsia="仿宋_GB2312"/>
          <w:b/>
          <w:sz w:val="24"/>
        </w:rPr>
      </w:pPr>
      <w:bookmarkStart w:id="15" w:name="_Toc14631"/>
      <w:r>
        <w:rPr>
          <w:rFonts w:ascii="Arial Narrow" w:hAnsi="Arial Narrow" w:eastAsia="仿宋_GB2312"/>
          <w:b/>
          <w:sz w:val="24"/>
        </w:rPr>
        <w:t>（四）绩效评价原则和指标体系</w:t>
      </w:r>
      <w:bookmarkEnd w:id="15"/>
    </w:p>
    <w:p w14:paraId="46300E8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绩效评价主要遵循以下原则：</w:t>
      </w:r>
    </w:p>
    <w:p w14:paraId="41E5351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4FFA9E8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w:t>
      </w: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重要性原则。应当优先使用最具评价对象代表性、最能反映评价要求的核心指标。</w:t>
      </w:r>
    </w:p>
    <w:p w14:paraId="65B0743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07DAE2E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00B0949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21B54B2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绩效评价指标体系</w:t>
      </w:r>
    </w:p>
    <w:p w14:paraId="454E14B9">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根据《重庆市铜梁区财政衔接推进乡村振兴补助资金绩效评价及考核办法》的通知（铜财〔2022〕678号），本次绩效评价及考核指标体系如下：</w:t>
      </w:r>
    </w:p>
    <w:p w14:paraId="4F3D0D73">
      <w:pPr>
        <w:pStyle w:val="14"/>
        <w:spacing w:line="360" w:lineRule="auto"/>
        <w:ind w:firstLine="480" w:firstLineChars="200"/>
        <w:jc w:val="both"/>
        <w:rPr>
          <w:rFonts w:ascii="Arial Narrow" w:hAnsi="Arial Narrow" w:eastAsia="仿宋_GB2312"/>
          <w:color w:val="auto"/>
        </w:rPr>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pPr>
    </w:p>
    <w:tbl>
      <w:tblPr>
        <w:tblStyle w:val="9"/>
        <w:tblW w:w="14504" w:type="dxa"/>
        <w:tblInd w:w="0" w:type="dxa"/>
        <w:tblLayout w:type="fixed"/>
        <w:tblCellMar>
          <w:top w:w="0" w:type="dxa"/>
          <w:left w:w="108" w:type="dxa"/>
          <w:bottom w:w="0" w:type="dxa"/>
          <w:right w:w="108" w:type="dxa"/>
        </w:tblCellMar>
      </w:tblPr>
      <w:tblGrid>
        <w:gridCol w:w="812"/>
        <w:gridCol w:w="995"/>
        <w:gridCol w:w="995"/>
        <w:gridCol w:w="566"/>
        <w:gridCol w:w="3971"/>
        <w:gridCol w:w="7165"/>
      </w:tblGrid>
      <w:tr w14:paraId="5A99F227">
        <w:tblPrEx>
          <w:tblCellMar>
            <w:top w:w="0" w:type="dxa"/>
            <w:left w:w="108" w:type="dxa"/>
            <w:bottom w:w="0" w:type="dxa"/>
            <w:right w:w="108" w:type="dxa"/>
          </w:tblCellMar>
        </w:tblPrEx>
        <w:trPr>
          <w:cantSplit/>
          <w:trHeight w:val="516" w:hRule="atLeast"/>
          <w:tblHeader/>
        </w:trPr>
        <w:tc>
          <w:tcPr>
            <w:tcW w:w="14504" w:type="dxa"/>
            <w:gridSpan w:val="6"/>
            <w:tcBorders>
              <w:bottom w:val="single" w:color="auto" w:sz="4" w:space="0"/>
            </w:tcBorders>
            <w:shd w:val="clear" w:color="auto" w:fill="auto"/>
            <w:noWrap/>
            <w:vAlign w:val="center"/>
          </w:tcPr>
          <w:p w14:paraId="0C4D7536">
            <w:pPr>
              <w:pStyle w:val="14"/>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c>
      </w:tr>
      <w:tr w14:paraId="69AC6E85">
        <w:tblPrEx>
          <w:tblCellMar>
            <w:top w:w="0" w:type="dxa"/>
            <w:left w:w="108" w:type="dxa"/>
            <w:bottom w:w="0" w:type="dxa"/>
            <w:right w:w="108" w:type="dxa"/>
          </w:tblCellMar>
        </w:tblPrEx>
        <w:trPr>
          <w:cantSplit/>
          <w:trHeight w:val="516" w:hRule="atLeast"/>
          <w:tblHeader/>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C759F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6F9D183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2FAD59C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566" w:type="dxa"/>
            <w:tcBorders>
              <w:top w:val="single" w:color="auto" w:sz="4" w:space="0"/>
              <w:left w:val="nil"/>
              <w:bottom w:val="single" w:color="auto" w:sz="4" w:space="0"/>
              <w:right w:val="single" w:color="auto" w:sz="4" w:space="0"/>
            </w:tcBorders>
            <w:shd w:val="clear" w:color="auto" w:fill="auto"/>
            <w:noWrap/>
            <w:vAlign w:val="center"/>
          </w:tcPr>
          <w:p w14:paraId="3C5CE87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3971" w:type="dxa"/>
            <w:tcBorders>
              <w:top w:val="single" w:color="auto" w:sz="4" w:space="0"/>
              <w:left w:val="nil"/>
              <w:bottom w:val="single" w:color="auto" w:sz="4" w:space="0"/>
              <w:right w:val="single" w:color="auto" w:sz="4" w:space="0"/>
            </w:tcBorders>
            <w:shd w:val="clear" w:color="auto" w:fill="auto"/>
            <w:noWrap/>
            <w:vAlign w:val="center"/>
          </w:tcPr>
          <w:p w14:paraId="4DBAA29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7165" w:type="dxa"/>
            <w:tcBorders>
              <w:top w:val="single" w:color="auto" w:sz="4" w:space="0"/>
              <w:left w:val="nil"/>
              <w:bottom w:val="single" w:color="auto" w:sz="4" w:space="0"/>
              <w:right w:val="single" w:color="auto" w:sz="4" w:space="0"/>
            </w:tcBorders>
            <w:shd w:val="clear" w:color="auto" w:fill="auto"/>
            <w:noWrap/>
            <w:vAlign w:val="center"/>
          </w:tcPr>
          <w:p w14:paraId="53D57C8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76E4E149">
        <w:tblPrEx>
          <w:tblCellMar>
            <w:top w:w="0" w:type="dxa"/>
            <w:left w:w="108" w:type="dxa"/>
            <w:bottom w:w="0" w:type="dxa"/>
            <w:right w:w="108" w:type="dxa"/>
          </w:tblCellMar>
        </w:tblPrEx>
        <w:trPr>
          <w:cantSplit/>
          <w:trHeight w:val="116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3A5A3C5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6BBB39D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995" w:type="dxa"/>
            <w:tcBorders>
              <w:top w:val="nil"/>
              <w:left w:val="nil"/>
              <w:bottom w:val="single" w:color="auto" w:sz="4" w:space="0"/>
              <w:right w:val="single" w:color="auto" w:sz="4" w:space="0"/>
            </w:tcBorders>
            <w:shd w:val="clear" w:color="auto" w:fill="auto"/>
            <w:vAlign w:val="center"/>
          </w:tcPr>
          <w:p w14:paraId="1CE3B01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566" w:type="dxa"/>
            <w:tcBorders>
              <w:top w:val="nil"/>
              <w:left w:val="nil"/>
              <w:bottom w:val="single" w:color="auto" w:sz="4" w:space="0"/>
              <w:right w:val="single" w:color="auto" w:sz="4" w:space="0"/>
            </w:tcBorders>
            <w:shd w:val="clear" w:color="auto" w:fill="auto"/>
            <w:vAlign w:val="center"/>
          </w:tcPr>
          <w:p w14:paraId="7034DCD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3971" w:type="dxa"/>
            <w:tcBorders>
              <w:top w:val="nil"/>
              <w:left w:val="nil"/>
              <w:bottom w:val="single" w:color="auto" w:sz="4" w:space="0"/>
              <w:right w:val="single" w:color="auto" w:sz="4" w:space="0"/>
            </w:tcBorders>
            <w:shd w:val="clear" w:color="auto" w:fill="auto"/>
            <w:vAlign w:val="center"/>
          </w:tcPr>
          <w:p w14:paraId="4B2E73A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7165" w:type="dxa"/>
            <w:tcBorders>
              <w:top w:val="nil"/>
              <w:left w:val="nil"/>
              <w:bottom w:val="single" w:color="auto" w:sz="4" w:space="0"/>
              <w:right w:val="single" w:color="auto" w:sz="4" w:space="0"/>
            </w:tcBorders>
            <w:shd w:val="clear" w:color="auto" w:fill="auto"/>
            <w:vAlign w:val="center"/>
          </w:tcPr>
          <w:p w14:paraId="1224DF1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64482533">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79F709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995" w:type="dxa"/>
            <w:vMerge w:val="continue"/>
            <w:tcBorders>
              <w:top w:val="nil"/>
              <w:left w:val="single" w:color="auto" w:sz="4" w:space="0"/>
              <w:bottom w:val="single" w:color="auto" w:sz="4" w:space="0"/>
              <w:right w:val="single" w:color="auto" w:sz="4" w:space="0"/>
            </w:tcBorders>
            <w:vAlign w:val="center"/>
          </w:tcPr>
          <w:p w14:paraId="6F030CD4">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17F6EDA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566" w:type="dxa"/>
            <w:tcBorders>
              <w:top w:val="nil"/>
              <w:left w:val="nil"/>
              <w:bottom w:val="single" w:color="auto" w:sz="4" w:space="0"/>
              <w:right w:val="single" w:color="auto" w:sz="4" w:space="0"/>
            </w:tcBorders>
            <w:shd w:val="clear" w:color="auto" w:fill="auto"/>
            <w:noWrap/>
            <w:vAlign w:val="center"/>
          </w:tcPr>
          <w:p w14:paraId="0C635AD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3971" w:type="dxa"/>
            <w:tcBorders>
              <w:top w:val="nil"/>
              <w:left w:val="nil"/>
              <w:bottom w:val="single" w:color="auto" w:sz="4" w:space="0"/>
              <w:right w:val="single" w:color="auto" w:sz="4" w:space="0"/>
            </w:tcBorders>
            <w:shd w:val="clear" w:color="auto" w:fill="auto"/>
            <w:vAlign w:val="center"/>
          </w:tcPr>
          <w:p w14:paraId="4D0D95A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7165" w:type="dxa"/>
            <w:tcBorders>
              <w:top w:val="nil"/>
              <w:left w:val="nil"/>
              <w:bottom w:val="single" w:color="auto" w:sz="4" w:space="0"/>
              <w:right w:val="single" w:color="auto" w:sz="4" w:space="0"/>
            </w:tcBorders>
            <w:shd w:val="clear" w:color="auto" w:fill="auto"/>
            <w:vAlign w:val="center"/>
          </w:tcPr>
          <w:p w14:paraId="5A3178F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18E8851D">
        <w:tblPrEx>
          <w:tblCellMar>
            <w:top w:w="0" w:type="dxa"/>
            <w:left w:w="108" w:type="dxa"/>
            <w:bottom w:w="0" w:type="dxa"/>
            <w:right w:w="108" w:type="dxa"/>
          </w:tblCellMar>
        </w:tblPrEx>
        <w:trPr>
          <w:cantSplit/>
          <w:trHeight w:val="101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6BC6C5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4F7162C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995" w:type="dxa"/>
            <w:tcBorders>
              <w:top w:val="nil"/>
              <w:left w:val="nil"/>
              <w:bottom w:val="single" w:color="auto" w:sz="4" w:space="0"/>
              <w:right w:val="single" w:color="auto" w:sz="4" w:space="0"/>
            </w:tcBorders>
            <w:shd w:val="clear" w:color="auto" w:fill="auto"/>
            <w:vAlign w:val="center"/>
          </w:tcPr>
          <w:p w14:paraId="488C91B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566" w:type="dxa"/>
            <w:tcBorders>
              <w:top w:val="nil"/>
              <w:left w:val="nil"/>
              <w:bottom w:val="single" w:color="auto" w:sz="4" w:space="0"/>
              <w:right w:val="single" w:color="auto" w:sz="4" w:space="0"/>
            </w:tcBorders>
            <w:shd w:val="clear" w:color="auto" w:fill="auto"/>
            <w:noWrap/>
            <w:vAlign w:val="center"/>
          </w:tcPr>
          <w:p w14:paraId="47E386F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nil"/>
              <w:right w:val="nil"/>
            </w:tcBorders>
            <w:shd w:val="clear" w:color="auto" w:fill="auto"/>
            <w:vAlign w:val="center"/>
          </w:tcPr>
          <w:p w14:paraId="1A7813E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评价落实《铜梁区巩固拓展脱贫攻坚成果和衔接乡村振兴项目库建设管理实施细则》（铜乡振〔2021〕7号）落实情况。根据抽查情况赋分。</w:t>
            </w:r>
          </w:p>
        </w:tc>
        <w:tc>
          <w:tcPr>
            <w:tcW w:w="7165" w:type="dxa"/>
            <w:tcBorders>
              <w:top w:val="nil"/>
              <w:left w:val="single" w:color="auto" w:sz="4" w:space="0"/>
              <w:bottom w:val="single" w:color="auto" w:sz="4" w:space="0"/>
              <w:right w:val="single" w:color="auto" w:sz="4" w:space="0"/>
            </w:tcBorders>
            <w:shd w:val="clear" w:color="auto" w:fill="auto"/>
            <w:vAlign w:val="center"/>
          </w:tcPr>
          <w:p w14:paraId="0EAAF67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2.入库项目具备实施条件（2分）；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3.衔接资金用于项目库之外的项目（-5分）。</w:t>
            </w:r>
          </w:p>
        </w:tc>
      </w:tr>
      <w:tr w14:paraId="44645927">
        <w:tblPrEx>
          <w:tblCellMar>
            <w:top w:w="0" w:type="dxa"/>
            <w:left w:w="108" w:type="dxa"/>
            <w:bottom w:w="0" w:type="dxa"/>
            <w:right w:w="108" w:type="dxa"/>
          </w:tblCellMar>
        </w:tblPrEx>
        <w:trPr>
          <w:cantSplit/>
          <w:trHeight w:val="1261"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473317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995" w:type="dxa"/>
            <w:vMerge w:val="continue"/>
            <w:tcBorders>
              <w:top w:val="nil"/>
              <w:left w:val="single" w:color="auto" w:sz="4" w:space="0"/>
              <w:bottom w:val="single" w:color="auto" w:sz="4" w:space="0"/>
              <w:right w:val="single" w:color="auto" w:sz="4" w:space="0"/>
            </w:tcBorders>
            <w:vAlign w:val="center"/>
          </w:tcPr>
          <w:p w14:paraId="55BC2AC4">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9AD33F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566" w:type="dxa"/>
            <w:tcBorders>
              <w:top w:val="nil"/>
              <w:left w:val="nil"/>
              <w:bottom w:val="single" w:color="auto" w:sz="4" w:space="0"/>
              <w:right w:val="single" w:color="auto" w:sz="4" w:space="0"/>
            </w:tcBorders>
            <w:shd w:val="clear" w:color="auto" w:fill="auto"/>
            <w:noWrap/>
            <w:vAlign w:val="center"/>
          </w:tcPr>
          <w:p w14:paraId="3152307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single" w:color="auto" w:sz="4" w:space="0"/>
              <w:left w:val="nil"/>
              <w:bottom w:val="single" w:color="auto" w:sz="4" w:space="0"/>
              <w:right w:val="single" w:color="auto" w:sz="4" w:space="0"/>
            </w:tcBorders>
            <w:shd w:val="clear" w:color="auto" w:fill="auto"/>
            <w:vAlign w:val="center"/>
          </w:tcPr>
          <w:p w14:paraId="341B635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评价具体项目实施方案明确绩效目标情况、开展跟踪监督绩效监控情况、事后评价情况等。根据抽抽情况赋分。</w:t>
            </w:r>
          </w:p>
        </w:tc>
        <w:tc>
          <w:tcPr>
            <w:tcW w:w="7165" w:type="dxa"/>
            <w:tcBorders>
              <w:top w:val="nil"/>
              <w:left w:val="nil"/>
              <w:bottom w:val="single" w:color="auto" w:sz="4" w:space="0"/>
              <w:right w:val="single" w:color="auto" w:sz="4" w:space="0"/>
            </w:tcBorders>
            <w:shd w:val="clear" w:color="auto" w:fill="auto"/>
            <w:vAlign w:val="center"/>
          </w:tcPr>
          <w:p w14:paraId="153D39C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2.开展绩效监控不少于1次（2分）；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3.对绩效目标偏离项目采取纠偏措施（2分）；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4.项目实施完毕后立即开展绩效自评，并形成绩效自评报告及绩效自评表。（2分）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5.项目绩效是否达到预期。（2分）</w:t>
            </w:r>
          </w:p>
        </w:tc>
      </w:tr>
      <w:tr w14:paraId="24F0C8E5">
        <w:tblPrEx>
          <w:tblCellMar>
            <w:top w:w="0" w:type="dxa"/>
            <w:left w:w="108" w:type="dxa"/>
            <w:bottom w:w="0" w:type="dxa"/>
            <w:right w:w="108" w:type="dxa"/>
          </w:tblCellMar>
        </w:tblPrEx>
        <w:trPr>
          <w:cantSplit/>
          <w:trHeight w:val="12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2714D0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995" w:type="dxa"/>
            <w:vMerge w:val="continue"/>
            <w:tcBorders>
              <w:top w:val="nil"/>
              <w:left w:val="single" w:color="auto" w:sz="4" w:space="0"/>
              <w:bottom w:val="single" w:color="auto" w:sz="4" w:space="0"/>
              <w:right w:val="single" w:color="auto" w:sz="4" w:space="0"/>
            </w:tcBorders>
            <w:vAlign w:val="center"/>
          </w:tcPr>
          <w:p w14:paraId="2862760A">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7B6C1C6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566" w:type="dxa"/>
            <w:tcBorders>
              <w:top w:val="nil"/>
              <w:left w:val="nil"/>
              <w:bottom w:val="single" w:color="auto" w:sz="4" w:space="0"/>
              <w:right w:val="single" w:color="auto" w:sz="4" w:space="0"/>
            </w:tcBorders>
            <w:shd w:val="clear" w:color="auto" w:fill="auto"/>
            <w:vAlign w:val="center"/>
          </w:tcPr>
          <w:p w14:paraId="7EA4161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3971" w:type="dxa"/>
            <w:tcBorders>
              <w:top w:val="nil"/>
              <w:left w:val="nil"/>
              <w:bottom w:val="single" w:color="auto" w:sz="4" w:space="0"/>
              <w:right w:val="single" w:color="auto" w:sz="4" w:space="0"/>
            </w:tcBorders>
            <w:shd w:val="clear" w:color="auto" w:fill="auto"/>
            <w:vAlign w:val="center"/>
          </w:tcPr>
          <w:p w14:paraId="657E101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评价有序推进项目前期工作、组织实施、项目验收、资料报送等情况。根据抽抽情况赋分。</w:t>
            </w:r>
          </w:p>
        </w:tc>
        <w:tc>
          <w:tcPr>
            <w:tcW w:w="7165" w:type="dxa"/>
            <w:tcBorders>
              <w:top w:val="nil"/>
              <w:left w:val="nil"/>
              <w:bottom w:val="single" w:color="auto" w:sz="4" w:space="0"/>
              <w:right w:val="single" w:color="auto" w:sz="4" w:space="0"/>
            </w:tcBorders>
            <w:shd w:val="clear" w:color="auto" w:fill="auto"/>
            <w:vAlign w:val="center"/>
          </w:tcPr>
          <w:p w14:paraId="53F2DFF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2.是否定期对项目实施情况进行监督检查，对检查中发现的问题进行整改；（2分）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3.是否按照项目实施节点按时提交项目报账资料；（1分）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4.日常管理资料是否及时归档整理；（1分）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5.项目完工后是否在规定时间内进行验收。（1分）</w:t>
            </w:r>
          </w:p>
        </w:tc>
      </w:tr>
      <w:tr w14:paraId="1F4B311A">
        <w:tblPrEx>
          <w:tblCellMar>
            <w:top w:w="0" w:type="dxa"/>
            <w:left w:w="108" w:type="dxa"/>
            <w:bottom w:w="0" w:type="dxa"/>
            <w:right w:w="108" w:type="dxa"/>
          </w:tblCellMar>
        </w:tblPrEx>
        <w:trPr>
          <w:cantSplit/>
          <w:trHeight w:val="218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0A8B65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995" w:type="dxa"/>
            <w:vMerge w:val="continue"/>
            <w:tcBorders>
              <w:top w:val="nil"/>
              <w:left w:val="single" w:color="auto" w:sz="4" w:space="0"/>
              <w:bottom w:val="single" w:color="auto" w:sz="4" w:space="0"/>
              <w:right w:val="single" w:color="auto" w:sz="4" w:space="0"/>
            </w:tcBorders>
            <w:vAlign w:val="center"/>
          </w:tcPr>
          <w:p w14:paraId="3F4EB148">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C79DDA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566" w:type="dxa"/>
            <w:tcBorders>
              <w:top w:val="nil"/>
              <w:left w:val="nil"/>
              <w:bottom w:val="single" w:color="auto" w:sz="4" w:space="0"/>
              <w:right w:val="single" w:color="auto" w:sz="4" w:space="0"/>
            </w:tcBorders>
            <w:shd w:val="clear" w:color="auto" w:fill="auto"/>
            <w:noWrap/>
            <w:vAlign w:val="center"/>
          </w:tcPr>
          <w:p w14:paraId="4A5D006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3971" w:type="dxa"/>
            <w:tcBorders>
              <w:top w:val="nil"/>
              <w:left w:val="nil"/>
              <w:bottom w:val="single" w:color="auto" w:sz="4" w:space="0"/>
              <w:right w:val="single" w:color="auto" w:sz="4" w:space="0"/>
            </w:tcBorders>
            <w:shd w:val="clear" w:color="auto" w:fill="auto"/>
            <w:vAlign w:val="center"/>
          </w:tcPr>
          <w:p w14:paraId="661EEC3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78CBED7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主要通过支出进度评价有序推进项目工作和资金支付情况，于7月末、10月中旬定期调度。</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1.7月末支出进度评分4分。资金支出进度达到全区平均进度或者序时进度的，得满分；未达到的按照与序时进度的比例扣分；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2.10月中旬支出进度评分4分。资金支出进度达到全区平均进度或者序时进度的，得满分；未达到的按照与序时进度的比例扣分；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073EE785">
        <w:tblPrEx>
          <w:tblCellMar>
            <w:top w:w="0" w:type="dxa"/>
            <w:left w:w="108" w:type="dxa"/>
            <w:bottom w:w="0" w:type="dxa"/>
            <w:right w:w="108" w:type="dxa"/>
          </w:tblCellMar>
        </w:tblPrEx>
        <w:trPr>
          <w:cantSplit/>
          <w:trHeight w:val="112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B71F4B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995" w:type="dxa"/>
            <w:vMerge w:val="continue"/>
            <w:tcBorders>
              <w:top w:val="nil"/>
              <w:left w:val="single" w:color="auto" w:sz="4" w:space="0"/>
              <w:bottom w:val="single" w:color="auto" w:sz="4" w:space="0"/>
              <w:right w:val="single" w:color="auto" w:sz="4" w:space="0"/>
            </w:tcBorders>
            <w:vAlign w:val="center"/>
          </w:tcPr>
          <w:p w14:paraId="65448BA3">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105934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566" w:type="dxa"/>
            <w:tcBorders>
              <w:top w:val="nil"/>
              <w:left w:val="nil"/>
              <w:bottom w:val="single" w:color="auto" w:sz="4" w:space="0"/>
              <w:right w:val="single" w:color="auto" w:sz="4" w:space="0"/>
            </w:tcBorders>
            <w:shd w:val="clear" w:color="auto" w:fill="auto"/>
            <w:noWrap/>
            <w:vAlign w:val="center"/>
          </w:tcPr>
          <w:p w14:paraId="621397C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3971" w:type="dxa"/>
            <w:tcBorders>
              <w:top w:val="nil"/>
              <w:left w:val="nil"/>
              <w:bottom w:val="single" w:color="auto" w:sz="4" w:space="0"/>
              <w:right w:val="single" w:color="auto" w:sz="4" w:space="0"/>
            </w:tcBorders>
            <w:shd w:val="clear" w:color="auto" w:fill="auto"/>
            <w:vAlign w:val="center"/>
          </w:tcPr>
          <w:p w14:paraId="70584A4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评价定期开展监督检查情况、发现问题整改情况。根据未处理问题比例扣减。根据抽查情况赋分。</w:t>
            </w:r>
          </w:p>
        </w:tc>
        <w:tc>
          <w:tcPr>
            <w:tcW w:w="7165" w:type="dxa"/>
            <w:tcBorders>
              <w:top w:val="nil"/>
              <w:left w:val="nil"/>
              <w:bottom w:val="single" w:color="auto" w:sz="4" w:space="0"/>
              <w:right w:val="single" w:color="auto" w:sz="4" w:space="0"/>
            </w:tcBorders>
            <w:shd w:val="clear" w:color="auto" w:fill="auto"/>
            <w:vAlign w:val="center"/>
          </w:tcPr>
          <w:p w14:paraId="0432936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2.跟踪督促及各类检查发现问题整改到位情况，满分5分，根据未整改问题比例扣减；</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77653D9B">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206A1E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995" w:type="dxa"/>
            <w:vMerge w:val="continue"/>
            <w:tcBorders>
              <w:top w:val="nil"/>
              <w:left w:val="single" w:color="auto" w:sz="4" w:space="0"/>
              <w:bottom w:val="single" w:color="auto" w:sz="4" w:space="0"/>
              <w:right w:val="single" w:color="auto" w:sz="4" w:space="0"/>
            </w:tcBorders>
            <w:vAlign w:val="center"/>
          </w:tcPr>
          <w:p w14:paraId="0BE98521">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34B48AF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566" w:type="dxa"/>
            <w:tcBorders>
              <w:top w:val="nil"/>
              <w:left w:val="nil"/>
              <w:bottom w:val="single" w:color="auto" w:sz="4" w:space="0"/>
              <w:right w:val="single" w:color="auto" w:sz="4" w:space="0"/>
            </w:tcBorders>
            <w:shd w:val="clear" w:color="auto" w:fill="auto"/>
            <w:noWrap/>
            <w:vAlign w:val="center"/>
          </w:tcPr>
          <w:p w14:paraId="696FB23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1A64A41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592BE9B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2.档案管理是否完整、合规、真实。（1分）</w:t>
            </w:r>
          </w:p>
        </w:tc>
      </w:tr>
      <w:tr w14:paraId="1644493F">
        <w:tblPrEx>
          <w:tblCellMar>
            <w:top w:w="0" w:type="dxa"/>
            <w:left w:w="108" w:type="dxa"/>
            <w:bottom w:w="0" w:type="dxa"/>
            <w:right w:w="108" w:type="dxa"/>
          </w:tblCellMar>
        </w:tblPrEx>
        <w:trPr>
          <w:cantSplit/>
          <w:trHeight w:val="115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9C6F13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995" w:type="dxa"/>
            <w:vMerge w:val="continue"/>
            <w:tcBorders>
              <w:top w:val="nil"/>
              <w:left w:val="single" w:color="auto" w:sz="4" w:space="0"/>
              <w:bottom w:val="single" w:color="auto" w:sz="4" w:space="0"/>
              <w:right w:val="single" w:color="auto" w:sz="4" w:space="0"/>
            </w:tcBorders>
            <w:vAlign w:val="center"/>
          </w:tcPr>
          <w:p w14:paraId="6D4C2B99">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1C0DE5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566" w:type="dxa"/>
            <w:tcBorders>
              <w:top w:val="nil"/>
              <w:left w:val="nil"/>
              <w:bottom w:val="single" w:color="auto" w:sz="4" w:space="0"/>
              <w:right w:val="single" w:color="auto" w:sz="4" w:space="0"/>
            </w:tcBorders>
            <w:shd w:val="clear" w:color="auto" w:fill="auto"/>
            <w:noWrap/>
            <w:vAlign w:val="center"/>
          </w:tcPr>
          <w:p w14:paraId="339CC10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3971" w:type="dxa"/>
            <w:tcBorders>
              <w:top w:val="nil"/>
              <w:left w:val="nil"/>
              <w:bottom w:val="single" w:color="auto" w:sz="4" w:space="0"/>
              <w:right w:val="single" w:color="auto" w:sz="4" w:space="0"/>
            </w:tcBorders>
            <w:shd w:val="clear" w:color="auto" w:fill="auto"/>
            <w:vAlign w:val="center"/>
          </w:tcPr>
          <w:p w14:paraId="23CF6A7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5DD32C9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1.抽查区级公示公开情况，满分3分，未完整公开酌情扣分；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2.抽查镇级公示公开情况，满分3分，未完整公开酌情扣分；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3.抽查村级公示公开情况，满分3分，未完整公开酌情扣分。</w:t>
            </w:r>
          </w:p>
        </w:tc>
      </w:tr>
      <w:tr w14:paraId="3B92564A">
        <w:tblPrEx>
          <w:tblCellMar>
            <w:top w:w="0" w:type="dxa"/>
            <w:left w:w="108" w:type="dxa"/>
            <w:bottom w:w="0" w:type="dxa"/>
            <w:right w:w="108" w:type="dxa"/>
          </w:tblCellMar>
        </w:tblPrEx>
        <w:trPr>
          <w:cantSplit/>
          <w:trHeight w:val="16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AF90AA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3872489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995" w:type="dxa"/>
            <w:tcBorders>
              <w:top w:val="nil"/>
              <w:left w:val="nil"/>
              <w:bottom w:val="single" w:color="auto" w:sz="4" w:space="0"/>
              <w:right w:val="single" w:color="auto" w:sz="4" w:space="0"/>
            </w:tcBorders>
            <w:shd w:val="clear" w:color="auto" w:fill="auto"/>
            <w:vAlign w:val="center"/>
          </w:tcPr>
          <w:p w14:paraId="4D8BEEE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566" w:type="dxa"/>
            <w:tcBorders>
              <w:top w:val="nil"/>
              <w:left w:val="nil"/>
              <w:bottom w:val="single" w:color="auto" w:sz="4" w:space="0"/>
              <w:right w:val="single" w:color="auto" w:sz="4" w:space="0"/>
            </w:tcBorders>
            <w:shd w:val="clear" w:color="auto" w:fill="auto"/>
            <w:noWrap/>
            <w:vAlign w:val="center"/>
          </w:tcPr>
          <w:p w14:paraId="7ECE407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3971" w:type="dxa"/>
            <w:tcBorders>
              <w:top w:val="nil"/>
              <w:left w:val="nil"/>
              <w:bottom w:val="single" w:color="auto" w:sz="4" w:space="0"/>
              <w:right w:val="single" w:color="auto" w:sz="4" w:space="0"/>
            </w:tcBorders>
            <w:shd w:val="clear" w:color="auto" w:fill="auto"/>
            <w:vAlign w:val="center"/>
          </w:tcPr>
          <w:p w14:paraId="5F92328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评价项目是否达到预期成效，后续管护是否存在问题等。根据抽查情况赋分。</w:t>
            </w:r>
          </w:p>
        </w:tc>
        <w:tc>
          <w:tcPr>
            <w:tcW w:w="7165" w:type="dxa"/>
            <w:tcBorders>
              <w:top w:val="nil"/>
              <w:left w:val="nil"/>
              <w:bottom w:val="single" w:color="auto" w:sz="4" w:space="0"/>
              <w:right w:val="single" w:color="auto" w:sz="4" w:space="0"/>
            </w:tcBorders>
            <w:shd w:val="clear" w:color="auto" w:fill="auto"/>
            <w:vAlign w:val="center"/>
          </w:tcPr>
          <w:p w14:paraId="68D444D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满分35分，根据抽查项目情况赋分。项目管理各环节，每存在一例不符合相关规定的，扣0.5分，扣完为止。</w:t>
            </w:r>
          </w:p>
        </w:tc>
      </w:tr>
      <w:tr w14:paraId="190E895D">
        <w:tblPrEx>
          <w:tblCellMar>
            <w:top w:w="0" w:type="dxa"/>
            <w:left w:w="108" w:type="dxa"/>
            <w:bottom w:w="0" w:type="dxa"/>
            <w:right w:w="108" w:type="dxa"/>
          </w:tblCellMar>
        </w:tblPrEx>
        <w:trPr>
          <w:cantSplit/>
          <w:trHeight w:val="767"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6F1633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995" w:type="dxa"/>
            <w:vMerge w:val="continue"/>
            <w:tcBorders>
              <w:top w:val="nil"/>
              <w:left w:val="single" w:color="auto" w:sz="4" w:space="0"/>
              <w:bottom w:val="single" w:color="auto" w:sz="4" w:space="0"/>
              <w:right w:val="single" w:color="auto" w:sz="4" w:space="0"/>
            </w:tcBorders>
            <w:vAlign w:val="center"/>
          </w:tcPr>
          <w:p w14:paraId="67DEEE32">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7434A82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566" w:type="dxa"/>
            <w:tcBorders>
              <w:top w:val="nil"/>
              <w:left w:val="nil"/>
              <w:bottom w:val="single" w:color="auto" w:sz="4" w:space="0"/>
              <w:right w:val="single" w:color="auto" w:sz="4" w:space="0"/>
            </w:tcBorders>
            <w:shd w:val="clear" w:color="auto" w:fill="auto"/>
            <w:vAlign w:val="center"/>
          </w:tcPr>
          <w:p w14:paraId="47DE61E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08ABB16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7165" w:type="dxa"/>
            <w:tcBorders>
              <w:top w:val="nil"/>
              <w:left w:val="nil"/>
              <w:bottom w:val="single" w:color="auto" w:sz="4" w:space="0"/>
              <w:right w:val="single" w:color="auto" w:sz="4" w:space="0"/>
            </w:tcBorders>
            <w:shd w:val="clear" w:color="auto" w:fill="auto"/>
            <w:vAlign w:val="center"/>
          </w:tcPr>
          <w:p w14:paraId="5487F22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7972EA01">
        <w:tblPrEx>
          <w:tblCellMar>
            <w:top w:w="0" w:type="dxa"/>
            <w:left w:w="108" w:type="dxa"/>
            <w:bottom w:w="0" w:type="dxa"/>
            <w:right w:w="108" w:type="dxa"/>
          </w:tblCellMar>
        </w:tblPrEx>
        <w:trPr>
          <w:cantSplit/>
          <w:trHeight w:val="90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FCFE93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995" w:type="dxa"/>
            <w:vMerge w:val="restart"/>
            <w:tcBorders>
              <w:top w:val="nil"/>
              <w:left w:val="single" w:color="auto" w:sz="4" w:space="0"/>
              <w:bottom w:val="single" w:color="000000" w:sz="4" w:space="0"/>
              <w:right w:val="single" w:color="auto" w:sz="4" w:space="0"/>
            </w:tcBorders>
            <w:shd w:val="clear" w:color="auto" w:fill="auto"/>
            <w:vAlign w:val="center"/>
          </w:tcPr>
          <w:p w14:paraId="12F3DBE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995" w:type="dxa"/>
            <w:tcBorders>
              <w:top w:val="nil"/>
              <w:left w:val="nil"/>
              <w:bottom w:val="single" w:color="auto" w:sz="4" w:space="0"/>
              <w:right w:val="single" w:color="auto" w:sz="4" w:space="0"/>
            </w:tcBorders>
            <w:shd w:val="clear" w:color="auto" w:fill="auto"/>
            <w:vAlign w:val="center"/>
          </w:tcPr>
          <w:p w14:paraId="1ACAD83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566" w:type="dxa"/>
            <w:tcBorders>
              <w:top w:val="nil"/>
              <w:left w:val="nil"/>
              <w:bottom w:val="single" w:color="auto" w:sz="4" w:space="0"/>
              <w:right w:val="single" w:color="auto" w:sz="4" w:space="0"/>
            </w:tcBorders>
            <w:shd w:val="clear" w:color="auto" w:fill="auto"/>
            <w:vAlign w:val="center"/>
          </w:tcPr>
          <w:p w14:paraId="7B13140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35844C3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7165" w:type="dxa"/>
            <w:tcBorders>
              <w:top w:val="nil"/>
              <w:left w:val="nil"/>
              <w:bottom w:val="single" w:color="auto" w:sz="4" w:space="0"/>
              <w:right w:val="single" w:color="auto" w:sz="4" w:space="0"/>
            </w:tcBorders>
            <w:shd w:val="clear" w:color="auto" w:fill="auto"/>
            <w:vAlign w:val="center"/>
          </w:tcPr>
          <w:p w14:paraId="587C7E1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16E25880">
        <w:tblPrEx>
          <w:tblCellMar>
            <w:top w:w="0" w:type="dxa"/>
            <w:left w:w="108" w:type="dxa"/>
            <w:bottom w:w="0" w:type="dxa"/>
            <w:right w:w="108" w:type="dxa"/>
          </w:tblCellMar>
        </w:tblPrEx>
        <w:trPr>
          <w:cantSplit/>
          <w:trHeight w:val="816"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CBB9C0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995" w:type="dxa"/>
            <w:vMerge w:val="continue"/>
            <w:tcBorders>
              <w:top w:val="nil"/>
              <w:left w:val="single" w:color="auto" w:sz="4" w:space="0"/>
              <w:bottom w:val="single" w:color="000000" w:sz="4" w:space="0"/>
              <w:right w:val="single" w:color="auto" w:sz="4" w:space="0"/>
            </w:tcBorders>
            <w:vAlign w:val="center"/>
          </w:tcPr>
          <w:p w14:paraId="7A1D9882">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03F63F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566" w:type="dxa"/>
            <w:tcBorders>
              <w:top w:val="nil"/>
              <w:left w:val="nil"/>
              <w:bottom w:val="single" w:color="auto" w:sz="4" w:space="0"/>
              <w:right w:val="single" w:color="auto" w:sz="4" w:space="0"/>
            </w:tcBorders>
            <w:shd w:val="clear" w:color="auto" w:fill="auto"/>
            <w:vAlign w:val="center"/>
          </w:tcPr>
          <w:p w14:paraId="7DB4BF7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nil"/>
              <w:left w:val="nil"/>
              <w:bottom w:val="single" w:color="auto" w:sz="4" w:space="0"/>
              <w:right w:val="single" w:color="auto" w:sz="4" w:space="0"/>
            </w:tcBorders>
            <w:shd w:val="clear" w:color="auto" w:fill="auto"/>
            <w:vAlign w:val="center"/>
          </w:tcPr>
          <w:p w14:paraId="515295B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7165" w:type="dxa"/>
            <w:tcBorders>
              <w:top w:val="nil"/>
              <w:left w:val="nil"/>
              <w:bottom w:val="single" w:color="auto" w:sz="4" w:space="0"/>
              <w:right w:val="single" w:color="auto" w:sz="4" w:space="0"/>
            </w:tcBorders>
            <w:shd w:val="clear" w:color="auto" w:fill="auto"/>
            <w:vAlign w:val="center"/>
          </w:tcPr>
          <w:p w14:paraId="2983EB6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3D3A1D09">
      <w:pPr>
        <w:rPr>
          <w:rFonts w:ascii="Arial Narrow" w:hAnsi="Arial Narrow" w:eastAsia="仿宋_GB2312" w:cs="宋体"/>
          <w:kern w:val="0"/>
          <w:sz w:val="24"/>
        </w:rPr>
      </w:pPr>
    </w:p>
    <w:p w14:paraId="644F4233">
      <w:pPr>
        <w:rPr>
          <w:rFonts w:ascii="Arial Narrow" w:hAnsi="Arial Narrow" w:eastAsia="仿宋_GB2312" w:cs="宋体"/>
          <w:kern w:val="0"/>
          <w:sz w:val="24"/>
        </w:rPr>
        <w:sectPr>
          <w:pgSz w:w="16840" w:h="11907" w:orient="landscape"/>
          <w:pgMar w:top="1418" w:right="1134" w:bottom="1134" w:left="1418" w:header="851" w:footer="851" w:gutter="0"/>
          <w:cols w:space="425" w:num="1"/>
          <w:docGrid w:linePitch="312" w:charSpace="0"/>
        </w:sectPr>
      </w:pPr>
    </w:p>
    <w:p w14:paraId="115A3124">
      <w:pPr>
        <w:spacing w:before="120" w:beforeLines="50" w:line="360" w:lineRule="auto"/>
        <w:ind w:firstLine="482" w:firstLineChars="200"/>
        <w:jc w:val="left"/>
        <w:outlineLvl w:val="0"/>
        <w:rPr>
          <w:rFonts w:ascii="Arial Narrow" w:hAnsi="Arial Narrow" w:eastAsia="仿宋_GB2312"/>
          <w:b/>
          <w:sz w:val="24"/>
        </w:rPr>
      </w:pPr>
      <w:bookmarkStart w:id="16" w:name="_Toc13009"/>
      <w:r>
        <w:rPr>
          <w:rFonts w:ascii="Arial Narrow" w:hAnsi="Arial Narrow" w:eastAsia="仿宋_GB2312"/>
          <w:b/>
          <w:sz w:val="24"/>
        </w:rPr>
        <w:t>（五）绩效评价标准和评价方法</w:t>
      </w:r>
      <w:bookmarkEnd w:id="16"/>
    </w:p>
    <w:p w14:paraId="5D15537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绩效评价标准</w:t>
      </w:r>
    </w:p>
    <w:p w14:paraId="20F4638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5C9A11E5">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7" w:name="_Hlk162596803"/>
      <w:r>
        <w:rPr>
          <w:rFonts w:ascii="Arial Narrow" w:hAnsi="Arial Narrow" w:eastAsia="仿宋_GB2312"/>
          <w:color w:val="auto"/>
        </w:rPr>
        <w:t>≥90</w:t>
      </w:r>
      <w:bookmarkEnd w:id="17"/>
      <w:r>
        <w:rPr>
          <w:rFonts w:ascii="Arial Narrow" w:hAnsi="Arial Narrow" w:eastAsia="仿宋_GB2312"/>
          <w:color w:val="auto"/>
        </w:rPr>
        <w:t>）、良</w:t>
      </w:r>
      <w:bookmarkStart w:id="18" w:name="_Hlk168473502"/>
      <w:r>
        <w:rPr>
          <w:rFonts w:ascii="Arial Narrow" w:hAnsi="Arial Narrow" w:eastAsia="仿宋_GB2312"/>
          <w:color w:val="auto"/>
        </w:rPr>
        <w:t>（90＞得分≥80）</w:t>
      </w:r>
      <w:bookmarkEnd w:id="18"/>
      <w:r>
        <w:rPr>
          <w:rFonts w:ascii="Arial Narrow" w:hAnsi="Arial Narrow" w:eastAsia="仿宋_GB2312"/>
          <w:color w:val="auto"/>
        </w:rPr>
        <w:t>、中（80＞得分≥60）、差（得分＜60）四个等级，按百分制综合得分高低按分值划段确定。</w:t>
      </w:r>
    </w:p>
    <w:p w14:paraId="2E6754F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绩效评价方法</w:t>
      </w:r>
    </w:p>
    <w:p w14:paraId="2F2941D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5288CA9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58A0E74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66CE127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20DFBE55">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5606A70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24A44A1F">
      <w:pPr>
        <w:spacing w:line="360" w:lineRule="auto"/>
        <w:ind w:firstLine="482" w:firstLineChars="200"/>
        <w:jc w:val="left"/>
        <w:outlineLvl w:val="0"/>
        <w:rPr>
          <w:rFonts w:ascii="Arial Narrow" w:hAnsi="Arial Narrow" w:eastAsia="仿宋_GB2312"/>
          <w:b/>
          <w:sz w:val="24"/>
        </w:rPr>
      </w:pPr>
      <w:bookmarkStart w:id="19" w:name="_Toc437528932"/>
      <w:bookmarkStart w:id="20" w:name="_Toc852"/>
      <w:r>
        <w:rPr>
          <w:rFonts w:ascii="Arial Narrow" w:hAnsi="Arial Narrow" w:eastAsia="仿宋_GB2312"/>
          <w:b/>
          <w:sz w:val="24"/>
        </w:rPr>
        <w:t>（六）绩效评价</w:t>
      </w:r>
      <w:bookmarkEnd w:id="19"/>
      <w:r>
        <w:rPr>
          <w:rFonts w:ascii="Arial Narrow" w:hAnsi="Arial Narrow" w:eastAsia="仿宋_GB2312"/>
          <w:b/>
          <w:sz w:val="24"/>
        </w:rPr>
        <w:t>工作过程</w:t>
      </w:r>
      <w:bookmarkEnd w:id="20"/>
    </w:p>
    <w:p w14:paraId="2EF86BA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06991F3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根据项目实际情况收集项目基础资料及数据深入了解项目整体情况。</w:t>
      </w:r>
    </w:p>
    <w:p w14:paraId="2362556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组织实施现场调查、检查、走访等具体工作。</w:t>
      </w:r>
    </w:p>
    <w:p w14:paraId="201D960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依据收集到的项目相关资料和数据，比照经贵单位审定的评价指标体系的评分标准，分别对项目评价打分，汇总后加权平均形成综合评价得分，并对该项目的绩效评价等级进行确认。</w:t>
      </w:r>
    </w:p>
    <w:p w14:paraId="52EAC371">
      <w:pPr>
        <w:spacing w:line="360" w:lineRule="auto"/>
        <w:ind w:firstLine="482" w:firstLineChars="200"/>
        <w:jc w:val="left"/>
        <w:outlineLvl w:val="0"/>
        <w:rPr>
          <w:rFonts w:ascii="Arial Narrow" w:hAnsi="Arial Narrow" w:eastAsia="仿宋_GB2312"/>
          <w:b/>
          <w:sz w:val="24"/>
        </w:rPr>
      </w:pPr>
      <w:bookmarkStart w:id="21" w:name="_Toc437528933"/>
      <w:bookmarkStart w:id="22" w:name="_Toc9526"/>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1"/>
      <w:r>
        <w:rPr>
          <w:rFonts w:ascii="Arial Narrow" w:hAnsi="Arial Narrow" w:eastAsia="仿宋_GB2312"/>
          <w:b/>
          <w:sz w:val="24"/>
        </w:rPr>
        <w:t>结论</w:t>
      </w:r>
      <w:bookmarkEnd w:id="22"/>
    </w:p>
    <w:p w14:paraId="47D42E7C">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农村饮水提升项目（东城）项目</w:t>
      </w:r>
      <w:r>
        <w:rPr>
          <w:rFonts w:ascii="Arial Narrow" w:hAnsi="Arial Narrow" w:eastAsia="仿宋_GB2312"/>
          <w:sz w:val="24"/>
        </w:rPr>
        <w:t>绩效评价得分</w:t>
      </w:r>
      <w:r>
        <w:rPr>
          <w:rFonts w:hint="eastAsia" w:ascii="Arial Narrow" w:hAnsi="Arial Narrow" w:eastAsia="仿宋_GB2312" w:cs="宋体"/>
          <w:kern w:val="0"/>
          <w:sz w:val="24"/>
        </w:rPr>
        <w:t>98.50</w:t>
      </w:r>
      <w:r>
        <w:rPr>
          <w:rFonts w:ascii="Arial Narrow" w:hAnsi="Arial Narrow" w:eastAsia="仿宋_GB2312"/>
          <w:sz w:val="24"/>
        </w:rPr>
        <w:t>分</w:t>
      </w:r>
      <w:r>
        <w:rPr>
          <w:rFonts w:hint="eastAsia" w:ascii="Arial Narrow" w:hAnsi="Arial Narrow" w:eastAsia="仿宋_GB2312"/>
          <w:sz w:val="24"/>
        </w:rPr>
        <w:t>，</w:t>
      </w:r>
      <w:r>
        <w:rPr>
          <w:rFonts w:ascii="Arial Narrow" w:hAnsi="Arial Narrow" w:eastAsia="仿宋_GB2312"/>
          <w:sz w:val="24"/>
        </w:rPr>
        <w:t>绩效评价等级为：</w:t>
      </w:r>
      <w:r>
        <w:rPr>
          <w:rFonts w:hint="eastAsia" w:ascii="Arial Narrow" w:hAnsi="Arial Narrow" w:eastAsia="仿宋_GB2312"/>
          <w:sz w:val="24"/>
        </w:rPr>
        <w:t>优；</w:t>
      </w:r>
    </w:p>
    <w:p w14:paraId="6061DF4B">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农村饮水安全巩固提升工程（土桥镇）项目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89.53</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良；</w:t>
      </w:r>
    </w:p>
    <w:p w14:paraId="39679AC0">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绩效评价得分</w:t>
      </w:r>
      <w:r>
        <w:rPr>
          <w:rFonts w:hint="eastAsia" w:ascii="Arial Narrow" w:hAnsi="Arial Narrow" w:eastAsia="仿宋_GB2312" w:cs="宋体"/>
          <w:kern w:val="0"/>
          <w:sz w:val="24"/>
        </w:rPr>
        <w:t>100.00</w:t>
      </w:r>
      <w:r>
        <w:rPr>
          <w:rFonts w:hint="eastAsia" w:ascii="Arial Narrow" w:hAnsi="Arial Narrow" w:eastAsia="仿宋_GB2312"/>
          <w:sz w:val="24"/>
        </w:rPr>
        <w:t>分，</w:t>
      </w:r>
      <w:r>
        <w:rPr>
          <w:rFonts w:ascii="Arial Narrow" w:hAnsi="Arial Narrow" w:eastAsia="仿宋_GB2312"/>
          <w:sz w:val="24"/>
        </w:rPr>
        <w:t>绩效评价等级为：</w:t>
      </w:r>
      <w:r>
        <w:rPr>
          <w:rFonts w:hint="eastAsia" w:ascii="Arial Narrow" w:hAnsi="Arial Narrow" w:eastAsia="仿宋_GB2312"/>
          <w:sz w:val="24"/>
        </w:rPr>
        <w:t>优。</w:t>
      </w:r>
    </w:p>
    <w:p w14:paraId="24198822">
      <w:pPr>
        <w:spacing w:line="360" w:lineRule="auto"/>
        <w:ind w:firstLine="482" w:firstLineChars="200"/>
        <w:outlineLvl w:val="0"/>
        <w:rPr>
          <w:rFonts w:ascii="Arial Narrow" w:hAnsi="Arial Narrow" w:eastAsia="仿宋_GB2312"/>
          <w:b/>
          <w:sz w:val="24"/>
        </w:rPr>
      </w:pPr>
      <w:bookmarkStart w:id="23" w:name="_Toc24963"/>
      <w:r>
        <w:rPr>
          <w:rFonts w:hint="eastAsia" w:ascii="Arial Narrow" w:hAnsi="Arial Narrow" w:eastAsia="仿宋_GB2312"/>
          <w:b/>
          <w:sz w:val="24"/>
        </w:rPr>
        <w:t>四、</w:t>
      </w:r>
      <w:r>
        <w:rPr>
          <w:rFonts w:ascii="Arial Narrow" w:hAnsi="Arial Narrow" w:eastAsia="仿宋_GB2312"/>
          <w:b/>
          <w:sz w:val="24"/>
        </w:rPr>
        <w:t>综合评价情况</w:t>
      </w:r>
      <w:bookmarkEnd w:id="23"/>
    </w:p>
    <w:p w14:paraId="5CA7F11C">
      <w:pPr>
        <w:spacing w:line="360" w:lineRule="auto"/>
        <w:ind w:firstLine="482" w:firstLineChars="200"/>
        <w:jc w:val="left"/>
        <w:outlineLvl w:val="0"/>
        <w:rPr>
          <w:rFonts w:ascii="仿宋_GB2312" w:eastAsia="仿宋_GB2312"/>
          <w:b/>
          <w:sz w:val="24"/>
        </w:rPr>
      </w:pPr>
      <w:bookmarkStart w:id="24" w:name="_Toc29231"/>
      <w:r>
        <w:rPr>
          <w:rFonts w:hint="eastAsia" w:ascii="仿宋_GB2312" w:eastAsia="仿宋_GB2312"/>
          <w:b/>
          <w:sz w:val="24"/>
        </w:rPr>
        <w:t>（一）资金管理</w:t>
      </w:r>
      <w:bookmarkEnd w:id="24"/>
    </w:p>
    <w:p w14:paraId="021EB267">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财政衔接资金安排情况</w:t>
      </w:r>
    </w:p>
    <w:p w14:paraId="230FAAD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w:t>
      </w:r>
      <w:r>
        <w:rPr>
          <w:rFonts w:hint="eastAsia" w:ascii="Arial Narrow" w:hAnsi="Arial Narrow" w:eastAsia="仿宋_GB2312"/>
          <w:sz w:val="24"/>
          <w:lang w:val="en-US" w:eastAsia="zh-CN"/>
        </w:rPr>
        <w:t>号</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1169B36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资金分解下达进度</w:t>
      </w:r>
    </w:p>
    <w:p w14:paraId="52EF3FB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农村饮水安全巩固提升工程（土桥镇）项目</w:t>
      </w:r>
      <w:r>
        <w:rPr>
          <w:rFonts w:hint="eastAsia" w:ascii="Arial Narrow" w:hAnsi="Arial Narrow" w:eastAsia="仿宋_GB2312"/>
          <w:sz w:val="24"/>
        </w:rPr>
        <w:t>区财政局于2022年12月14日发布《重庆市铜梁区财政局关于提前下达2023年市级财政衔接推进乡村振兴补助资金预算的通知》（铜财〔2022〕561号），业务主管部门于2023年1月6日发布《关于下达2023年市级财政衔接推进乡村振兴补助资金项目安排计划的通知》（铜委农办〔2023〕2号）。</w:t>
      </w:r>
    </w:p>
    <w:p w14:paraId="7D1B631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农村饮水提升项目（东城）</w:t>
      </w:r>
      <w:r>
        <w:rPr>
          <w:rFonts w:hint="eastAsia" w:ascii="Arial Narrow" w:hAnsi="Arial Narrow" w:eastAsia="仿宋_GB2312"/>
          <w:sz w:val="24"/>
        </w:rPr>
        <w:t>区财政局于2023年5月12日发布《重庆市铜梁区财政局关于下达2023年中央财政衔接推进乡村振兴补助资金预算的通知》（铜财〔2023〕126号），业务主管部门于2023年6月9日发布《关于下达2023年第二批中央财政衔接推进乡村振兴补助资金项目安排计划的通知》（铜委农办〔2023〕9号）。</w:t>
      </w:r>
    </w:p>
    <w:p w14:paraId="46CDC0E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以上两个项目区财政局下达资金文件时间到区级业务主管部门下达项目及资金计划文件时间间隔小于30日。</w:t>
      </w:r>
    </w:p>
    <w:p w14:paraId="3A35BE5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7285006C">
      <w:pPr>
        <w:spacing w:line="360" w:lineRule="auto"/>
        <w:ind w:firstLine="482" w:firstLineChars="200"/>
        <w:jc w:val="left"/>
        <w:outlineLvl w:val="0"/>
        <w:rPr>
          <w:rFonts w:ascii="仿宋_GB2312" w:eastAsia="仿宋_GB2312"/>
          <w:b/>
          <w:sz w:val="24"/>
        </w:rPr>
      </w:pPr>
      <w:bookmarkStart w:id="25" w:name="_Toc11551"/>
      <w:r>
        <w:rPr>
          <w:rFonts w:hint="eastAsia" w:ascii="仿宋_GB2312" w:eastAsia="仿宋_GB2312"/>
          <w:b/>
          <w:sz w:val="24"/>
        </w:rPr>
        <w:t>（二）项目管理</w:t>
      </w:r>
      <w:bookmarkEnd w:id="25"/>
    </w:p>
    <w:p w14:paraId="615A73F8">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eastAsia="zh-CN"/>
        </w:rPr>
        <w:t>.</w:t>
      </w:r>
      <w:r>
        <w:rPr>
          <w:rFonts w:hint="eastAsia" w:ascii="Arial Narrow" w:hAnsi="Arial Narrow" w:eastAsia="仿宋_GB2312"/>
          <w:sz w:val="24"/>
        </w:rPr>
        <w:t>项目库建设管理情况</w:t>
      </w:r>
    </w:p>
    <w:p w14:paraId="4FBA4BA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项目入库及时充分、程序规范、内容完整，制定和切合实际的实施方案，具备实施条件，衔接资金未用于项目库之外的项目。</w:t>
      </w:r>
    </w:p>
    <w:p w14:paraId="2C93720A">
      <w:pPr>
        <w:adjustRightInd w:val="0"/>
        <w:snapToGrid w:val="0"/>
        <w:spacing w:line="360" w:lineRule="auto"/>
        <w:ind w:firstLine="480" w:firstLineChars="200"/>
        <w:rPr>
          <w:rFonts w:ascii="Arial Narrow" w:hAnsi="Arial Narrow" w:eastAsia="仿宋_GB2312"/>
          <w:color w:val="000000" w:themeColor="text1"/>
          <w:sz w:val="24"/>
          <w14:textFill>
            <w14:solidFill>
              <w14:schemeClr w14:val="tx1"/>
            </w14:solidFill>
          </w14:textFill>
        </w:rPr>
      </w:pPr>
      <w:r>
        <w:rPr>
          <w:rFonts w:hint="eastAsia" w:ascii="Arial Narrow" w:hAnsi="Arial Narrow" w:eastAsia="仿宋_GB2312"/>
          <w:color w:val="000000" w:themeColor="text1"/>
          <w:sz w:val="24"/>
          <w14:textFill>
            <w14:solidFill>
              <w14:schemeClr w14:val="tx1"/>
            </w14:solidFill>
          </w14:textFill>
        </w:rPr>
        <w:t>2</w:t>
      </w:r>
      <w:r>
        <w:rPr>
          <w:rFonts w:hint="eastAsia" w:ascii="Arial Narrow" w:hAnsi="Arial Narrow" w:eastAsia="仿宋_GB2312"/>
          <w:color w:val="000000" w:themeColor="text1"/>
          <w:sz w:val="24"/>
          <w:lang w:eastAsia="zh-CN"/>
          <w14:textFill>
            <w14:solidFill>
              <w14:schemeClr w14:val="tx1"/>
            </w14:solidFill>
          </w14:textFill>
        </w:rPr>
        <w:t>.</w:t>
      </w:r>
      <w:r>
        <w:rPr>
          <w:rFonts w:hint="eastAsia" w:ascii="Arial Narrow" w:hAnsi="Arial Narrow" w:eastAsia="仿宋_GB2312"/>
          <w:color w:val="000000" w:themeColor="text1"/>
          <w:sz w:val="24"/>
          <w14:textFill>
            <w14:solidFill>
              <w14:schemeClr w14:val="tx1"/>
            </w14:solidFill>
          </w14:textFill>
        </w:rPr>
        <w:t>项目绩效管理情况</w:t>
      </w:r>
    </w:p>
    <w:p w14:paraId="599AF782">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color w:val="000000" w:themeColor="text1"/>
          <w:kern w:val="0"/>
          <w:sz w:val="24"/>
          <w:lang w:val="en-US" w:eastAsia="zh-CN"/>
          <w14:textFill>
            <w14:solidFill>
              <w14:schemeClr w14:val="tx1"/>
            </w14:solidFill>
          </w14:textFill>
        </w:rPr>
        <w:t>这</w:t>
      </w:r>
      <w:r>
        <w:rPr>
          <w:rFonts w:hint="eastAsia" w:ascii="Arial Narrow" w:hAnsi="Arial Narrow" w:eastAsia="仿宋_GB2312" w:cs="宋体"/>
          <w:color w:val="000000" w:themeColor="text1"/>
          <w:kern w:val="0"/>
          <w:sz w:val="24"/>
          <w14:textFill>
            <w14:solidFill>
              <w14:schemeClr w14:val="tx1"/>
            </w14:solidFill>
          </w14:textFill>
        </w:rPr>
        <w:t>3个项目</w:t>
      </w:r>
      <w:r>
        <w:rPr>
          <w:rFonts w:hint="eastAsia" w:ascii="Arial Narrow" w:hAnsi="Arial Narrow" w:eastAsia="仿宋_GB2312"/>
          <w:color w:val="000000" w:themeColor="text1"/>
          <w:sz w:val="24"/>
          <w14:textFill>
            <w14:solidFill>
              <w14:schemeClr w14:val="tx1"/>
            </w14:solidFill>
          </w14:textFill>
        </w:rPr>
        <w:t>及时制定了明确的绩效目标，</w:t>
      </w:r>
      <w:r>
        <w:rPr>
          <w:rFonts w:hint="eastAsia" w:ascii="Arial Narrow" w:hAnsi="Arial Narrow" w:eastAsia="仿宋_GB2312"/>
          <w:color w:val="000000" w:themeColor="text1"/>
          <w:sz w:val="24"/>
          <w:lang w:val="en-US" w:eastAsia="zh-CN"/>
          <w14:textFill>
            <w14:solidFill>
              <w14:schemeClr w14:val="tx1"/>
            </w14:solidFill>
          </w14:textFill>
        </w:rPr>
        <w:t>其中</w:t>
      </w:r>
      <w:r>
        <w:rPr>
          <w:rFonts w:hint="eastAsia" w:ascii="Arial Narrow" w:hAnsi="Arial Narrow" w:eastAsia="仿宋_GB2312" w:cs="宋体"/>
          <w:color w:val="000000" w:themeColor="text1"/>
          <w:kern w:val="0"/>
          <w:sz w:val="24"/>
          <w14:textFill>
            <w14:solidFill>
              <w14:schemeClr w14:val="tx1"/>
            </w14:solidFill>
          </w14:textFill>
        </w:rPr>
        <w:t>农村饮水提升项目（东城）项目款项未支付完毕已形成自评报告</w:t>
      </w:r>
      <w:r>
        <w:rPr>
          <w:rFonts w:hint="eastAsia" w:ascii="Arial Narrow" w:hAnsi="Arial Narrow" w:eastAsia="仿宋_GB2312" w:cs="宋体"/>
          <w:color w:val="000000" w:themeColor="text1"/>
          <w:kern w:val="0"/>
          <w:sz w:val="24"/>
          <w:lang w:eastAsia="zh-CN"/>
          <w14:textFill>
            <w14:solidFill>
              <w14:schemeClr w14:val="tx1"/>
            </w14:solidFill>
          </w14:textFill>
        </w:rPr>
        <w:t>，</w:t>
      </w:r>
      <w:r>
        <w:rPr>
          <w:rFonts w:hint="eastAsia" w:ascii="Arial Narrow" w:hAnsi="Arial Narrow" w:eastAsia="仿宋_GB2312" w:cs="宋体"/>
          <w:color w:val="000000" w:themeColor="text1"/>
          <w:kern w:val="0"/>
          <w:sz w:val="24"/>
          <w:lang w:val="en-US" w:eastAsia="zh-CN"/>
          <w14:textFill>
            <w14:solidFill>
              <w14:schemeClr w14:val="tx1"/>
            </w14:solidFill>
          </w14:textFill>
        </w:rPr>
        <w:t>扣分1分；</w:t>
      </w:r>
      <w:r>
        <w:rPr>
          <w:rFonts w:hint="eastAsia" w:ascii="Arial Narrow" w:hAnsi="Arial Narrow" w:eastAsia="仿宋_GB2312" w:cs="宋体"/>
          <w:kern w:val="0"/>
          <w:sz w:val="24"/>
        </w:rPr>
        <w:t>农村饮水安全巩固提升工程（土桥镇）项</w:t>
      </w:r>
      <w:r>
        <w:rPr>
          <w:rFonts w:hint="eastAsia" w:ascii="Arial Narrow" w:hAnsi="Arial Narrow" w:eastAsia="仿宋_GB2312" w:cs="宋体"/>
          <w:color w:val="000000" w:themeColor="text1"/>
          <w:kern w:val="0"/>
          <w:sz w:val="24"/>
          <w14:textFill>
            <w14:solidFill>
              <w14:schemeClr w14:val="tx1"/>
            </w14:solidFill>
          </w14:textFill>
        </w:rPr>
        <w:t>目、公益性岗位项目</w:t>
      </w:r>
      <w:r>
        <w:rPr>
          <w:rFonts w:hint="eastAsia" w:ascii="Arial Narrow" w:hAnsi="Arial Narrow" w:eastAsia="仿宋_GB2312" w:cs="宋体"/>
          <w:color w:val="000000" w:themeColor="text1"/>
          <w:kern w:val="0"/>
          <w:sz w:val="24"/>
          <w:lang w:val="en-US" w:eastAsia="zh-CN"/>
          <w14:textFill>
            <w14:solidFill>
              <w14:schemeClr w14:val="tx1"/>
            </w14:solidFill>
          </w14:textFill>
        </w:rPr>
        <w:t>在</w:t>
      </w:r>
      <w:r>
        <w:rPr>
          <w:rFonts w:hint="eastAsia" w:ascii="Arial Narrow" w:hAnsi="Arial Narrow" w:eastAsia="仿宋_GB2312"/>
          <w:color w:val="000000" w:themeColor="text1"/>
          <w:sz w:val="24"/>
          <w14:textFill>
            <w14:solidFill>
              <w14:schemeClr w14:val="tx1"/>
            </w14:solidFill>
          </w14:textFill>
        </w:rPr>
        <w:t>实施过程中对绩效目标进行监控，在项目实施完毕后开展了绩效自评，形成绩效自评表及自评报告。</w:t>
      </w:r>
    </w:p>
    <w:p w14:paraId="6EB241C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w:t>
      </w:r>
      <w:r>
        <w:rPr>
          <w:rFonts w:ascii="Arial Narrow" w:hAnsi="Arial Narrow" w:eastAsia="仿宋_GB2312"/>
          <w:sz w:val="24"/>
        </w:rPr>
        <w:t>3</w:t>
      </w:r>
      <w:r>
        <w:rPr>
          <w:rFonts w:hint="eastAsia" w:ascii="Arial Narrow" w:hAnsi="Arial Narrow" w:eastAsia="仿宋_GB2312"/>
          <w:sz w:val="24"/>
        </w:rPr>
        <w:t>个项目绩效基本达到预期。</w:t>
      </w:r>
    </w:p>
    <w:p w14:paraId="039E62D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sz w:val="24"/>
          <w:lang w:eastAsia="zh-CN"/>
        </w:rPr>
        <w:t>.</w:t>
      </w:r>
      <w:r>
        <w:rPr>
          <w:rFonts w:hint="eastAsia" w:ascii="Arial Narrow" w:hAnsi="Arial Narrow" w:eastAsia="仿宋_GB2312"/>
          <w:sz w:val="24"/>
        </w:rPr>
        <w:t>项目建设管理情况</w:t>
      </w:r>
    </w:p>
    <w:p w14:paraId="579FB20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农村饮水提升项目（东城）项目按照</w:t>
      </w:r>
      <w:r>
        <w:rPr>
          <w:rFonts w:hint="eastAsia" w:ascii="Arial Narrow" w:hAnsi="Arial Narrow" w:eastAsia="仿宋_GB2312"/>
          <w:sz w:val="24"/>
        </w:rPr>
        <w:t>《重庆市铜梁区水利局关于东城街道2023年农村饮水安全巩固提升工程增加工程量的复函》（铜水发〔2023〕</w:t>
      </w:r>
      <w:r>
        <w:rPr>
          <w:rFonts w:ascii="Arial Narrow" w:hAnsi="Arial Narrow" w:eastAsia="仿宋_GB2312"/>
          <w:sz w:val="24"/>
        </w:rPr>
        <w:t>127</w:t>
      </w:r>
      <w:r>
        <w:rPr>
          <w:rFonts w:hint="eastAsia" w:ascii="Arial Narrow" w:hAnsi="Arial Narrow" w:eastAsia="仿宋_GB2312"/>
          <w:sz w:val="24"/>
        </w:rPr>
        <w:t>号）变更内容，增加水星村、安全村等6个村入户水表及配套管件采购。监理日志总监审签缺失</w:t>
      </w:r>
      <w:r>
        <w:rPr>
          <w:rFonts w:hint="eastAsia" w:ascii="Arial Narrow" w:hAnsi="Arial Narrow" w:eastAsia="仿宋_GB2312"/>
          <w:sz w:val="24"/>
          <w:lang w:eastAsia="zh-CN"/>
        </w:rPr>
        <w:t>，</w:t>
      </w:r>
      <w:r>
        <w:rPr>
          <w:rFonts w:hint="eastAsia" w:ascii="Arial Narrow" w:hAnsi="Arial Narrow" w:eastAsia="仿宋_GB2312"/>
          <w:sz w:val="24"/>
          <w:lang w:val="en-US" w:eastAsia="zh-CN"/>
        </w:rPr>
        <w:t>扣分0.5分。</w:t>
      </w:r>
    </w:p>
    <w:p w14:paraId="21A1BB9D">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cs="宋体"/>
          <w:kern w:val="0"/>
          <w:sz w:val="24"/>
        </w:rPr>
        <w:t>农村饮水安全巩固提升工程（土桥镇）</w:t>
      </w:r>
      <w:r>
        <w:rPr>
          <w:rFonts w:hint="eastAsia" w:ascii="Arial Narrow" w:hAnsi="Arial Narrow" w:eastAsia="仿宋_GB2312"/>
          <w:sz w:val="24"/>
        </w:rPr>
        <w:t>项目按照《重庆市铜梁区水利局关于铜梁区土桥镇2023年农村饮水安全巩固提升工程实施方案变更的批复》（铜水发〔2023〕256号）变更内容，主要包括原设计供水管道长度变化，新增入户管道及水表组件。</w:t>
      </w:r>
    </w:p>
    <w:p w14:paraId="52503C93">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实施过程中由</w:t>
      </w:r>
      <w:r>
        <w:rPr>
          <w:rFonts w:hint="eastAsia" w:ascii="Arial Narrow" w:hAnsi="Arial Narrow" w:eastAsia="仿宋_GB2312" w:cs="宋体"/>
          <w:kern w:val="0"/>
          <w:sz w:val="24"/>
        </w:rPr>
        <w:t>重庆市铜梁区水利局</w:t>
      </w:r>
      <w:r>
        <w:rPr>
          <w:rFonts w:hint="eastAsia" w:ascii="Arial Narrow" w:hAnsi="Arial Narrow" w:eastAsia="仿宋_GB2312"/>
          <w:sz w:val="24"/>
        </w:rPr>
        <w:t>进行监督检查，检查中未发现重大问题，项目按照实施节点按时提交项目报账资料。</w:t>
      </w:r>
    </w:p>
    <w:p w14:paraId="5047924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公益性岗位项目不涉及项目建设管理。</w:t>
      </w:r>
    </w:p>
    <w:p w14:paraId="671DE68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ascii="Arial Narrow" w:hAnsi="Arial Narrow" w:eastAsia="仿宋_GB2312"/>
          <w:sz w:val="24"/>
          <w:lang w:eastAsia="zh-CN"/>
        </w:rPr>
        <w:t>.</w:t>
      </w:r>
      <w:r>
        <w:rPr>
          <w:rFonts w:hint="eastAsia" w:ascii="Arial Narrow" w:hAnsi="Arial Narrow" w:eastAsia="仿宋_GB2312"/>
          <w:sz w:val="24"/>
        </w:rPr>
        <w:t>预算执行率情况</w:t>
      </w:r>
    </w:p>
    <w:p w14:paraId="18010CF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农村饮水提升项目（东城）项目</w:t>
      </w:r>
      <w:r>
        <w:rPr>
          <w:rFonts w:hint="eastAsia" w:ascii="Arial Narrow" w:hAnsi="Arial Narrow" w:eastAsia="仿宋_GB2312"/>
          <w:sz w:val="24"/>
        </w:rPr>
        <w:t>最后一笔款项拨付于2023年12月21日</w:t>
      </w:r>
      <w:r>
        <w:rPr>
          <w:rFonts w:hint="eastAsia" w:ascii="Arial Narrow" w:hAnsi="Arial Narrow" w:eastAsia="仿宋_GB2312"/>
          <w:sz w:val="24"/>
          <w:lang w:eastAsia="zh-CN"/>
        </w:rPr>
        <w:t>，</w:t>
      </w:r>
      <w:r>
        <w:rPr>
          <w:rFonts w:hint="eastAsia" w:ascii="Arial Narrow" w:hAnsi="Arial Narrow" w:eastAsia="仿宋_GB2312"/>
          <w:sz w:val="24"/>
          <w:lang w:val="en-US" w:eastAsia="zh-CN"/>
        </w:rPr>
        <w:t>整体支付进度达标，</w:t>
      </w:r>
      <w:r>
        <w:rPr>
          <w:rFonts w:hint="eastAsia" w:ascii="Arial Narrow" w:hAnsi="Arial Narrow" w:eastAsia="仿宋_GB2312"/>
          <w:sz w:val="24"/>
        </w:rPr>
        <w:t>，未见明显异常</w:t>
      </w:r>
      <w:r>
        <w:rPr>
          <w:rFonts w:hint="eastAsia" w:ascii="Arial Narrow" w:hAnsi="Arial Narrow" w:eastAsia="仿宋_GB2312"/>
          <w:sz w:val="24"/>
          <w:lang w:eastAsia="zh-CN"/>
        </w:rPr>
        <w:t>；</w:t>
      </w:r>
      <w:r>
        <w:rPr>
          <w:rFonts w:hint="eastAsia" w:ascii="Arial Narrow" w:hAnsi="Arial Narrow" w:eastAsia="仿宋_GB2312" w:cs="宋体"/>
          <w:kern w:val="0"/>
          <w:sz w:val="24"/>
        </w:rPr>
        <w:t>农村饮水安全巩固提升工程（土桥镇）</w:t>
      </w:r>
      <w:r>
        <w:rPr>
          <w:rFonts w:hint="eastAsia" w:ascii="Arial Narrow" w:hAnsi="Arial Narrow" w:eastAsia="仿宋_GB2312"/>
          <w:sz w:val="24"/>
        </w:rPr>
        <w:t>项目最后一笔款项拨付于2023年12月27日</w:t>
      </w:r>
      <w:r>
        <w:rPr>
          <w:rFonts w:hint="eastAsia" w:ascii="Arial Narrow" w:hAnsi="Arial Narrow" w:eastAsia="仿宋_GB2312"/>
          <w:sz w:val="24"/>
          <w:lang w:eastAsia="zh-CN"/>
        </w:rPr>
        <w:t>，</w:t>
      </w:r>
      <w:r>
        <w:rPr>
          <w:rFonts w:hint="eastAsia" w:ascii="Arial Narrow" w:hAnsi="Arial Narrow" w:eastAsia="仿宋_GB2312"/>
          <w:sz w:val="24"/>
          <w:lang w:val="en-US" w:eastAsia="zh-CN"/>
        </w:rPr>
        <w:t>整体支付进度较慢，扣分10.47分</w:t>
      </w:r>
      <w:r>
        <w:rPr>
          <w:rFonts w:hint="eastAsia" w:ascii="Arial Narrow" w:hAnsi="Arial Narrow" w:eastAsia="仿宋_GB2312"/>
          <w:sz w:val="24"/>
        </w:rPr>
        <w:t>；</w:t>
      </w:r>
      <w:r>
        <w:rPr>
          <w:rFonts w:hint="eastAsia" w:ascii="Arial Narrow" w:hAnsi="Arial Narrow" w:eastAsia="仿宋_GB2312" w:cs="宋体"/>
          <w:kern w:val="0"/>
          <w:sz w:val="24"/>
        </w:rPr>
        <w:t>公益性岗位项目</w:t>
      </w:r>
      <w:r>
        <w:rPr>
          <w:rFonts w:hint="eastAsia" w:ascii="Arial Narrow" w:hAnsi="Arial Narrow" w:eastAsia="仿宋_GB2312"/>
          <w:sz w:val="24"/>
        </w:rPr>
        <w:t>最后一笔款项拨付于2023年10月12日，未见明显异常。</w:t>
      </w:r>
    </w:p>
    <w:p w14:paraId="0F22609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w:t>
      </w:r>
      <w:r>
        <w:rPr>
          <w:rFonts w:hint="eastAsia" w:ascii="Arial Narrow" w:hAnsi="Arial Narrow" w:eastAsia="仿宋_GB2312"/>
          <w:sz w:val="24"/>
          <w:lang w:eastAsia="zh-CN"/>
        </w:rPr>
        <w:t>.</w:t>
      </w:r>
      <w:r>
        <w:rPr>
          <w:rFonts w:hint="eastAsia" w:ascii="Arial Narrow" w:hAnsi="Arial Narrow" w:eastAsia="仿宋_GB2312"/>
          <w:sz w:val="24"/>
        </w:rPr>
        <w:t>跟踪督促及发现问题整改情况</w:t>
      </w:r>
    </w:p>
    <w:p w14:paraId="62B760F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0A1BCBE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ascii="Arial Narrow" w:hAnsi="Arial Narrow" w:eastAsia="仿宋_GB2312"/>
          <w:sz w:val="24"/>
          <w:lang w:eastAsia="zh-CN"/>
        </w:rPr>
        <w:t>.</w:t>
      </w:r>
      <w:r>
        <w:rPr>
          <w:rFonts w:hint="eastAsia" w:ascii="Arial Narrow" w:hAnsi="Arial Narrow" w:eastAsia="仿宋_GB2312"/>
          <w:sz w:val="24"/>
        </w:rPr>
        <w:t>账务处理及档案管理等情况</w:t>
      </w:r>
    </w:p>
    <w:p w14:paraId="3436BB7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105D901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ascii="Arial Narrow" w:hAnsi="Arial Narrow" w:eastAsia="仿宋_GB2312"/>
          <w:sz w:val="24"/>
          <w:lang w:eastAsia="zh-CN"/>
        </w:rPr>
        <w:t>.</w:t>
      </w:r>
      <w:r>
        <w:rPr>
          <w:rFonts w:hint="eastAsia" w:ascii="Arial Narrow" w:hAnsi="Arial Narrow" w:eastAsia="仿宋_GB2312"/>
          <w:sz w:val="24"/>
        </w:rPr>
        <w:t>信息公开和公告公示制度落实情况</w:t>
      </w:r>
    </w:p>
    <w:p w14:paraId="6C110FC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项目实施单位</w:t>
      </w:r>
      <w:r>
        <w:rPr>
          <w:rFonts w:hint="eastAsia" w:ascii="Arial Narrow" w:hAnsi="Arial Narrow" w:eastAsia="仿宋_GB2312"/>
          <w:sz w:val="24"/>
        </w:rPr>
        <w:t>对</w:t>
      </w:r>
      <w:r>
        <w:rPr>
          <w:rFonts w:hint="eastAsia" w:ascii="Arial Narrow" w:hAnsi="Arial Narrow" w:eastAsia="仿宋_GB2312" w:cs="宋体"/>
          <w:kern w:val="0"/>
          <w:sz w:val="24"/>
        </w:rPr>
        <w:t>农村饮水安全巩固提升工程（土桥镇）项</w:t>
      </w:r>
      <w:r>
        <w:rPr>
          <w:rFonts w:hint="eastAsia" w:ascii="Arial Narrow" w:hAnsi="Arial Narrow" w:eastAsia="仿宋_GB2312" w:cs="宋体"/>
          <w:color w:val="000000" w:themeColor="text1"/>
          <w:kern w:val="0"/>
          <w:sz w:val="24"/>
          <w14:textFill>
            <w14:solidFill>
              <w14:schemeClr w14:val="tx1"/>
            </w14:solidFill>
          </w14:textFill>
        </w:rPr>
        <w:t>目、农村饮水提升项目（东城）</w:t>
      </w:r>
      <w:r>
        <w:rPr>
          <w:rFonts w:hint="eastAsia" w:ascii="Arial Narrow" w:hAnsi="Arial Narrow" w:eastAsia="仿宋_GB2312"/>
          <w:sz w:val="24"/>
        </w:rPr>
        <w:t>项目入库情况、资金计划完成情况等进行了公告公示，</w:t>
      </w:r>
      <w:r>
        <w:rPr>
          <w:rFonts w:hint="eastAsia" w:ascii="Arial Narrow" w:hAnsi="Arial Narrow" w:eastAsia="仿宋_GB2312" w:cs="宋体"/>
          <w:kern w:val="0"/>
          <w:sz w:val="24"/>
        </w:rPr>
        <w:t>公益性岗位项目资金使用情况、绩效目标公示和公益性岗位人员进行了公告公示</w:t>
      </w:r>
      <w:r>
        <w:rPr>
          <w:rFonts w:hint="eastAsia" w:ascii="Arial Narrow" w:hAnsi="Arial Narrow" w:eastAsia="仿宋_GB2312"/>
          <w:sz w:val="24"/>
        </w:rPr>
        <w:t>。</w:t>
      </w:r>
    </w:p>
    <w:p w14:paraId="1AB3DE5B">
      <w:pPr>
        <w:spacing w:line="360" w:lineRule="auto"/>
        <w:ind w:firstLine="482" w:firstLineChars="200"/>
        <w:jc w:val="left"/>
        <w:outlineLvl w:val="0"/>
        <w:rPr>
          <w:rFonts w:ascii="仿宋_GB2312" w:eastAsia="仿宋_GB2312"/>
          <w:b/>
          <w:sz w:val="24"/>
        </w:rPr>
      </w:pPr>
      <w:bookmarkStart w:id="26" w:name="_Toc15457"/>
      <w:r>
        <w:rPr>
          <w:rFonts w:hint="eastAsia" w:ascii="仿宋_GB2312" w:eastAsia="仿宋_GB2312"/>
          <w:b/>
          <w:sz w:val="24"/>
        </w:rPr>
        <w:t>（三）使用成效及通报情况</w:t>
      </w:r>
      <w:bookmarkEnd w:id="26"/>
    </w:p>
    <w:p w14:paraId="0A65C766">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eastAsia="zh-CN"/>
        </w:rPr>
        <w:t>.</w:t>
      </w:r>
      <w:r>
        <w:rPr>
          <w:rFonts w:hint="eastAsia" w:ascii="Arial Narrow" w:hAnsi="Arial Narrow" w:eastAsia="仿宋_GB2312"/>
          <w:sz w:val="24"/>
        </w:rPr>
        <w:t>资金使用效益</w:t>
      </w:r>
    </w:p>
    <w:p w14:paraId="6F7B5B8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项目总体资金均专款专用，项目完成进度和及时性达到计划预期目的，完成了绩效目标。</w:t>
      </w:r>
    </w:p>
    <w:p w14:paraId="23E164E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eastAsia="zh-CN"/>
        </w:rPr>
        <w:t>.</w:t>
      </w:r>
      <w:r>
        <w:rPr>
          <w:rFonts w:hint="eastAsia" w:ascii="Arial Narrow" w:hAnsi="Arial Narrow" w:eastAsia="仿宋_GB2312"/>
          <w:sz w:val="24"/>
        </w:rPr>
        <w:t>通报情况</w:t>
      </w:r>
    </w:p>
    <w:p w14:paraId="5616793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项目实施管理日常表现良好，未被通报问题和反馈情况。</w:t>
      </w:r>
    </w:p>
    <w:p w14:paraId="07A2CDB5">
      <w:pPr>
        <w:spacing w:line="360" w:lineRule="auto"/>
        <w:ind w:firstLine="482" w:firstLineChars="200"/>
        <w:outlineLvl w:val="0"/>
        <w:rPr>
          <w:rFonts w:ascii="Arial Narrow" w:hAnsi="Arial Narrow" w:eastAsia="仿宋_GB2312"/>
          <w:b/>
          <w:sz w:val="24"/>
        </w:rPr>
      </w:pPr>
      <w:bookmarkStart w:id="27" w:name="_Toc31129"/>
      <w:r>
        <w:rPr>
          <w:rFonts w:hint="eastAsia" w:ascii="Arial Narrow" w:hAnsi="Arial Narrow" w:eastAsia="仿宋_GB2312"/>
          <w:b/>
          <w:sz w:val="24"/>
        </w:rPr>
        <w:t>五</w:t>
      </w:r>
      <w:r>
        <w:rPr>
          <w:rFonts w:ascii="Arial Narrow" w:hAnsi="Arial Narrow" w:eastAsia="仿宋_GB2312"/>
          <w:b/>
          <w:sz w:val="24"/>
        </w:rPr>
        <w:t>、存在的问题和建议</w:t>
      </w:r>
      <w:bookmarkEnd w:id="27"/>
    </w:p>
    <w:p w14:paraId="19F04ACC">
      <w:pPr>
        <w:spacing w:line="360" w:lineRule="auto"/>
        <w:ind w:firstLine="482" w:firstLineChars="200"/>
        <w:jc w:val="left"/>
        <w:outlineLvl w:val="0"/>
        <w:rPr>
          <w:rFonts w:ascii="仿宋_GB2312" w:eastAsia="仿宋_GB2312"/>
          <w:b/>
          <w:sz w:val="24"/>
        </w:rPr>
      </w:pPr>
      <w:bookmarkStart w:id="28" w:name="_Toc16234"/>
      <w:r>
        <w:rPr>
          <w:rFonts w:hint="eastAsia" w:ascii="仿宋_GB2312" w:eastAsia="仿宋_GB2312"/>
          <w:b/>
          <w:sz w:val="24"/>
        </w:rPr>
        <w:t>（一）存在问题</w:t>
      </w:r>
      <w:bookmarkEnd w:id="28"/>
    </w:p>
    <w:p w14:paraId="57BD9E5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ascii="Arial Narrow" w:hAnsi="Arial Narrow" w:eastAsia="仿宋_GB2312"/>
          <w:sz w:val="24"/>
          <w:lang w:eastAsia="zh-CN"/>
        </w:rPr>
        <w:t>.</w:t>
      </w:r>
      <w:r>
        <w:rPr>
          <w:rFonts w:hint="eastAsia" w:ascii="Arial Narrow" w:hAnsi="Arial Narrow" w:eastAsia="仿宋_GB2312" w:cs="宋体"/>
          <w:color w:val="000000" w:themeColor="text1"/>
          <w:kern w:val="0"/>
          <w:sz w:val="24"/>
          <w14:textFill>
            <w14:solidFill>
              <w14:schemeClr w14:val="tx1"/>
            </w14:solidFill>
          </w14:textFill>
        </w:rPr>
        <w:t>农村饮水提升项目（东城）</w:t>
      </w:r>
      <w:r>
        <w:rPr>
          <w:rFonts w:hint="eastAsia" w:ascii="Arial Narrow" w:hAnsi="Arial Narrow" w:eastAsia="仿宋_GB2312"/>
          <w:sz w:val="24"/>
        </w:rPr>
        <w:t>项目，2023年11月27日水利局完成绩效自评报告，2023年12月21日业主单位将最后一笔款项支付给施工单位，绩效自评报告中含有共支出项目资金370万元，此项目款项尚未支出完毕已形成绩效自评报告。</w:t>
      </w:r>
    </w:p>
    <w:p w14:paraId="12B4357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eastAsia="zh-CN"/>
        </w:rPr>
        <w:t>.</w:t>
      </w:r>
      <w:r>
        <w:rPr>
          <w:rFonts w:hint="eastAsia" w:ascii="Arial Narrow" w:hAnsi="Arial Narrow" w:eastAsia="仿宋_GB2312"/>
          <w:sz w:val="24"/>
        </w:rPr>
        <w:t>部分项目资金拨付进度较晚，最后一笔款于2023年12月支出。</w:t>
      </w:r>
    </w:p>
    <w:p w14:paraId="02C70D9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sz w:val="24"/>
          <w:lang w:eastAsia="zh-CN"/>
        </w:rPr>
        <w:t>.</w:t>
      </w:r>
      <w:r>
        <w:rPr>
          <w:rFonts w:hint="eastAsia" w:ascii="Arial Narrow" w:hAnsi="Arial Narrow" w:eastAsia="仿宋_GB2312"/>
          <w:sz w:val="24"/>
        </w:rPr>
        <w:t>部分监理报告总监未签阅。</w:t>
      </w:r>
    </w:p>
    <w:p w14:paraId="0FDEECE6">
      <w:pPr>
        <w:spacing w:line="360" w:lineRule="auto"/>
        <w:ind w:firstLine="482" w:firstLineChars="200"/>
        <w:jc w:val="left"/>
        <w:outlineLvl w:val="0"/>
        <w:rPr>
          <w:rFonts w:ascii="仿宋_GB2312" w:eastAsia="仿宋_GB2312"/>
          <w:b/>
          <w:sz w:val="24"/>
        </w:rPr>
      </w:pPr>
      <w:bookmarkStart w:id="29" w:name="_Toc31292"/>
      <w:r>
        <w:rPr>
          <w:rFonts w:hint="eastAsia" w:ascii="仿宋_GB2312" w:eastAsia="仿宋_GB2312"/>
          <w:b/>
          <w:sz w:val="24"/>
        </w:rPr>
        <w:t>（二）建议</w:t>
      </w:r>
      <w:bookmarkEnd w:id="29"/>
    </w:p>
    <w:p w14:paraId="3C09852C">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eastAsia="zh-CN"/>
        </w:rPr>
        <w:t>.</w:t>
      </w:r>
      <w:r>
        <w:rPr>
          <w:rStyle w:val="11"/>
          <w:rFonts w:hint="eastAsia" w:ascii="Arial Narrow" w:hAnsi="Arial Narrow" w:eastAsia="仿宋_GB2312"/>
          <w:color w:val="auto"/>
          <w:sz w:val="24"/>
          <w:u w:val="none"/>
        </w:rPr>
        <w:t>项目款项支付完毕后再展开自评程序，完善自评表、自评报告，总结项目经验，为巩固拓展脱贫攻坚成果同乡村振兴有效衔接决策和分配财政专项衔接资金提供重要参考。</w:t>
      </w:r>
    </w:p>
    <w:p w14:paraId="6787CEA0">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2</w:t>
      </w:r>
      <w:r>
        <w:rPr>
          <w:rStyle w:val="11"/>
          <w:rFonts w:hint="eastAsia" w:ascii="Arial Narrow" w:hAnsi="Arial Narrow" w:eastAsia="仿宋_GB2312"/>
          <w:color w:val="auto"/>
          <w:sz w:val="24"/>
          <w:u w:val="none"/>
          <w:lang w:eastAsia="zh-CN"/>
        </w:rPr>
        <w:t>.</w:t>
      </w:r>
      <w:r>
        <w:rPr>
          <w:rStyle w:val="11"/>
          <w:rFonts w:hint="eastAsia" w:ascii="Arial Narrow" w:hAnsi="Arial Narrow" w:eastAsia="仿宋_GB2312"/>
          <w:color w:val="auto"/>
          <w:sz w:val="24"/>
          <w:u w:val="none"/>
        </w:rPr>
        <w:t>严格按照财政资金预算执行，及时拨付项目资金。针对财政专项资金，建议实施单位在规定时间内支付项目资金,杜绝资金滞留、挤占、截留、挪用等现象的发生。</w:t>
      </w:r>
    </w:p>
    <w:p w14:paraId="4A31F53F">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3</w:t>
      </w:r>
      <w:r>
        <w:rPr>
          <w:rStyle w:val="11"/>
          <w:rFonts w:hint="eastAsia" w:ascii="Arial Narrow" w:hAnsi="Arial Narrow" w:eastAsia="仿宋_GB2312"/>
          <w:color w:val="auto"/>
          <w:sz w:val="24"/>
          <w:u w:val="none"/>
          <w:lang w:eastAsia="zh-CN"/>
        </w:rPr>
        <w:t>.</w:t>
      </w:r>
      <w:r>
        <w:rPr>
          <w:rStyle w:val="11"/>
          <w:rFonts w:hint="eastAsia" w:ascii="Arial Narrow" w:hAnsi="Arial Narrow" w:eastAsia="仿宋_GB2312"/>
          <w:color w:val="auto"/>
          <w:sz w:val="24"/>
          <w:u w:val="none"/>
        </w:rPr>
        <w:t>加强对监理单位的监督，完善监理日志的审签程序。</w:t>
      </w:r>
    </w:p>
    <w:p w14:paraId="6115E4C1">
      <w:pPr>
        <w:adjustRightInd w:val="0"/>
        <w:snapToGrid w:val="0"/>
        <w:spacing w:line="360" w:lineRule="auto"/>
        <w:ind w:firstLine="480" w:firstLineChars="200"/>
        <w:rPr>
          <w:rStyle w:val="11"/>
          <w:rFonts w:ascii="Arial Narrow" w:hAnsi="Arial Narrow" w:eastAsia="仿宋_GB2312"/>
          <w:color w:val="auto"/>
          <w:sz w:val="24"/>
          <w:u w:val="none"/>
        </w:rPr>
      </w:pPr>
    </w:p>
    <w:p w14:paraId="7F6D73E9">
      <w:pPr>
        <w:adjustRightInd w:val="0"/>
        <w:snapToGrid w:val="0"/>
        <w:spacing w:line="360" w:lineRule="auto"/>
        <w:ind w:firstLine="480" w:firstLineChars="200"/>
        <w:rPr>
          <w:rStyle w:val="11"/>
          <w:rFonts w:ascii="Arial Narrow" w:hAnsi="Arial Narrow" w:eastAsia="仿宋_GB2312"/>
          <w:color w:val="auto"/>
          <w:sz w:val="24"/>
          <w:u w:val="none"/>
        </w:rPr>
      </w:pPr>
    </w:p>
    <w:p w14:paraId="61B8D4DE">
      <w:pPr>
        <w:adjustRightInd w:val="0"/>
        <w:snapToGrid w:val="0"/>
        <w:spacing w:line="360" w:lineRule="auto"/>
        <w:ind w:firstLine="480" w:firstLineChars="200"/>
        <w:rPr>
          <w:rStyle w:val="11"/>
          <w:rFonts w:ascii="Arial Narrow" w:hAnsi="Arial Narrow" w:eastAsia="仿宋_GB2312"/>
          <w:color w:val="auto"/>
          <w:sz w:val="24"/>
          <w:u w:val="none"/>
        </w:rPr>
      </w:pPr>
    </w:p>
    <w:p w14:paraId="086B4FAA">
      <w:pPr>
        <w:adjustRightInd w:val="0"/>
        <w:snapToGrid w:val="0"/>
        <w:spacing w:line="360" w:lineRule="auto"/>
        <w:ind w:firstLine="420" w:firstLineChars="200"/>
        <w:rPr>
          <w:rStyle w:val="11"/>
          <w:color w:val="auto"/>
          <w:u w:val="none"/>
        </w:rPr>
      </w:pPr>
    </w:p>
    <w:p w14:paraId="3ADDFF05">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绩效评价指标体系及评分结果表；</w:t>
      </w:r>
    </w:p>
    <w:p w14:paraId="277F474B">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18298AAF">
      <w:pPr>
        <w:adjustRightInd w:val="0"/>
        <w:snapToGrid w:val="0"/>
        <w:spacing w:line="360" w:lineRule="auto"/>
        <w:rPr>
          <w:rStyle w:val="11"/>
          <w:rFonts w:ascii="Arial Narrow" w:hAnsi="Arial Narrow" w:eastAsia="仿宋_GB2312"/>
          <w:color w:val="auto"/>
          <w:sz w:val="24"/>
          <w:u w:val="none"/>
        </w:rPr>
      </w:pPr>
    </w:p>
    <w:p w14:paraId="7C7D7261">
      <w:pPr>
        <w:adjustRightInd w:val="0"/>
        <w:snapToGrid w:val="0"/>
        <w:spacing w:line="360" w:lineRule="auto"/>
        <w:ind w:firstLine="720" w:firstLineChars="300"/>
        <w:rPr>
          <w:rStyle w:val="11"/>
          <w:rFonts w:ascii="Arial Narrow" w:hAnsi="Arial Narrow" w:eastAsia="仿宋_GB2312"/>
          <w:color w:val="auto"/>
          <w:sz w:val="24"/>
          <w:u w:val="none"/>
        </w:rPr>
      </w:pPr>
    </w:p>
    <w:p w14:paraId="6E9D767F">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2AB0BC1A">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30" w:name="_GoBack"/>
      <w:bookmarkEnd w:id="30"/>
      <w:r>
        <w:rPr>
          <w:rStyle w:val="11"/>
          <w:rFonts w:hint="eastAsia" w:ascii="Arial Narrow" w:hAnsi="Arial Narrow" w:eastAsia="仿宋_GB2312"/>
          <w:color w:val="auto"/>
          <w:sz w:val="24"/>
          <w:u w:val="none"/>
        </w:rPr>
        <w:t>二四年六月二十四日</w:t>
      </w:r>
    </w:p>
    <w:sectPr>
      <w:pgSz w:w="11907" w:h="16840" w:orient="landscape"/>
      <w:pgMar w:top="1418" w:right="1418"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70FA3">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549A7">
    <w:pPr>
      <w:pStyle w:val="5"/>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82B62">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640C"/>
    <w:rsid w:val="00060BD2"/>
    <w:rsid w:val="00063E0B"/>
    <w:rsid w:val="000769EE"/>
    <w:rsid w:val="00086622"/>
    <w:rsid w:val="00087AFF"/>
    <w:rsid w:val="000D1A3B"/>
    <w:rsid w:val="000E4529"/>
    <w:rsid w:val="000E6A52"/>
    <w:rsid w:val="0010003E"/>
    <w:rsid w:val="00104568"/>
    <w:rsid w:val="00135A03"/>
    <w:rsid w:val="00143A99"/>
    <w:rsid w:val="00152152"/>
    <w:rsid w:val="00164C87"/>
    <w:rsid w:val="001A42EB"/>
    <w:rsid w:val="001C6F32"/>
    <w:rsid w:val="001E0132"/>
    <w:rsid w:val="001F3624"/>
    <w:rsid w:val="001F43AE"/>
    <w:rsid w:val="002056E5"/>
    <w:rsid w:val="00216472"/>
    <w:rsid w:val="00224D96"/>
    <w:rsid w:val="00226E7E"/>
    <w:rsid w:val="0024139B"/>
    <w:rsid w:val="00276D1C"/>
    <w:rsid w:val="00282997"/>
    <w:rsid w:val="002C083D"/>
    <w:rsid w:val="002C36AE"/>
    <w:rsid w:val="002C5020"/>
    <w:rsid w:val="002C7EFA"/>
    <w:rsid w:val="00324E2F"/>
    <w:rsid w:val="00327BED"/>
    <w:rsid w:val="00331DC5"/>
    <w:rsid w:val="00336ACA"/>
    <w:rsid w:val="0037066E"/>
    <w:rsid w:val="00384C3C"/>
    <w:rsid w:val="003879CE"/>
    <w:rsid w:val="003A00D8"/>
    <w:rsid w:val="003B42BF"/>
    <w:rsid w:val="00414A58"/>
    <w:rsid w:val="004200C2"/>
    <w:rsid w:val="00420AA7"/>
    <w:rsid w:val="00421C71"/>
    <w:rsid w:val="00470930"/>
    <w:rsid w:val="004A6242"/>
    <w:rsid w:val="004C1F3A"/>
    <w:rsid w:val="004C38B4"/>
    <w:rsid w:val="004D1145"/>
    <w:rsid w:val="004D2A6E"/>
    <w:rsid w:val="004E6833"/>
    <w:rsid w:val="004F7A0F"/>
    <w:rsid w:val="00501A64"/>
    <w:rsid w:val="00506023"/>
    <w:rsid w:val="00536985"/>
    <w:rsid w:val="005651CB"/>
    <w:rsid w:val="00572DD6"/>
    <w:rsid w:val="005A02C5"/>
    <w:rsid w:val="005A6053"/>
    <w:rsid w:val="005B468B"/>
    <w:rsid w:val="005D6C0A"/>
    <w:rsid w:val="005E133F"/>
    <w:rsid w:val="005F01BA"/>
    <w:rsid w:val="0061001E"/>
    <w:rsid w:val="0061417A"/>
    <w:rsid w:val="00655510"/>
    <w:rsid w:val="00667D26"/>
    <w:rsid w:val="00673D65"/>
    <w:rsid w:val="0069678B"/>
    <w:rsid w:val="006A58E0"/>
    <w:rsid w:val="006D14F7"/>
    <w:rsid w:val="006E75D6"/>
    <w:rsid w:val="006E7DA1"/>
    <w:rsid w:val="006F7CBD"/>
    <w:rsid w:val="0073019B"/>
    <w:rsid w:val="00730A8E"/>
    <w:rsid w:val="00740AB7"/>
    <w:rsid w:val="00740E9D"/>
    <w:rsid w:val="00741402"/>
    <w:rsid w:val="00765F46"/>
    <w:rsid w:val="007A6BE6"/>
    <w:rsid w:val="00827385"/>
    <w:rsid w:val="00842151"/>
    <w:rsid w:val="00856815"/>
    <w:rsid w:val="008701B6"/>
    <w:rsid w:val="008952B1"/>
    <w:rsid w:val="008C381D"/>
    <w:rsid w:val="008D4F7C"/>
    <w:rsid w:val="008E609D"/>
    <w:rsid w:val="0090729E"/>
    <w:rsid w:val="009309C0"/>
    <w:rsid w:val="0093667D"/>
    <w:rsid w:val="00950E41"/>
    <w:rsid w:val="00983CB7"/>
    <w:rsid w:val="009957B8"/>
    <w:rsid w:val="0099666C"/>
    <w:rsid w:val="009E4352"/>
    <w:rsid w:val="009F1C42"/>
    <w:rsid w:val="00A066D6"/>
    <w:rsid w:val="00A14650"/>
    <w:rsid w:val="00A352D4"/>
    <w:rsid w:val="00A842D9"/>
    <w:rsid w:val="00A922C5"/>
    <w:rsid w:val="00A95CA5"/>
    <w:rsid w:val="00AB5FF4"/>
    <w:rsid w:val="00AC3880"/>
    <w:rsid w:val="00AD0284"/>
    <w:rsid w:val="00AE470F"/>
    <w:rsid w:val="00AF58DD"/>
    <w:rsid w:val="00B134A6"/>
    <w:rsid w:val="00B25A79"/>
    <w:rsid w:val="00B7289F"/>
    <w:rsid w:val="00B94CCE"/>
    <w:rsid w:val="00BA0D07"/>
    <w:rsid w:val="00BA212E"/>
    <w:rsid w:val="00BB3674"/>
    <w:rsid w:val="00BC2692"/>
    <w:rsid w:val="00BC7BED"/>
    <w:rsid w:val="00BD6FFD"/>
    <w:rsid w:val="00C02FB6"/>
    <w:rsid w:val="00C107C7"/>
    <w:rsid w:val="00C12443"/>
    <w:rsid w:val="00C35442"/>
    <w:rsid w:val="00C36A73"/>
    <w:rsid w:val="00C60A62"/>
    <w:rsid w:val="00C93C4A"/>
    <w:rsid w:val="00CB54FB"/>
    <w:rsid w:val="00CC769D"/>
    <w:rsid w:val="00CD06CD"/>
    <w:rsid w:val="00D1562E"/>
    <w:rsid w:val="00D254D3"/>
    <w:rsid w:val="00D26E16"/>
    <w:rsid w:val="00D415D5"/>
    <w:rsid w:val="00DB55F0"/>
    <w:rsid w:val="00DE6E23"/>
    <w:rsid w:val="00DF608E"/>
    <w:rsid w:val="00E065AA"/>
    <w:rsid w:val="00E1059A"/>
    <w:rsid w:val="00E23D6E"/>
    <w:rsid w:val="00E27A95"/>
    <w:rsid w:val="00E66C12"/>
    <w:rsid w:val="00E709E2"/>
    <w:rsid w:val="00E80BDA"/>
    <w:rsid w:val="00EA1C10"/>
    <w:rsid w:val="00EB4610"/>
    <w:rsid w:val="00EB474C"/>
    <w:rsid w:val="00ED0A8C"/>
    <w:rsid w:val="00F024F5"/>
    <w:rsid w:val="00F2011E"/>
    <w:rsid w:val="00F36680"/>
    <w:rsid w:val="00F54C3F"/>
    <w:rsid w:val="00F61D28"/>
    <w:rsid w:val="00F64D50"/>
    <w:rsid w:val="00F6551E"/>
    <w:rsid w:val="00F671F2"/>
    <w:rsid w:val="00F71AE8"/>
    <w:rsid w:val="00F84DF0"/>
    <w:rsid w:val="00FA6718"/>
    <w:rsid w:val="00FD0241"/>
    <w:rsid w:val="00FD1A79"/>
    <w:rsid w:val="00FD5F18"/>
    <w:rsid w:val="00FE1E65"/>
    <w:rsid w:val="00FE5705"/>
    <w:rsid w:val="00FF5AA5"/>
    <w:rsid w:val="02717C9D"/>
    <w:rsid w:val="04860380"/>
    <w:rsid w:val="0C955D75"/>
    <w:rsid w:val="10FD0312"/>
    <w:rsid w:val="120E6874"/>
    <w:rsid w:val="16070E41"/>
    <w:rsid w:val="192D0BBE"/>
    <w:rsid w:val="1DDE35B6"/>
    <w:rsid w:val="1E224ECF"/>
    <w:rsid w:val="23F8605E"/>
    <w:rsid w:val="24FE1558"/>
    <w:rsid w:val="26856A59"/>
    <w:rsid w:val="270731DD"/>
    <w:rsid w:val="2C205FB5"/>
    <w:rsid w:val="31DB5204"/>
    <w:rsid w:val="31F2509E"/>
    <w:rsid w:val="33E52369"/>
    <w:rsid w:val="35284C04"/>
    <w:rsid w:val="357129F4"/>
    <w:rsid w:val="371050B8"/>
    <w:rsid w:val="39383B41"/>
    <w:rsid w:val="3AE11637"/>
    <w:rsid w:val="45947F31"/>
    <w:rsid w:val="4633219A"/>
    <w:rsid w:val="482653F1"/>
    <w:rsid w:val="49770F0E"/>
    <w:rsid w:val="4C5C4D3B"/>
    <w:rsid w:val="4DF1278B"/>
    <w:rsid w:val="4E406076"/>
    <w:rsid w:val="550A17D8"/>
    <w:rsid w:val="561333A5"/>
    <w:rsid w:val="567C0004"/>
    <w:rsid w:val="5C3C3C9D"/>
    <w:rsid w:val="5FB441EA"/>
    <w:rsid w:val="60087B46"/>
    <w:rsid w:val="629B4EDD"/>
    <w:rsid w:val="6414372C"/>
    <w:rsid w:val="666C27E0"/>
    <w:rsid w:val="680E21D8"/>
    <w:rsid w:val="68941F02"/>
    <w:rsid w:val="68CF175C"/>
    <w:rsid w:val="6C0B491D"/>
    <w:rsid w:val="6E551B35"/>
    <w:rsid w:val="7653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8"/>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9D73-7429-4D70-8841-12B1DE174E90}">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6692</Words>
  <Characters>7173</Characters>
  <Lines>59</Lines>
  <Paragraphs>16</Paragraphs>
  <TotalTime>3</TotalTime>
  <ScaleCrop>false</ScaleCrop>
  <LinksUpToDate>false</LinksUpToDate>
  <CharactersWithSpaces>7202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2024-11-20T01:32:25Z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