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5FBDC">
      <w:pPr>
        <w:spacing w:line="360" w:lineRule="auto"/>
        <w:jc w:val="center"/>
        <w:rPr>
          <w:rFonts w:ascii="Arial Narrow" w:hAnsi="Arial Narrow"/>
          <w:b/>
          <w:bCs/>
          <w:sz w:val="36"/>
          <w:szCs w:val="36"/>
        </w:rPr>
      </w:pPr>
    </w:p>
    <w:p w14:paraId="228E780F">
      <w:pPr>
        <w:spacing w:line="360" w:lineRule="auto"/>
        <w:jc w:val="center"/>
        <w:rPr>
          <w:rFonts w:ascii="Arial Narrow" w:hAnsi="Arial Narrow"/>
          <w:b/>
          <w:bCs/>
          <w:sz w:val="36"/>
          <w:szCs w:val="36"/>
        </w:rPr>
      </w:pPr>
    </w:p>
    <w:p w14:paraId="15F5C53F">
      <w:pPr>
        <w:spacing w:line="360" w:lineRule="auto"/>
        <w:jc w:val="center"/>
        <w:rPr>
          <w:rFonts w:ascii="Arial Narrow" w:hAnsi="Arial Narrow"/>
          <w:b/>
          <w:bCs/>
          <w:sz w:val="36"/>
          <w:szCs w:val="36"/>
        </w:rPr>
      </w:pPr>
    </w:p>
    <w:p w14:paraId="0379083C">
      <w:pPr>
        <w:spacing w:line="360" w:lineRule="auto"/>
        <w:jc w:val="center"/>
        <w:rPr>
          <w:rFonts w:ascii="Arial Narrow" w:hAnsi="Arial Narrow"/>
          <w:b/>
          <w:bCs/>
          <w:sz w:val="36"/>
          <w:szCs w:val="36"/>
        </w:rPr>
      </w:pPr>
    </w:p>
    <w:p w14:paraId="4BFE4D2B">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重庆市铜梁区民政局公益性岗位项目</w:t>
      </w:r>
    </w:p>
    <w:p w14:paraId="0F060A7E">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2067BCC1">
      <w:pPr>
        <w:adjustRightInd w:val="0"/>
        <w:snapToGrid w:val="0"/>
        <w:spacing w:line="360" w:lineRule="auto"/>
        <w:jc w:val="center"/>
        <w:rPr>
          <w:rFonts w:ascii="Arial Narrow" w:hAnsi="Arial Narrow"/>
          <w:b/>
          <w:sz w:val="36"/>
          <w:szCs w:val="36"/>
        </w:rPr>
      </w:pPr>
    </w:p>
    <w:p w14:paraId="42E12C14">
      <w:pPr>
        <w:adjustRightInd w:val="0"/>
        <w:snapToGrid w:val="0"/>
        <w:spacing w:line="360" w:lineRule="auto"/>
        <w:jc w:val="center"/>
        <w:rPr>
          <w:rFonts w:ascii="Arial Narrow" w:hAnsi="Arial Narrow"/>
          <w:b/>
          <w:spacing w:val="100"/>
          <w:sz w:val="32"/>
          <w:szCs w:val="32"/>
        </w:rPr>
      </w:pPr>
    </w:p>
    <w:p w14:paraId="7A7D121D">
      <w:pPr>
        <w:adjustRightInd w:val="0"/>
        <w:snapToGrid w:val="0"/>
        <w:spacing w:line="360" w:lineRule="auto"/>
        <w:jc w:val="center"/>
        <w:rPr>
          <w:rFonts w:ascii="Arial Narrow" w:hAnsi="Arial Narrow"/>
          <w:b/>
          <w:spacing w:val="100"/>
          <w:sz w:val="32"/>
          <w:szCs w:val="32"/>
        </w:rPr>
      </w:pPr>
    </w:p>
    <w:p w14:paraId="54D86A39">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59D55D92">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rPr>
        <w:t>49</w:t>
      </w:r>
      <w:r>
        <w:rPr>
          <w:rFonts w:ascii="Arial Narrow" w:hAnsi="Arial Narrow" w:eastAsia="仿宋"/>
          <w:bCs/>
          <w:sz w:val="32"/>
          <w:szCs w:val="32"/>
        </w:rPr>
        <w:t>号</w:t>
      </w:r>
    </w:p>
    <w:p w14:paraId="67A0948B">
      <w:pPr>
        <w:adjustRightInd w:val="0"/>
        <w:snapToGrid w:val="0"/>
        <w:spacing w:line="360" w:lineRule="auto"/>
        <w:jc w:val="center"/>
        <w:rPr>
          <w:rFonts w:ascii="Arial Narrow" w:hAnsi="Arial Narrow"/>
          <w:b/>
          <w:spacing w:val="100"/>
          <w:sz w:val="32"/>
          <w:szCs w:val="32"/>
        </w:rPr>
      </w:pPr>
    </w:p>
    <w:p w14:paraId="6DC4FFF5">
      <w:pPr>
        <w:adjustRightInd w:val="0"/>
        <w:snapToGrid w:val="0"/>
        <w:spacing w:line="360" w:lineRule="auto"/>
        <w:jc w:val="center"/>
        <w:rPr>
          <w:rFonts w:ascii="Arial Narrow" w:hAnsi="Arial Narrow"/>
          <w:b/>
          <w:spacing w:val="100"/>
          <w:sz w:val="32"/>
          <w:szCs w:val="32"/>
        </w:rPr>
      </w:pPr>
    </w:p>
    <w:p w14:paraId="1C4ECD80">
      <w:pPr>
        <w:adjustRightInd w:val="0"/>
        <w:snapToGrid w:val="0"/>
        <w:spacing w:line="360" w:lineRule="auto"/>
        <w:jc w:val="center"/>
        <w:rPr>
          <w:rFonts w:ascii="Arial Narrow" w:hAnsi="Arial Narrow"/>
          <w:b/>
          <w:spacing w:val="100"/>
          <w:sz w:val="32"/>
          <w:szCs w:val="32"/>
        </w:rPr>
      </w:pPr>
    </w:p>
    <w:p w14:paraId="4ABD2C3F">
      <w:pPr>
        <w:adjustRightInd w:val="0"/>
        <w:snapToGrid w:val="0"/>
        <w:spacing w:line="360" w:lineRule="auto"/>
        <w:jc w:val="center"/>
        <w:rPr>
          <w:rFonts w:ascii="Arial Narrow" w:hAnsi="Arial Narrow"/>
          <w:b/>
          <w:spacing w:val="100"/>
          <w:sz w:val="32"/>
          <w:szCs w:val="32"/>
        </w:rPr>
      </w:pPr>
    </w:p>
    <w:p w14:paraId="21AAB02A">
      <w:pPr>
        <w:adjustRightInd w:val="0"/>
        <w:snapToGrid w:val="0"/>
        <w:spacing w:line="360" w:lineRule="auto"/>
        <w:jc w:val="center"/>
        <w:rPr>
          <w:rFonts w:ascii="Arial Narrow" w:hAnsi="Arial Narrow"/>
          <w:b/>
          <w:spacing w:val="100"/>
          <w:sz w:val="32"/>
          <w:szCs w:val="32"/>
        </w:rPr>
      </w:pPr>
    </w:p>
    <w:p w14:paraId="1F7CFDA8">
      <w:pPr>
        <w:adjustRightInd w:val="0"/>
        <w:snapToGrid w:val="0"/>
        <w:spacing w:line="360" w:lineRule="auto"/>
        <w:jc w:val="center"/>
        <w:rPr>
          <w:rFonts w:ascii="Arial Narrow" w:hAnsi="Arial Narrow"/>
          <w:b/>
          <w:spacing w:val="100"/>
          <w:sz w:val="32"/>
          <w:szCs w:val="32"/>
        </w:rPr>
      </w:pPr>
    </w:p>
    <w:p w14:paraId="49E60028">
      <w:pPr>
        <w:adjustRightInd w:val="0"/>
        <w:snapToGrid w:val="0"/>
        <w:spacing w:line="360" w:lineRule="auto"/>
        <w:jc w:val="center"/>
        <w:rPr>
          <w:rFonts w:ascii="Arial Narrow" w:hAnsi="Arial Narrow"/>
          <w:b/>
          <w:spacing w:val="100"/>
          <w:sz w:val="32"/>
          <w:szCs w:val="32"/>
        </w:rPr>
      </w:pPr>
    </w:p>
    <w:p w14:paraId="1D39AA07">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5DE9F55B">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20F5AF51">
      <w:pPr>
        <w:spacing w:line="360" w:lineRule="auto"/>
        <w:jc w:val="center"/>
        <w:rPr>
          <w:rFonts w:ascii="Arial Narrow" w:hAnsi="Arial Narrow"/>
          <w:sz w:val="24"/>
        </w:rPr>
      </w:pPr>
    </w:p>
    <w:p w14:paraId="749BE87E">
      <w:pPr>
        <w:pStyle w:val="7"/>
        <w:tabs>
          <w:tab w:val="right" w:leader="dot" w:pos="8788"/>
          <w:tab w:val="clear" w:pos="8778"/>
        </w:tabs>
      </w:pPr>
      <w:r>
        <w:rPr>
          <w:rStyle w:val="11"/>
          <w:color w:val="auto"/>
          <w:u w:val="none"/>
        </w:rPr>
        <w:fldChar w:fldCharType="begin"/>
      </w:r>
      <w:r>
        <w:rPr>
          <w:rStyle w:val="11"/>
          <w:rFonts w:ascii="仿宋" w:hAnsi="仿宋" w:eastAsia="仿宋"/>
          <w:b w:val="0"/>
          <w:bCs w:val="0"/>
          <w:color w:val="auto"/>
          <w:szCs w:val="21"/>
          <w:u w:val="none"/>
        </w:rPr>
        <w:instrText xml:space="preserve"> TOC \o "1-3" \h \z \u </w:instrText>
      </w:r>
      <w:r>
        <w:rPr>
          <w:rStyle w:val="11"/>
          <w:color w:val="auto"/>
          <w:u w:val="none"/>
        </w:rPr>
        <w:fldChar w:fldCharType="separate"/>
      </w:r>
      <w:r>
        <w:fldChar w:fldCharType="begin"/>
      </w:r>
      <w:r>
        <w:instrText xml:space="preserve"> HYPERLINK \l "_Toc21733" </w:instrText>
      </w:r>
      <w:r>
        <w:fldChar w:fldCharType="separate"/>
      </w:r>
      <w:r>
        <w:t>一、基本情况</w:t>
      </w:r>
      <w:r>
        <w:tab/>
      </w:r>
      <w:r>
        <w:fldChar w:fldCharType="begin"/>
      </w:r>
      <w:r>
        <w:instrText xml:space="preserve"> PAGEREF _Toc21733 \h </w:instrText>
      </w:r>
      <w:r>
        <w:fldChar w:fldCharType="separate"/>
      </w:r>
      <w:r>
        <w:t>1</w:t>
      </w:r>
      <w:r>
        <w:fldChar w:fldCharType="end"/>
      </w:r>
      <w:r>
        <w:fldChar w:fldCharType="end"/>
      </w:r>
    </w:p>
    <w:p w14:paraId="03B84AF5">
      <w:pPr>
        <w:pStyle w:val="7"/>
        <w:tabs>
          <w:tab w:val="right" w:leader="dot" w:pos="8788"/>
          <w:tab w:val="clear" w:pos="8778"/>
        </w:tabs>
      </w:pPr>
      <w:r>
        <w:fldChar w:fldCharType="begin"/>
      </w:r>
      <w:r>
        <w:instrText xml:space="preserve"> HYPERLINK \l "_Toc10726" </w:instrText>
      </w:r>
      <w:r>
        <w:fldChar w:fldCharType="separate"/>
      </w:r>
      <w:r>
        <w:rPr>
          <w:rFonts w:hint="eastAsia"/>
        </w:rPr>
        <w:t>（一）项目情况</w:t>
      </w:r>
      <w:r>
        <w:tab/>
      </w:r>
      <w:r>
        <w:fldChar w:fldCharType="begin"/>
      </w:r>
      <w:r>
        <w:instrText xml:space="preserve"> PAGEREF _Toc10726 \h </w:instrText>
      </w:r>
      <w:r>
        <w:fldChar w:fldCharType="separate"/>
      </w:r>
      <w:r>
        <w:t>1</w:t>
      </w:r>
      <w:r>
        <w:fldChar w:fldCharType="end"/>
      </w:r>
      <w:r>
        <w:fldChar w:fldCharType="end"/>
      </w:r>
    </w:p>
    <w:p w14:paraId="5D14D740">
      <w:pPr>
        <w:pStyle w:val="7"/>
        <w:tabs>
          <w:tab w:val="right" w:leader="dot" w:pos="8788"/>
          <w:tab w:val="clear" w:pos="8778"/>
        </w:tabs>
      </w:pPr>
      <w:r>
        <w:fldChar w:fldCharType="begin"/>
      </w:r>
      <w:r>
        <w:instrText xml:space="preserve"> HYPERLINK \l "_Toc21175" </w:instrText>
      </w:r>
      <w:r>
        <w:fldChar w:fldCharType="separate"/>
      </w:r>
      <w:r>
        <w:t>二、绩效评价工作情况</w:t>
      </w:r>
      <w:r>
        <w:tab/>
      </w:r>
      <w:r>
        <w:fldChar w:fldCharType="begin"/>
      </w:r>
      <w:r>
        <w:instrText xml:space="preserve"> PAGEREF _Toc21175 \h </w:instrText>
      </w:r>
      <w:r>
        <w:fldChar w:fldCharType="separate"/>
      </w:r>
      <w:r>
        <w:t>1</w:t>
      </w:r>
      <w:r>
        <w:fldChar w:fldCharType="end"/>
      </w:r>
      <w:r>
        <w:fldChar w:fldCharType="end"/>
      </w:r>
    </w:p>
    <w:p w14:paraId="64F9184A">
      <w:pPr>
        <w:pStyle w:val="7"/>
        <w:tabs>
          <w:tab w:val="right" w:leader="dot" w:pos="8788"/>
          <w:tab w:val="clear" w:pos="8778"/>
        </w:tabs>
      </w:pPr>
      <w:r>
        <w:fldChar w:fldCharType="begin"/>
      </w:r>
      <w:r>
        <w:instrText xml:space="preserve"> HYPERLINK \l "_Toc7799" </w:instrText>
      </w:r>
      <w:r>
        <w:fldChar w:fldCharType="separate"/>
      </w:r>
      <w:r>
        <w:t>（一）绩效评价目的</w:t>
      </w:r>
      <w:r>
        <w:tab/>
      </w:r>
      <w:r>
        <w:fldChar w:fldCharType="begin"/>
      </w:r>
      <w:r>
        <w:instrText xml:space="preserve"> PAGEREF _Toc7799 \h </w:instrText>
      </w:r>
      <w:r>
        <w:fldChar w:fldCharType="separate"/>
      </w:r>
      <w:r>
        <w:t>1</w:t>
      </w:r>
      <w:r>
        <w:fldChar w:fldCharType="end"/>
      </w:r>
      <w:r>
        <w:fldChar w:fldCharType="end"/>
      </w:r>
    </w:p>
    <w:p w14:paraId="0A672417">
      <w:pPr>
        <w:pStyle w:val="7"/>
        <w:tabs>
          <w:tab w:val="right" w:leader="dot" w:pos="8788"/>
          <w:tab w:val="clear" w:pos="8778"/>
        </w:tabs>
      </w:pPr>
      <w:r>
        <w:fldChar w:fldCharType="begin"/>
      </w:r>
      <w:r>
        <w:instrText xml:space="preserve"> HYPERLINK \l "_Toc28553" </w:instrText>
      </w:r>
      <w:r>
        <w:fldChar w:fldCharType="separate"/>
      </w:r>
      <w:r>
        <w:t>（二）绩效评价的</w:t>
      </w:r>
      <w:r>
        <w:rPr>
          <w:rFonts w:hint="eastAsia"/>
        </w:rPr>
        <w:t>基本内容</w:t>
      </w:r>
      <w:r>
        <w:tab/>
      </w:r>
      <w:r>
        <w:fldChar w:fldCharType="begin"/>
      </w:r>
      <w:r>
        <w:instrText xml:space="preserve"> PAGEREF _Toc28553 \h </w:instrText>
      </w:r>
      <w:r>
        <w:fldChar w:fldCharType="separate"/>
      </w:r>
      <w:r>
        <w:t>1</w:t>
      </w:r>
      <w:r>
        <w:fldChar w:fldCharType="end"/>
      </w:r>
      <w:r>
        <w:fldChar w:fldCharType="end"/>
      </w:r>
    </w:p>
    <w:p w14:paraId="188A1F79">
      <w:pPr>
        <w:pStyle w:val="7"/>
        <w:tabs>
          <w:tab w:val="right" w:leader="dot" w:pos="8788"/>
          <w:tab w:val="clear" w:pos="8778"/>
        </w:tabs>
      </w:pPr>
      <w:r>
        <w:fldChar w:fldCharType="begin"/>
      </w:r>
      <w:r>
        <w:instrText xml:space="preserve"> HYPERLINK \l "_Toc2706" </w:instrText>
      </w:r>
      <w:r>
        <w:fldChar w:fldCharType="separate"/>
      </w:r>
      <w:r>
        <w:t>（三）绩效评价依据</w:t>
      </w:r>
      <w:r>
        <w:tab/>
      </w:r>
      <w:r>
        <w:fldChar w:fldCharType="begin"/>
      </w:r>
      <w:r>
        <w:instrText xml:space="preserve"> PAGEREF _Toc2706 \h </w:instrText>
      </w:r>
      <w:r>
        <w:fldChar w:fldCharType="separate"/>
      </w:r>
      <w:r>
        <w:t>2</w:t>
      </w:r>
      <w:r>
        <w:fldChar w:fldCharType="end"/>
      </w:r>
      <w:r>
        <w:fldChar w:fldCharType="end"/>
      </w:r>
    </w:p>
    <w:p w14:paraId="5667DD44">
      <w:pPr>
        <w:pStyle w:val="7"/>
        <w:tabs>
          <w:tab w:val="right" w:leader="dot" w:pos="8788"/>
          <w:tab w:val="clear" w:pos="8778"/>
        </w:tabs>
      </w:pPr>
      <w:r>
        <w:fldChar w:fldCharType="begin"/>
      </w:r>
      <w:r>
        <w:instrText xml:space="preserve"> HYPERLINK \l "_Toc19760" </w:instrText>
      </w:r>
      <w:r>
        <w:fldChar w:fldCharType="separate"/>
      </w:r>
      <w:r>
        <w:t>（四）绩效评价原则和指标体系</w:t>
      </w:r>
      <w:r>
        <w:tab/>
      </w:r>
      <w:r>
        <w:fldChar w:fldCharType="begin"/>
      </w:r>
      <w:r>
        <w:instrText xml:space="preserve"> PAGEREF _Toc19760 \h </w:instrText>
      </w:r>
      <w:r>
        <w:fldChar w:fldCharType="separate"/>
      </w:r>
      <w:r>
        <w:t>2</w:t>
      </w:r>
      <w:r>
        <w:fldChar w:fldCharType="end"/>
      </w:r>
      <w:r>
        <w:fldChar w:fldCharType="end"/>
      </w:r>
    </w:p>
    <w:p w14:paraId="5D523F5F">
      <w:pPr>
        <w:pStyle w:val="7"/>
        <w:tabs>
          <w:tab w:val="right" w:leader="dot" w:pos="8788"/>
          <w:tab w:val="clear" w:pos="8778"/>
        </w:tabs>
      </w:pPr>
      <w:r>
        <w:fldChar w:fldCharType="begin"/>
      </w:r>
      <w:r>
        <w:instrText xml:space="preserve"> HYPERLINK \l "_Toc20184" </w:instrText>
      </w:r>
      <w:r>
        <w:fldChar w:fldCharType="separate"/>
      </w:r>
      <w:r>
        <w:t>（五）绩效评价标准和评价方法</w:t>
      </w:r>
      <w:r>
        <w:tab/>
      </w:r>
      <w:r>
        <w:fldChar w:fldCharType="begin"/>
      </w:r>
      <w:r>
        <w:instrText xml:space="preserve"> PAGEREF _Toc20184 \h </w:instrText>
      </w:r>
      <w:r>
        <w:fldChar w:fldCharType="separate"/>
      </w:r>
      <w:r>
        <w:t>6</w:t>
      </w:r>
      <w:r>
        <w:fldChar w:fldCharType="end"/>
      </w:r>
      <w:r>
        <w:fldChar w:fldCharType="end"/>
      </w:r>
    </w:p>
    <w:p w14:paraId="5BBCE4EC">
      <w:pPr>
        <w:pStyle w:val="7"/>
        <w:tabs>
          <w:tab w:val="right" w:leader="dot" w:pos="8788"/>
          <w:tab w:val="clear" w:pos="8778"/>
        </w:tabs>
      </w:pPr>
      <w:r>
        <w:fldChar w:fldCharType="begin"/>
      </w:r>
      <w:r>
        <w:instrText xml:space="preserve"> HYPERLINK \l "_Toc8006" </w:instrText>
      </w:r>
      <w:r>
        <w:fldChar w:fldCharType="separate"/>
      </w:r>
      <w:r>
        <w:t>（六）绩效评价工作过程</w:t>
      </w:r>
      <w:r>
        <w:tab/>
      </w:r>
      <w:r>
        <w:fldChar w:fldCharType="begin"/>
      </w:r>
      <w:r>
        <w:instrText xml:space="preserve"> PAGEREF _Toc8006 \h </w:instrText>
      </w:r>
      <w:r>
        <w:fldChar w:fldCharType="separate"/>
      </w:r>
      <w:r>
        <w:t>6</w:t>
      </w:r>
      <w:r>
        <w:fldChar w:fldCharType="end"/>
      </w:r>
      <w:r>
        <w:fldChar w:fldCharType="end"/>
      </w:r>
    </w:p>
    <w:p w14:paraId="5DE5B001">
      <w:pPr>
        <w:pStyle w:val="7"/>
        <w:tabs>
          <w:tab w:val="right" w:leader="dot" w:pos="8788"/>
          <w:tab w:val="clear" w:pos="8778"/>
        </w:tabs>
      </w:pPr>
      <w:r>
        <w:fldChar w:fldCharType="begin"/>
      </w:r>
      <w:r>
        <w:instrText xml:space="preserve"> HYPERLINK \l "_Toc22526" </w:instrText>
      </w:r>
      <w:r>
        <w:fldChar w:fldCharType="separate"/>
      </w:r>
      <w:r>
        <w:t>三、</w:t>
      </w:r>
      <w:r>
        <w:rPr>
          <w:rFonts w:hint="eastAsia"/>
        </w:rPr>
        <w:t>项目</w:t>
      </w:r>
      <w:r>
        <w:t>评价结论</w:t>
      </w:r>
      <w:r>
        <w:tab/>
      </w:r>
      <w:r>
        <w:fldChar w:fldCharType="begin"/>
      </w:r>
      <w:r>
        <w:instrText xml:space="preserve"> PAGEREF _Toc22526 \h </w:instrText>
      </w:r>
      <w:r>
        <w:fldChar w:fldCharType="separate"/>
      </w:r>
      <w:r>
        <w:t>6</w:t>
      </w:r>
      <w:r>
        <w:fldChar w:fldCharType="end"/>
      </w:r>
      <w:r>
        <w:fldChar w:fldCharType="end"/>
      </w:r>
    </w:p>
    <w:p w14:paraId="5551439F">
      <w:pPr>
        <w:pStyle w:val="7"/>
        <w:tabs>
          <w:tab w:val="right" w:leader="dot" w:pos="8788"/>
          <w:tab w:val="clear" w:pos="8778"/>
        </w:tabs>
      </w:pPr>
      <w:r>
        <w:fldChar w:fldCharType="begin"/>
      </w:r>
      <w:r>
        <w:instrText xml:space="preserve"> HYPERLINK \l "_Toc28994" </w:instrText>
      </w:r>
      <w:r>
        <w:fldChar w:fldCharType="separate"/>
      </w:r>
      <w:r>
        <w:rPr>
          <w:rFonts w:hint="eastAsia"/>
        </w:rPr>
        <w:t>四、</w:t>
      </w:r>
      <w:r>
        <w:t>综合评价情况</w:t>
      </w:r>
      <w:r>
        <w:tab/>
      </w:r>
      <w:r>
        <w:fldChar w:fldCharType="begin"/>
      </w:r>
      <w:r>
        <w:instrText xml:space="preserve"> PAGEREF _Toc28994 \h </w:instrText>
      </w:r>
      <w:r>
        <w:fldChar w:fldCharType="separate"/>
      </w:r>
      <w:r>
        <w:t>6</w:t>
      </w:r>
      <w:r>
        <w:fldChar w:fldCharType="end"/>
      </w:r>
      <w:r>
        <w:fldChar w:fldCharType="end"/>
      </w:r>
    </w:p>
    <w:p w14:paraId="5E3C70F1">
      <w:pPr>
        <w:pStyle w:val="7"/>
        <w:tabs>
          <w:tab w:val="right" w:leader="dot" w:pos="8788"/>
          <w:tab w:val="clear" w:pos="8778"/>
        </w:tabs>
      </w:pPr>
      <w:r>
        <w:fldChar w:fldCharType="begin"/>
      </w:r>
      <w:r>
        <w:instrText xml:space="preserve"> HYPERLINK \l "_Toc22244" </w:instrText>
      </w:r>
      <w:r>
        <w:fldChar w:fldCharType="separate"/>
      </w:r>
      <w:r>
        <w:rPr>
          <w:rFonts w:hint="eastAsia" w:ascii="仿宋_GB2312"/>
        </w:rPr>
        <w:t>（一）资金管理</w:t>
      </w:r>
      <w:r>
        <w:tab/>
      </w:r>
      <w:r>
        <w:fldChar w:fldCharType="begin"/>
      </w:r>
      <w:r>
        <w:instrText xml:space="preserve"> PAGEREF _Toc22244 \h </w:instrText>
      </w:r>
      <w:r>
        <w:fldChar w:fldCharType="separate"/>
      </w:r>
      <w:r>
        <w:t>7</w:t>
      </w:r>
      <w:r>
        <w:fldChar w:fldCharType="end"/>
      </w:r>
      <w:r>
        <w:fldChar w:fldCharType="end"/>
      </w:r>
    </w:p>
    <w:p w14:paraId="658A8459">
      <w:pPr>
        <w:pStyle w:val="7"/>
        <w:tabs>
          <w:tab w:val="right" w:leader="dot" w:pos="8788"/>
          <w:tab w:val="clear" w:pos="8778"/>
        </w:tabs>
      </w:pPr>
      <w:r>
        <w:fldChar w:fldCharType="begin"/>
      </w:r>
      <w:r>
        <w:instrText xml:space="preserve"> HYPERLINK \l "_Toc24226" </w:instrText>
      </w:r>
      <w:r>
        <w:fldChar w:fldCharType="separate"/>
      </w:r>
      <w:r>
        <w:rPr>
          <w:rFonts w:hint="eastAsia" w:ascii="仿宋_GB2312"/>
        </w:rPr>
        <w:t>（二）项目管理</w:t>
      </w:r>
      <w:r>
        <w:tab/>
      </w:r>
      <w:r>
        <w:fldChar w:fldCharType="begin"/>
      </w:r>
      <w:r>
        <w:instrText xml:space="preserve"> PAGEREF _Toc24226 \h </w:instrText>
      </w:r>
      <w:r>
        <w:fldChar w:fldCharType="separate"/>
      </w:r>
      <w:r>
        <w:t>7</w:t>
      </w:r>
      <w:r>
        <w:fldChar w:fldCharType="end"/>
      </w:r>
      <w:r>
        <w:fldChar w:fldCharType="end"/>
      </w:r>
    </w:p>
    <w:p w14:paraId="4B3D7453">
      <w:pPr>
        <w:pStyle w:val="7"/>
        <w:tabs>
          <w:tab w:val="right" w:leader="dot" w:pos="8788"/>
          <w:tab w:val="clear" w:pos="8778"/>
        </w:tabs>
      </w:pPr>
      <w:r>
        <w:fldChar w:fldCharType="begin"/>
      </w:r>
      <w:r>
        <w:instrText xml:space="preserve"> HYPERLINK \l "_Toc30376" </w:instrText>
      </w:r>
      <w:r>
        <w:fldChar w:fldCharType="separate"/>
      </w:r>
      <w:r>
        <w:rPr>
          <w:rFonts w:hint="eastAsia" w:ascii="仿宋_GB2312"/>
        </w:rPr>
        <w:t>（三）使用成效及通报情况</w:t>
      </w:r>
      <w:r>
        <w:tab/>
      </w:r>
      <w:r>
        <w:fldChar w:fldCharType="begin"/>
      </w:r>
      <w:r>
        <w:instrText xml:space="preserve"> PAGEREF _Toc30376 \h </w:instrText>
      </w:r>
      <w:r>
        <w:fldChar w:fldCharType="separate"/>
      </w:r>
      <w:r>
        <w:t>8</w:t>
      </w:r>
      <w:r>
        <w:fldChar w:fldCharType="end"/>
      </w:r>
      <w:r>
        <w:fldChar w:fldCharType="end"/>
      </w:r>
    </w:p>
    <w:p w14:paraId="75A789C5">
      <w:pPr>
        <w:pStyle w:val="7"/>
        <w:tabs>
          <w:tab w:val="right" w:leader="dot" w:pos="8788"/>
          <w:tab w:val="clear" w:pos="8778"/>
        </w:tabs>
      </w:pPr>
      <w:r>
        <w:fldChar w:fldCharType="begin"/>
      </w:r>
      <w:r>
        <w:instrText xml:space="preserve"> HYPERLINK \l "_Toc21824" </w:instrText>
      </w:r>
      <w:r>
        <w:fldChar w:fldCharType="separate"/>
      </w:r>
      <w:r>
        <w:rPr>
          <w:rFonts w:hint="eastAsia"/>
        </w:rPr>
        <w:t>五</w:t>
      </w:r>
      <w:r>
        <w:t>、存在的问题和建议</w:t>
      </w:r>
      <w:r>
        <w:tab/>
      </w:r>
      <w:r>
        <w:fldChar w:fldCharType="begin"/>
      </w:r>
      <w:r>
        <w:instrText xml:space="preserve"> PAGEREF _Toc21824 \h </w:instrText>
      </w:r>
      <w:r>
        <w:fldChar w:fldCharType="separate"/>
      </w:r>
      <w:r>
        <w:t>8</w:t>
      </w:r>
      <w:r>
        <w:fldChar w:fldCharType="end"/>
      </w:r>
      <w:r>
        <w:fldChar w:fldCharType="end"/>
      </w:r>
    </w:p>
    <w:p w14:paraId="36F4138E">
      <w:pPr>
        <w:pStyle w:val="7"/>
        <w:tabs>
          <w:tab w:val="right" w:leader="dot" w:pos="8788"/>
          <w:tab w:val="clear" w:pos="8778"/>
        </w:tabs>
      </w:pPr>
      <w:r>
        <w:fldChar w:fldCharType="begin"/>
      </w:r>
      <w:r>
        <w:instrText xml:space="preserve"> HYPERLINK \l "_Toc26671" </w:instrText>
      </w:r>
      <w:r>
        <w:fldChar w:fldCharType="separate"/>
      </w:r>
      <w:r>
        <w:rPr>
          <w:rFonts w:hint="eastAsia" w:ascii="仿宋_GB2312"/>
        </w:rPr>
        <w:t>（一）存在问题</w:t>
      </w:r>
      <w:r>
        <w:tab/>
      </w:r>
      <w:r>
        <w:fldChar w:fldCharType="begin"/>
      </w:r>
      <w:r>
        <w:instrText xml:space="preserve"> PAGEREF _Toc26671 \h </w:instrText>
      </w:r>
      <w:r>
        <w:fldChar w:fldCharType="separate"/>
      </w:r>
      <w:r>
        <w:t>8</w:t>
      </w:r>
      <w:r>
        <w:fldChar w:fldCharType="end"/>
      </w:r>
      <w:r>
        <w:fldChar w:fldCharType="end"/>
      </w:r>
    </w:p>
    <w:p w14:paraId="4FA02639">
      <w:pPr>
        <w:pStyle w:val="7"/>
        <w:tabs>
          <w:tab w:val="right" w:leader="dot" w:pos="8788"/>
          <w:tab w:val="clear" w:pos="8778"/>
        </w:tabs>
      </w:pPr>
      <w:r>
        <w:fldChar w:fldCharType="begin"/>
      </w:r>
      <w:r>
        <w:instrText xml:space="preserve"> HYPERLINK \l "_Toc31537" </w:instrText>
      </w:r>
      <w:r>
        <w:fldChar w:fldCharType="separate"/>
      </w:r>
      <w:r>
        <w:rPr>
          <w:rFonts w:hint="eastAsia" w:ascii="仿宋_GB2312"/>
        </w:rPr>
        <w:t>（二）建议</w:t>
      </w:r>
      <w:r>
        <w:tab/>
      </w:r>
      <w:r>
        <w:fldChar w:fldCharType="begin"/>
      </w:r>
      <w:r>
        <w:instrText xml:space="preserve"> PAGEREF _Toc31537 \h </w:instrText>
      </w:r>
      <w:r>
        <w:fldChar w:fldCharType="separate"/>
      </w:r>
      <w:r>
        <w:t>8</w:t>
      </w:r>
      <w:r>
        <w:fldChar w:fldCharType="end"/>
      </w:r>
      <w:r>
        <w:fldChar w:fldCharType="end"/>
      </w:r>
    </w:p>
    <w:p w14:paraId="5C941EFC">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7B26E642">
      <w:pPr>
        <w:spacing w:line="360" w:lineRule="auto"/>
        <w:jc w:val="right"/>
        <w:rPr>
          <w:rFonts w:ascii="Arial Narrow" w:hAnsi="Arial Narrow"/>
          <w:bCs/>
          <w:w w:val="80"/>
          <w:sz w:val="28"/>
          <w:szCs w:val="28"/>
        </w:rPr>
      </w:pPr>
    </w:p>
    <w:p w14:paraId="016FB108">
      <w:pPr>
        <w:spacing w:line="360" w:lineRule="auto"/>
        <w:jc w:val="right"/>
        <w:rPr>
          <w:rFonts w:ascii="Arial Narrow" w:hAnsi="Arial Narrow"/>
          <w:bCs/>
          <w:w w:val="80"/>
          <w:sz w:val="28"/>
          <w:szCs w:val="28"/>
        </w:rPr>
      </w:pPr>
    </w:p>
    <w:p w14:paraId="3BF47394">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6A8F745C">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11D43E79">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w:t>
      </w:r>
      <w:r>
        <w:rPr>
          <w:rFonts w:hint="eastAsia" w:ascii="Arial Narrow" w:hAnsi="Arial Narrow" w:eastAsia="仿宋_GB2312"/>
          <w:sz w:val="28"/>
          <w:szCs w:val="28"/>
        </w:rPr>
        <w:t>49号</w:t>
      </w:r>
    </w:p>
    <w:p w14:paraId="665CC391">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576BBC25">
      <w:pPr>
        <w:adjustRightInd w:val="0"/>
        <w:snapToGrid w:val="0"/>
        <w:spacing w:line="360" w:lineRule="auto"/>
        <w:jc w:val="center"/>
        <w:rPr>
          <w:rStyle w:val="11"/>
          <w:rFonts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重庆市铜梁区民政局公益性岗位项目</w:t>
      </w:r>
    </w:p>
    <w:p w14:paraId="5746F270">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7E0A11D1">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rPr>
        <w:t>“</w:t>
      </w:r>
      <w:r>
        <w:rPr>
          <w:rFonts w:ascii="Arial Narrow" w:hAnsi="Arial Narrow" w:eastAsia="仿宋_GB2312"/>
          <w:color w:val="auto"/>
        </w:rPr>
        <w:t>全面实施绩效管理</w:t>
      </w:r>
      <w:r>
        <w:rPr>
          <w:rFonts w:hint="eastAsia" w:ascii="Arial Narrow" w:hAnsi="Arial Narrow" w:eastAsia="仿宋_GB2312"/>
          <w:color w:val="auto"/>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重庆市铜梁区民政局（</w:t>
      </w:r>
      <w:r>
        <w:rPr>
          <w:rFonts w:ascii="Arial Narrow" w:hAnsi="Arial Narrow" w:eastAsia="仿宋_GB2312"/>
          <w:color w:val="auto"/>
        </w:rPr>
        <w:t>以下简称</w:t>
      </w:r>
      <w:r>
        <w:rPr>
          <w:rFonts w:hint="eastAsia" w:ascii="Arial Narrow" w:hAnsi="Arial Narrow" w:eastAsia="仿宋_GB2312"/>
          <w:color w:val="auto"/>
        </w:rPr>
        <w:t>“民政局”）</w:t>
      </w:r>
      <w:r>
        <w:rPr>
          <w:rFonts w:hint="eastAsia"/>
        </w:rPr>
        <w:t xml:space="preserve"> </w:t>
      </w:r>
      <w:r>
        <w:rPr>
          <w:rFonts w:hint="eastAsia" w:ascii="Arial Narrow" w:hAnsi="Arial Narrow" w:eastAsia="仿宋_GB2312"/>
          <w:color w:val="auto"/>
        </w:rPr>
        <w:t>公益性岗位项目</w:t>
      </w:r>
      <w:r>
        <w:rPr>
          <w:rFonts w:ascii="Arial Narrow" w:hAnsi="Arial Narrow" w:eastAsia="仿宋_GB2312"/>
          <w:color w:val="auto"/>
        </w:rPr>
        <w:t>进行绩效评价，现将评价情况报告如下：</w:t>
      </w:r>
    </w:p>
    <w:p w14:paraId="0F42E9F9">
      <w:pPr>
        <w:spacing w:line="360" w:lineRule="auto"/>
        <w:ind w:firstLine="482" w:firstLineChars="200"/>
        <w:jc w:val="left"/>
        <w:outlineLvl w:val="0"/>
        <w:rPr>
          <w:rFonts w:ascii="Arial Narrow" w:hAnsi="Arial Narrow" w:eastAsia="仿宋_GB2312"/>
          <w:b/>
          <w:sz w:val="24"/>
        </w:rPr>
      </w:pPr>
      <w:bookmarkStart w:id="3" w:name="_Toc21733"/>
      <w:r>
        <w:rPr>
          <w:rFonts w:ascii="Arial Narrow" w:hAnsi="Arial Narrow" w:eastAsia="仿宋_GB2312"/>
          <w:b/>
          <w:sz w:val="24"/>
        </w:rPr>
        <w:t>一、基本情况</w:t>
      </w:r>
      <w:bookmarkEnd w:id="3"/>
    </w:p>
    <w:p w14:paraId="587B0786">
      <w:pPr>
        <w:spacing w:line="360" w:lineRule="auto"/>
        <w:ind w:firstLine="482" w:firstLineChars="200"/>
        <w:jc w:val="left"/>
        <w:outlineLvl w:val="0"/>
        <w:rPr>
          <w:rFonts w:ascii="Arial Narrow" w:hAnsi="Arial Narrow" w:eastAsia="仿宋_GB2312"/>
          <w:b/>
          <w:sz w:val="24"/>
        </w:rPr>
      </w:pPr>
      <w:bookmarkStart w:id="4" w:name="_Toc10726"/>
      <w:r>
        <w:rPr>
          <w:rFonts w:hint="eastAsia" w:ascii="Arial Narrow" w:hAnsi="Arial Narrow" w:eastAsia="仿宋_GB2312"/>
          <w:b/>
          <w:sz w:val="24"/>
        </w:rPr>
        <w:t>（一）项目情况</w:t>
      </w:r>
      <w:bookmarkEnd w:id="4"/>
    </w:p>
    <w:p w14:paraId="7034E65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公益性岗位项目</w:t>
      </w:r>
    </w:p>
    <w:p w14:paraId="6928F3B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实施单位：重庆市铜梁区民政局</w:t>
      </w:r>
    </w:p>
    <w:p w14:paraId="64013D3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项目内容：为激发贫困群众内生动力，巩固脱贫成果；提高养老服务质量 ,安排民政系统公益性岗位45个。</w:t>
      </w:r>
    </w:p>
    <w:p w14:paraId="0E6F2B1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项目资金安排情况：该项目2023年原安排项目资金109.86万元，调增0.75万元，实际投入110.61万元，均为上级补助资金。</w:t>
      </w:r>
    </w:p>
    <w:p w14:paraId="360ED2AF">
      <w:pPr>
        <w:spacing w:line="360" w:lineRule="auto"/>
        <w:ind w:firstLine="482" w:firstLineChars="200"/>
        <w:jc w:val="left"/>
        <w:outlineLvl w:val="0"/>
        <w:rPr>
          <w:rFonts w:ascii="Arial Narrow" w:hAnsi="Arial Narrow" w:eastAsia="仿宋_GB2312"/>
          <w:b/>
          <w:sz w:val="24"/>
        </w:rPr>
      </w:pPr>
      <w:bookmarkStart w:id="5" w:name="_Toc21175"/>
      <w:r>
        <w:rPr>
          <w:rFonts w:ascii="Arial Narrow" w:hAnsi="Arial Narrow" w:eastAsia="仿宋_GB2312"/>
          <w:b/>
          <w:sz w:val="24"/>
        </w:rPr>
        <w:t>二、绩效评价工作情况</w:t>
      </w:r>
      <w:bookmarkEnd w:id="5"/>
    </w:p>
    <w:p w14:paraId="09F91836">
      <w:pPr>
        <w:spacing w:line="360" w:lineRule="auto"/>
        <w:ind w:firstLine="482" w:firstLineChars="200"/>
        <w:jc w:val="left"/>
        <w:outlineLvl w:val="0"/>
        <w:rPr>
          <w:rFonts w:ascii="Arial Narrow" w:hAnsi="Arial Narrow" w:eastAsia="仿宋_GB2312"/>
          <w:b/>
          <w:sz w:val="24"/>
        </w:rPr>
      </w:pPr>
      <w:bookmarkStart w:id="6" w:name="_Toc513775099"/>
      <w:bookmarkStart w:id="7" w:name="_Toc7799"/>
      <w:r>
        <w:rPr>
          <w:rFonts w:ascii="Arial Narrow" w:hAnsi="Arial Narrow" w:eastAsia="仿宋_GB2312"/>
          <w:b/>
          <w:sz w:val="24"/>
        </w:rPr>
        <w:t>（一）绩效评价目的</w:t>
      </w:r>
      <w:bookmarkEnd w:id="6"/>
      <w:bookmarkEnd w:id="7"/>
    </w:p>
    <w:p w14:paraId="4390A8D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3EE97A0E">
      <w:pPr>
        <w:spacing w:line="360" w:lineRule="auto"/>
        <w:ind w:firstLine="482" w:firstLineChars="200"/>
        <w:jc w:val="left"/>
        <w:outlineLvl w:val="0"/>
        <w:rPr>
          <w:rFonts w:ascii="Arial Narrow" w:hAnsi="Arial Narrow" w:eastAsia="仿宋_GB2312"/>
          <w:b/>
          <w:sz w:val="24"/>
        </w:rPr>
      </w:pPr>
      <w:bookmarkStart w:id="8" w:name="_Toc28553"/>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0612E354">
      <w:pPr>
        <w:pStyle w:val="14"/>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4B3CB39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530E1C0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0CBBD99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2F4C697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2AD3D5CB">
      <w:pPr>
        <w:spacing w:line="360" w:lineRule="auto"/>
        <w:ind w:firstLine="482" w:firstLineChars="200"/>
        <w:jc w:val="left"/>
        <w:outlineLvl w:val="0"/>
        <w:rPr>
          <w:rFonts w:ascii="Arial Narrow" w:hAnsi="Arial Narrow" w:eastAsia="仿宋_GB2312"/>
          <w:b/>
          <w:sz w:val="24"/>
        </w:rPr>
      </w:pPr>
      <w:bookmarkStart w:id="11" w:name="_Toc2706"/>
      <w:r>
        <w:rPr>
          <w:rFonts w:ascii="Arial Narrow" w:hAnsi="Arial Narrow" w:eastAsia="仿宋_GB2312"/>
          <w:b/>
          <w:sz w:val="24"/>
        </w:rPr>
        <w:t>（三）绩效评价依据</w:t>
      </w:r>
      <w:bookmarkEnd w:id="9"/>
      <w:bookmarkEnd w:id="10"/>
      <w:bookmarkEnd w:id="11"/>
      <w:bookmarkStart w:id="12" w:name="_Toc335040595"/>
    </w:p>
    <w:bookmarkEnd w:id="12"/>
    <w:p w14:paraId="443C61D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03A5C83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《重庆市铜梁区财政局关于开展2023年度项目财政重点绩效评价的通知》（铜财〔2024〕237号）</w:t>
      </w:r>
      <w:r>
        <w:rPr>
          <w:rFonts w:hint="eastAsia" w:ascii="Arial Narrow" w:hAnsi="Arial Narrow" w:eastAsia="仿宋_GB2312" w:cs="Arial Narrow"/>
          <w:color w:val="auto"/>
        </w:rPr>
        <w:t>；</w:t>
      </w:r>
    </w:p>
    <w:p w14:paraId="5E82C2A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《重庆市财政衔接推进乡村振兴补助资金绩效评价及考核办法》（渝财农〔2022〕2号）</w:t>
      </w:r>
      <w:r>
        <w:rPr>
          <w:rFonts w:hint="eastAsia" w:ascii="Arial Narrow" w:hAnsi="Arial Narrow" w:eastAsia="仿宋_GB2312" w:cs="Arial Narrow"/>
          <w:color w:val="auto"/>
        </w:rPr>
        <w:t>；</w:t>
      </w:r>
    </w:p>
    <w:p w14:paraId="3423CCA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《铜梁区区级政策和项目预算绩效管理办法（试行）》（铜财〔2022〕41号）</w:t>
      </w:r>
      <w:r>
        <w:rPr>
          <w:rFonts w:hint="eastAsia" w:ascii="Arial Narrow" w:hAnsi="Arial Narrow" w:eastAsia="仿宋_GB2312" w:cs="Arial Narrow"/>
          <w:color w:val="auto"/>
        </w:rPr>
        <w:t>；</w:t>
      </w:r>
    </w:p>
    <w:p w14:paraId="00B54BE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2CC56DB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w:t>
      </w:r>
      <w:r>
        <w:rPr>
          <w:rFonts w:hint="eastAsia" w:ascii="Arial Narrow" w:hAnsi="Arial Narrow" w:eastAsia="仿宋_GB2312"/>
          <w:color w:val="auto"/>
          <w:lang w:val="en-US" w:eastAsia="zh-CN"/>
        </w:rPr>
        <w:t>.</w:t>
      </w:r>
      <w:r>
        <w:rPr>
          <w:rFonts w:hint="eastAsia" w:ascii="Arial Narrow" w:hAnsi="Arial Narrow" w:eastAsia="仿宋_GB2312"/>
          <w:color w:val="auto"/>
        </w:rPr>
        <w:t>《铜梁区巩固拓展脱贫攻坚成果和衔接乡村振兴项目库建设管理实施细则》（铜乡振〔2021〕7号）</w:t>
      </w:r>
      <w:r>
        <w:rPr>
          <w:rFonts w:hint="eastAsia" w:ascii="Arial Narrow" w:hAnsi="Arial Narrow" w:eastAsia="仿宋_GB2312" w:cs="Arial Narrow"/>
          <w:color w:val="auto"/>
        </w:rPr>
        <w:t>；</w:t>
      </w:r>
    </w:p>
    <w:p w14:paraId="6114B1F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w:t>
      </w:r>
      <w:r>
        <w:rPr>
          <w:rFonts w:hint="eastAsia" w:ascii="Arial Narrow" w:hAnsi="Arial Narrow" w:eastAsia="仿宋_GB2312"/>
          <w:color w:val="auto"/>
          <w:lang w:val="en-US" w:eastAsia="zh-CN"/>
        </w:rPr>
        <w:t>.</w:t>
      </w:r>
      <w:r>
        <w:rPr>
          <w:rFonts w:hint="eastAsia" w:ascii="Arial Narrow" w:hAnsi="Arial Narrow" w:eastAsia="仿宋_GB2312"/>
          <w:color w:val="auto"/>
        </w:rPr>
        <w:t>《铜梁区财政衔接推进乡村振兴补助资金项目公告公示实施办法》（铜委农办〔2021〕19号）</w:t>
      </w:r>
      <w:r>
        <w:rPr>
          <w:rFonts w:hint="eastAsia" w:ascii="Arial Narrow" w:hAnsi="Arial Narrow" w:eastAsia="仿宋_GB2312" w:cs="Arial Narrow"/>
          <w:color w:val="auto"/>
        </w:rPr>
        <w:t>；</w:t>
      </w:r>
    </w:p>
    <w:p w14:paraId="46DA3A9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hint="eastAsia" w:ascii="Arial Narrow" w:hAnsi="Arial Narrow" w:eastAsia="仿宋_GB2312"/>
          <w:color w:val="auto"/>
          <w:lang w:val="en-US" w:eastAsia="zh-CN"/>
        </w:rPr>
        <w:t>.</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7A82F22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hint="eastAsia" w:ascii="Arial Narrow" w:hAnsi="Arial Narrow" w:eastAsia="仿宋_GB2312"/>
          <w:color w:val="auto"/>
          <w:lang w:val="en-US" w:eastAsia="zh-CN"/>
        </w:rPr>
        <w:t>.</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6A78393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hint="eastAsia" w:ascii="Arial Narrow" w:hAnsi="Arial Narrow" w:eastAsia="仿宋_GB2312"/>
          <w:color w:val="auto"/>
          <w:lang w:val="en-US" w:eastAsia="zh-CN"/>
        </w:rPr>
        <w:t>.</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r>
        <w:rPr>
          <w:rFonts w:hint="eastAsia" w:ascii="Arial Narrow" w:hAnsi="Arial Narrow" w:eastAsia="仿宋_GB2312" w:cs="Arial Narrow"/>
          <w:color w:val="auto"/>
        </w:rPr>
        <w:t>；</w:t>
      </w:r>
    </w:p>
    <w:p w14:paraId="23D7625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hint="eastAsia" w:ascii="Arial Narrow" w:hAnsi="Arial Narrow" w:eastAsia="仿宋_GB2312"/>
          <w:color w:val="auto"/>
          <w:lang w:val="en-US" w:eastAsia="zh-CN"/>
        </w:rPr>
        <w:t>.</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0383EFBF">
      <w:pPr>
        <w:spacing w:line="360" w:lineRule="auto"/>
        <w:ind w:firstLine="482" w:firstLineChars="200"/>
        <w:jc w:val="left"/>
        <w:outlineLvl w:val="0"/>
        <w:rPr>
          <w:rFonts w:ascii="Arial Narrow" w:hAnsi="Arial Narrow" w:eastAsia="仿宋_GB2312"/>
          <w:b/>
          <w:sz w:val="24"/>
        </w:rPr>
      </w:pPr>
      <w:bookmarkStart w:id="14" w:name="_Toc19760"/>
      <w:r>
        <w:rPr>
          <w:rFonts w:ascii="Arial Narrow" w:hAnsi="Arial Narrow" w:eastAsia="仿宋_GB2312"/>
          <w:b/>
          <w:sz w:val="24"/>
        </w:rPr>
        <w:t>（四）绩效评价原则和指标体系</w:t>
      </w:r>
      <w:bookmarkEnd w:id="14"/>
    </w:p>
    <w:p w14:paraId="78E4A7B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绩效评价主要遵循以下原则：</w:t>
      </w:r>
    </w:p>
    <w:p w14:paraId="03C678E6">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258180C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19A417E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5A0E1BF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0FC6C35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63941E5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绩效评价指标体系</w:t>
      </w:r>
    </w:p>
    <w:p w14:paraId="2026D5A5">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29BB48AD">
      <w:pPr>
        <w:pStyle w:val="14"/>
        <w:spacing w:line="360" w:lineRule="auto"/>
        <w:ind w:firstLine="480" w:firstLineChars="200"/>
        <w:jc w:val="both"/>
        <w:rPr>
          <w:rFonts w:ascii="Arial Narrow" w:hAnsi="Arial Narrow" w:eastAsia="仿宋_GB2312"/>
          <w:color w:val="auto"/>
        </w:rPr>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pPr>
    </w:p>
    <w:tbl>
      <w:tblPr>
        <w:tblStyle w:val="9"/>
        <w:tblW w:w="14504" w:type="dxa"/>
        <w:tblInd w:w="0" w:type="dxa"/>
        <w:tblLayout w:type="fixed"/>
        <w:tblCellMar>
          <w:top w:w="0" w:type="dxa"/>
          <w:left w:w="108" w:type="dxa"/>
          <w:bottom w:w="0" w:type="dxa"/>
          <w:right w:w="108" w:type="dxa"/>
        </w:tblCellMar>
      </w:tblPr>
      <w:tblGrid>
        <w:gridCol w:w="812"/>
        <w:gridCol w:w="995"/>
        <w:gridCol w:w="995"/>
        <w:gridCol w:w="566"/>
        <w:gridCol w:w="3971"/>
        <w:gridCol w:w="7165"/>
      </w:tblGrid>
      <w:tr w14:paraId="449239E4">
        <w:tblPrEx>
          <w:tblCellMar>
            <w:top w:w="0" w:type="dxa"/>
            <w:left w:w="108" w:type="dxa"/>
            <w:bottom w:w="0" w:type="dxa"/>
            <w:right w:w="108" w:type="dxa"/>
          </w:tblCellMar>
        </w:tblPrEx>
        <w:trPr>
          <w:cantSplit/>
          <w:trHeight w:val="516" w:hRule="atLeast"/>
          <w:tblHeader/>
        </w:trPr>
        <w:tc>
          <w:tcPr>
            <w:tcW w:w="14504" w:type="dxa"/>
            <w:gridSpan w:val="6"/>
            <w:tcBorders>
              <w:bottom w:val="single" w:color="auto" w:sz="4" w:space="0"/>
            </w:tcBorders>
            <w:shd w:val="clear" w:color="auto" w:fill="auto"/>
            <w:noWrap/>
            <w:vAlign w:val="center"/>
          </w:tcPr>
          <w:p w14:paraId="6F755004">
            <w:pPr>
              <w:pStyle w:val="14"/>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c>
      </w:tr>
      <w:tr w14:paraId="05D07CEF">
        <w:tblPrEx>
          <w:tblCellMar>
            <w:top w:w="0" w:type="dxa"/>
            <w:left w:w="108" w:type="dxa"/>
            <w:bottom w:w="0" w:type="dxa"/>
            <w:right w:w="108" w:type="dxa"/>
          </w:tblCellMar>
        </w:tblPrEx>
        <w:trPr>
          <w:cantSplit/>
          <w:trHeight w:val="516" w:hRule="atLeast"/>
          <w:tblHeader/>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35340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724B2F7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321B998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66" w:type="dxa"/>
            <w:tcBorders>
              <w:top w:val="single" w:color="auto" w:sz="4" w:space="0"/>
              <w:left w:val="nil"/>
              <w:bottom w:val="single" w:color="auto" w:sz="4" w:space="0"/>
              <w:right w:val="single" w:color="auto" w:sz="4" w:space="0"/>
            </w:tcBorders>
            <w:shd w:val="clear" w:color="auto" w:fill="auto"/>
            <w:noWrap/>
            <w:vAlign w:val="center"/>
          </w:tcPr>
          <w:p w14:paraId="13E3CBD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3971" w:type="dxa"/>
            <w:tcBorders>
              <w:top w:val="single" w:color="auto" w:sz="4" w:space="0"/>
              <w:left w:val="nil"/>
              <w:bottom w:val="single" w:color="auto" w:sz="4" w:space="0"/>
              <w:right w:val="single" w:color="auto" w:sz="4" w:space="0"/>
            </w:tcBorders>
            <w:shd w:val="clear" w:color="auto" w:fill="auto"/>
            <w:noWrap/>
            <w:vAlign w:val="center"/>
          </w:tcPr>
          <w:p w14:paraId="5648A3B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7165" w:type="dxa"/>
            <w:tcBorders>
              <w:top w:val="single" w:color="auto" w:sz="4" w:space="0"/>
              <w:left w:val="nil"/>
              <w:bottom w:val="single" w:color="auto" w:sz="4" w:space="0"/>
              <w:right w:val="single" w:color="auto" w:sz="4" w:space="0"/>
            </w:tcBorders>
            <w:shd w:val="clear" w:color="auto" w:fill="auto"/>
            <w:noWrap/>
            <w:vAlign w:val="center"/>
          </w:tcPr>
          <w:p w14:paraId="0BF008D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5596BFF2">
        <w:tblPrEx>
          <w:tblCellMar>
            <w:top w:w="0" w:type="dxa"/>
            <w:left w:w="108" w:type="dxa"/>
            <w:bottom w:w="0" w:type="dxa"/>
            <w:right w:w="108" w:type="dxa"/>
          </w:tblCellMar>
        </w:tblPrEx>
        <w:trPr>
          <w:cantSplit/>
          <w:trHeight w:val="116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631B6A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0928756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995" w:type="dxa"/>
            <w:tcBorders>
              <w:top w:val="nil"/>
              <w:left w:val="nil"/>
              <w:bottom w:val="single" w:color="auto" w:sz="4" w:space="0"/>
              <w:right w:val="single" w:color="auto" w:sz="4" w:space="0"/>
            </w:tcBorders>
            <w:shd w:val="clear" w:color="auto" w:fill="auto"/>
            <w:vAlign w:val="center"/>
          </w:tcPr>
          <w:p w14:paraId="5BA06AF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66" w:type="dxa"/>
            <w:tcBorders>
              <w:top w:val="nil"/>
              <w:left w:val="nil"/>
              <w:bottom w:val="single" w:color="auto" w:sz="4" w:space="0"/>
              <w:right w:val="single" w:color="auto" w:sz="4" w:space="0"/>
            </w:tcBorders>
            <w:shd w:val="clear" w:color="auto" w:fill="auto"/>
            <w:vAlign w:val="center"/>
          </w:tcPr>
          <w:p w14:paraId="2ECAE02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3971" w:type="dxa"/>
            <w:tcBorders>
              <w:top w:val="nil"/>
              <w:left w:val="nil"/>
              <w:bottom w:val="single" w:color="auto" w:sz="4" w:space="0"/>
              <w:right w:val="single" w:color="auto" w:sz="4" w:space="0"/>
            </w:tcBorders>
            <w:shd w:val="clear" w:color="auto" w:fill="auto"/>
            <w:vAlign w:val="center"/>
          </w:tcPr>
          <w:p w14:paraId="1C2C435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7165" w:type="dxa"/>
            <w:tcBorders>
              <w:top w:val="nil"/>
              <w:left w:val="nil"/>
              <w:bottom w:val="single" w:color="auto" w:sz="4" w:space="0"/>
              <w:right w:val="single" w:color="auto" w:sz="4" w:space="0"/>
            </w:tcBorders>
            <w:shd w:val="clear" w:color="auto" w:fill="auto"/>
            <w:vAlign w:val="center"/>
          </w:tcPr>
          <w:p w14:paraId="23CC2BE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60E3CA3C">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1D35C2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5" w:type="dxa"/>
            <w:vMerge w:val="continue"/>
            <w:tcBorders>
              <w:top w:val="nil"/>
              <w:left w:val="single" w:color="auto" w:sz="4" w:space="0"/>
              <w:bottom w:val="single" w:color="auto" w:sz="4" w:space="0"/>
              <w:right w:val="single" w:color="auto" w:sz="4" w:space="0"/>
            </w:tcBorders>
            <w:vAlign w:val="center"/>
          </w:tcPr>
          <w:p w14:paraId="7C33D23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776205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66" w:type="dxa"/>
            <w:tcBorders>
              <w:top w:val="nil"/>
              <w:left w:val="nil"/>
              <w:bottom w:val="single" w:color="auto" w:sz="4" w:space="0"/>
              <w:right w:val="single" w:color="auto" w:sz="4" w:space="0"/>
            </w:tcBorders>
            <w:shd w:val="clear" w:color="auto" w:fill="auto"/>
            <w:noWrap/>
            <w:vAlign w:val="center"/>
          </w:tcPr>
          <w:p w14:paraId="5509CEB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3971" w:type="dxa"/>
            <w:tcBorders>
              <w:top w:val="nil"/>
              <w:left w:val="nil"/>
              <w:bottom w:val="single" w:color="auto" w:sz="4" w:space="0"/>
              <w:right w:val="single" w:color="auto" w:sz="4" w:space="0"/>
            </w:tcBorders>
            <w:shd w:val="clear" w:color="auto" w:fill="auto"/>
            <w:vAlign w:val="center"/>
          </w:tcPr>
          <w:p w14:paraId="0233C91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7165" w:type="dxa"/>
            <w:tcBorders>
              <w:top w:val="nil"/>
              <w:left w:val="nil"/>
              <w:bottom w:val="single" w:color="auto" w:sz="4" w:space="0"/>
              <w:right w:val="single" w:color="auto" w:sz="4" w:space="0"/>
            </w:tcBorders>
            <w:shd w:val="clear" w:color="auto" w:fill="auto"/>
            <w:vAlign w:val="center"/>
          </w:tcPr>
          <w:p w14:paraId="45380C2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2ADC22A7">
        <w:tblPrEx>
          <w:tblCellMar>
            <w:top w:w="0" w:type="dxa"/>
            <w:left w:w="108" w:type="dxa"/>
            <w:bottom w:w="0" w:type="dxa"/>
            <w:right w:w="108" w:type="dxa"/>
          </w:tblCellMar>
        </w:tblPrEx>
        <w:trPr>
          <w:cantSplit/>
          <w:trHeight w:val="101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0CA91F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1138C06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995" w:type="dxa"/>
            <w:tcBorders>
              <w:top w:val="nil"/>
              <w:left w:val="nil"/>
              <w:bottom w:val="single" w:color="auto" w:sz="4" w:space="0"/>
              <w:right w:val="single" w:color="auto" w:sz="4" w:space="0"/>
            </w:tcBorders>
            <w:shd w:val="clear" w:color="auto" w:fill="auto"/>
            <w:vAlign w:val="center"/>
          </w:tcPr>
          <w:p w14:paraId="751933D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66" w:type="dxa"/>
            <w:tcBorders>
              <w:top w:val="nil"/>
              <w:left w:val="nil"/>
              <w:bottom w:val="single" w:color="auto" w:sz="4" w:space="0"/>
              <w:right w:val="single" w:color="auto" w:sz="4" w:space="0"/>
            </w:tcBorders>
            <w:shd w:val="clear" w:color="auto" w:fill="auto"/>
            <w:noWrap/>
            <w:vAlign w:val="center"/>
          </w:tcPr>
          <w:p w14:paraId="3CF2EA1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nil"/>
              <w:right w:val="nil"/>
            </w:tcBorders>
            <w:shd w:val="clear" w:color="auto" w:fill="auto"/>
            <w:vAlign w:val="center"/>
          </w:tcPr>
          <w:p w14:paraId="2EAEFDA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评价落实《铜梁区巩固拓展脱贫攻坚成果和衔接乡村振兴项目库建设管理实施细则》（铜乡振〔2021〕7号）落实情况。根据抽查情况赋分。</w:t>
            </w:r>
          </w:p>
        </w:tc>
        <w:tc>
          <w:tcPr>
            <w:tcW w:w="7165" w:type="dxa"/>
            <w:tcBorders>
              <w:top w:val="nil"/>
              <w:left w:val="single" w:color="auto" w:sz="4" w:space="0"/>
              <w:bottom w:val="single" w:color="auto" w:sz="4" w:space="0"/>
              <w:right w:val="single" w:color="auto" w:sz="4" w:space="0"/>
            </w:tcBorders>
            <w:shd w:val="clear" w:color="auto" w:fill="auto"/>
            <w:vAlign w:val="center"/>
          </w:tcPr>
          <w:p w14:paraId="4CEFB41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2.入库项目具备实施条件（2分）；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3.衔接资金用于项目库之外的项目（-5分）。</w:t>
            </w:r>
          </w:p>
        </w:tc>
      </w:tr>
      <w:tr w14:paraId="3603F19C">
        <w:tblPrEx>
          <w:tblCellMar>
            <w:top w:w="0" w:type="dxa"/>
            <w:left w:w="108" w:type="dxa"/>
            <w:bottom w:w="0" w:type="dxa"/>
            <w:right w:w="108" w:type="dxa"/>
          </w:tblCellMar>
        </w:tblPrEx>
        <w:trPr>
          <w:cantSplit/>
          <w:trHeight w:val="1261"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6632FF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5" w:type="dxa"/>
            <w:vMerge w:val="continue"/>
            <w:tcBorders>
              <w:top w:val="nil"/>
              <w:left w:val="single" w:color="auto" w:sz="4" w:space="0"/>
              <w:bottom w:val="single" w:color="auto" w:sz="4" w:space="0"/>
              <w:right w:val="single" w:color="auto" w:sz="4" w:space="0"/>
            </w:tcBorders>
            <w:vAlign w:val="center"/>
          </w:tcPr>
          <w:p w14:paraId="6BC518A5">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7B5563C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66" w:type="dxa"/>
            <w:tcBorders>
              <w:top w:val="nil"/>
              <w:left w:val="nil"/>
              <w:bottom w:val="single" w:color="auto" w:sz="4" w:space="0"/>
              <w:right w:val="single" w:color="auto" w:sz="4" w:space="0"/>
            </w:tcBorders>
            <w:shd w:val="clear" w:color="auto" w:fill="auto"/>
            <w:noWrap/>
            <w:vAlign w:val="center"/>
          </w:tcPr>
          <w:p w14:paraId="6D912EE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single" w:color="auto" w:sz="4" w:space="0"/>
              <w:left w:val="nil"/>
              <w:bottom w:val="single" w:color="auto" w:sz="4" w:space="0"/>
              <w:right w:val="single" w:color="auto" w:sz="4" w:space="0"/>
            </w:tcBorders>
            <w:shd w:val="clear" w:color="auto" w:fill="auto"/>
            <w:vAlign w:val="center"/>
          </w:tcPr>
          <w:p w14:paraId="2CF557F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评价具体项目实施方案明确绩效目标情况、开展跟踪监督绩效监控情况、事后评价情况等。根据抽抽情况赋分。</w:t>
            </w:r>
          </w:p>
        </w:tc>
        <w:tc>
          <w:tcPr>
            <w:tcW w:w="7165" w:type="dxa"/>
            <w:tcBorders>
              <w:top w:val="nil"/>
              <w:left w:val="nil"/>
              <w:bottom w:val="single" w:color="auto" w:sz="4" w:space="0"/>
              <w:right w:val="single" w:color="auto" w:sz="4" w:space="0"/>
            </w:tcBorders>
            <w:shd w:val="clear" w:color="auto" w:fill="auto"/>
            <w:vAlign w:val="center"/>
          </w:tcPr>
          <w:p w14:paraId="5EA0FF7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2.开展绩效监控不少于1次（2分）；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3.对绩效目标偏离项目采取纠偏措施（2分）；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4.项目实施完毕后立即开展绩效自评，并形成绩效自评报告及绩效自评表。（2分）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5.项目绩效是否达到预期。（2分）</w:t>
            </w:r>
          </w:p>
        </w:tc>
      </w:tr>
      <w:tr w14:paraId="74971BBD">
        <w:tblPrEx>
          <w:tblCellMar>
            <w:top w:w="0" w:type="dxa"/>
            <w:left w:w="108" w:type="dxa"/>
            <w:bottom w:w="0" w:type="dxa"/>
            <w:right w:w="108" w:type="dxa"/>
          </w:tblCellMar>
        </w:tblPrEx>
        <w:trPr>
          <w:cantSplit/>
          <w:trHeight w:val="12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D7DEA2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5" w:type="dxa"/>
            <w:vMerge w:val="continue"/>
            <w:tcBorders>
              <w:top w:val="nil"/>
              <w:left w:val="single" w:color="auto" w:sz="4" w:space="0"/>
              <w:bottom w:val="single" w:color="auto" w:sz="4" w:space="0"/>
              <w:right w:val="single" w:color="auto" w:sz="4" w:space="0"/>
            </w:tcBorders>
            <w:vAlign w:val="center"/>
          </w:tcPr>
          <w:p w14:paraId="5232E4B7">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09E5399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66" w:type="dxa"/>
            <w:tcBorders>
              <w:top w:val="nil"/>
              <w:left w:val="nil"/>
              <w:bottom w:val="single" w:color="auto" w:sz="4" w:space="0"/>
              <w:right w:val="single" w:color="auto" w:sz="4" w:space="0"/>
            </w:tcBorders>
            <w:shd w:val="clear" w:color="auto" w:fill="auto"/>
            <w:vAlign w:val="center"/>
          </w:tcPr>
          <w:p w14:paraId="5E27A8E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3971" w:type="dxa"/>
            <w:tcBorders>
              <w:top w:val="nil"/>
              <w:left w:val="nil"/>
              <w:bottom w:val="single" w:color="auto" w:sz="4" w:space="0"/>
              <w:right w:val="single" w:color="auto" w:sz="4" w:space="0"/>
            </w:tcBorders>
            <w:shd w:val="clear" w:color="auto" w:fill="auto"/>
            <w:vAlign w:val="center"/>
          </w:tcPr>
          <w:p w14:paraId="7A37580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评价有序推进项目前期工作、组织实施、项目验收、资料报送等情况。根据抽抽情况赋分。</w:t>
            </w:r>
          </w:p>
        </w:tc>
        <w:tc>
          <w:tcPr>
            <w:tcW w:w="7165" w:type="dxa"/>
            <w:tcBorders>
              <w:top w:val="nil"/>
              <w:left w:val="nil"/>
              <w:bottom w:val="single" w:color="auto" w:sz="4" w:space="0"/>
              <w:right w:val="single" w:color="auto" w:sz="4" w:space="0"/>
            </w:tcBorders>
            <w:shd w:val="clear" w:color="auto" w:fill="auto"/>
            <w:vAlign w:val="center"/>
          </w:tcPr>
          <w:p w14:paraId="73A291D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2.是否定期对项目实施情况进行监督检查，对检查中发现的问题进行整改；（2分）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3.是否按照项目实施节点按时提交项目报账资料；（1分）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4.日常管理资料是否及时归档整理；（1分）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5.项目完工后是否在规定时间内进行验收。（1分）</w:t>
            </w:r>
          </w:p>
        </w:tc>
      </w:tr>
      <w:tr w14:paraId="3E75E769">
        <w:tblPrEx>
          <w:tblCellMar>
            <w:top w:w="0" w:type="dxa"/>
            <w:left w:w="108" w:type="dxa"/>
            <w:bottom w:w="0" w:type="dxa"/>
            <w:right w:w="108" w:type="dxa"/>
          </w:tblCellMar>
        </w:tblPrEx>
        <w:trPr>
          <w:cantSplit/>
          <w:trHeight w:val="218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EE38B5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5" w:type="dxa"/>
            <w:vMerge w:val="continue"/>
            <w:tcBorders>
              <w:top w:val="nil"/>
              <w:left w:val="single" w:color="auto" w:sz="4" w:space="0"/>
              <w:bottom w:val="single" w:color="auto" w:sz="4" w:space="0"/>
              <w:right w:val="single" w:color="auto" w:sz="4" w:space="0"/>
            </w:tcBorders>
            <w:vAlign w:val="center"/>
          </w:tcPr>
          <w:p w14:paraId="292ADC2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19CE62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66" w:type="dxa"/>
            <w:tcBorders>
              <w:top w:val="nil"/>
              <w:left w:val="nil"/>
              <w:bottom w:val="single" w:color="auto" w:sz="4" w:space="0"/>
              <w:right w:val="single" w:color="auto" w:sz="4" w:space="0"/>
            </w:tcBorders>
            <w:shd w:val="clear" w:color="auto" w:fill="auto"/>
            <w:noWrap/>
            <w:vAlign w:val="center"/>
          </w:tcPr>
          <w:p w14:paraId="7DD8975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3971" w:type="dxa"/>
            <w:tcBorders>
              <w:top w:val="nil"/>
              <w:left w:val="nil"/>
              <w:bottom w:val="single" w:color="auto" w:sz="4" w:space="0"/>
              <w:right w:val="single" w:color="auto" w:sz="4" w:space="0"/>
            </w:tcBorders>
            <w:shd w:val="clear" w:color="auto" w:fill="auto"/>
            <w:vAlign w:val="center"/>
          </w:tcPr>
          <w:p w14:paraId="68889F4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4B849CF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1</w:t>
            </w:r>
            <w:r>
              <w:rPr>
                <w:rFonts w:hint="default" w:ascii="Arial Narrow" w:hAnsi="Arial Narrow" w:eastAsia="仿宋_GB2312" w:cs="Arial Narrow"/>
                <w:kern w:val="0"/>
                <w:sz w:val="16"/>
                <w:szCs w:val="16"/>
              </w:rPr>
              <w:t>.7月末支出进度评分4分。资金支出进度达到全区平均进度或者序时进度的，得满分；未达到的按照与序时进度的比例扣分；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2</w:t>
            </w:r>
            <w:r>
              <w:rPr>
                <w:rFonts w:hint="default" w:ascii="Arial Narrow" w:hAnsi="Arial Narrow" w:eastAsia="仿宋_GB2312" w:cs="Arial Narrow"/>
                <w:kern w:val="0"/>
                <w:sz w:val="16"/>
                <w:szCs w:val="16"/>
              </w:rPr>
              <w:t>.10月中旬支出进度评分4分。资金支出进度达到全区平均进度或者序时进度的，得满分；未达到的按照与序时进度的比例扣分；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3</w:t>
            </w:r>
            <w:r>
              <w:rPr>
                <w:rFonts w:hint="default" w:ascii="Arial Narrow" w:hAnsi="Arial Narrow" w:eastAsia="仿宋_GB2312" w:cs="Arial Narrow"/>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8BB8380">
        <w:tblPrEx>
          <w:tblCellMar>
            <w:top w:w="0" w:type="dxa"/>
            <w:left w:w="108" w:type="dxa"/>
            <w:bottom w:w="0" w:type="dxa"/>
            <w:right w:w="108" w:type="dxa"/>
          </w:tblCellMar>
        </w:tblPrEx>
        <w:trPr>
          <w:cantSplit/>
          <w:trHeight w:val="112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C94EC3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5" w:type="dxa"/>
            <w:vMerge w:val="continue"/>
            <w:tcBorders>
              <w:top w:val="nil"/>
              <w:left w:val="single" w:color="auto" w:sz="4" w:space="0"/>
              <w:bottom w:val="single" w:color="auto" w:sz="4" w:space="0"/>
              <w:right w:val="single" w:color="auto" w:sz="4" w:space="0"/>
            </w:tcBorders>
            <w:vAlign w:val="center"/>
          </w:tcPr>
          <w:p w14:paraId="15A1C833">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E7C7EB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66" w:type="dxa"/>
            <w:tcBorders>
              <w:top w:val="nil"/>
              <w:left w:val="nil"/>
              <w:bottom w:val="single" w:color="auto" w:sz="4" w:space="0"/>
              <w:right w:val="single" w:color="auto" w:sz="4" w:space="0"/>
            </w:tcBorders>
            <w:shd w:val="clear" w:color="auto" w:fill="auto"/>
            <w:noWrap/>
            <w:vAlign w:val="center"/>
          </w:tcPr>
          <w:p w14:paraId="392E5D2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3971" w:type="dxa"/>
            <w:tcBorders>
              <w:top w:val="nil"/>
              <w:left w:val="nil"/>
              <w:bottom w:val="single" w:color="auto" w:sz="4" w:space="0"/>
              <w:right w:val="single" w:color="auto" w:sz="4" w:space="0"/>
            </w:tcBorders>
            <w:shd w:val="clear" w:color="auto" w:fill="auto"/>
            <w:vAlign w:val="center"/>
          </w:tcPr>
          <w:p w14:paraId="7B07DA3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评价定期开展监督检查情况、发现问题整改情况。根据未处理问题比例扣减。根据抽查情况赋分。</w:t>
            </w:r>
          </w:p>
        </w:tc>
        <w:tc>
          <w:tcPr>
            <w:tcW w:w="7165" w:type="dxa"/>
            <w:tcBorders>
              <w:top w:val="nil"/>
              <w:left w:val="nil"/>
              <w:bottom w:val="single" w:color="auto" w:sz="4" w:space="0"/>
              <w:right w:val="single" w:color="auto" w:sz="4" w:space="0"/>
            </w:tcBorders>
            <w:shd w:val="clear" w:color="auto" w:fill="auto"/>
            <w:vAlign w:val="center"/>
          </w:tcPr>
          <w:p w14:paraId="1EC3CE3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2.跟踪督促及各类检查发现问题整改到位情况，满分5分，根据未整改问题比例扣减；</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2CD1D9DC">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DF8B36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5" w:type="dxa"/>
            <w:vMerge w:val="continue"/>
            <w:tcBorders>
              <w:top w:val="nil"/>
              <w:left w:val="single" w:color="auto" w:sz="4" w:space="0"/>
              <w:bottom w:val="single" w:color="auto" w:sz="4" w:space="0"/>
              <w:right w:val="single" w:color="auto" w:sz="4" w:space="0"/>
            </w:tcBorders>
            <w:vAlign w:val="center"/>
          </w:tcPr>
          <w:p w14:paraId="668FEAEF">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3CA0D83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66" w:type="dxa"/>
            <w:tcBorders>
              <w:top w:val="nil"/>
              <w:left w:val="nil"/>
              <w:bottom w:val="single" w:color="auto" w:sz="4" w:space="0"/>
              <w:right w:val="single" w:color="auto" w:sz="4" w:space="0"/>
            </w:tcBorders>
            <w:shd w:val="clear" w:color="auto" w:fill="auto"/>
            <w:noWrap/>
            <w:vAlign w:val="center"/>
          </w:tcPr>
          <w:p w14:paraId="2466CFD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25195B4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675AC2B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2.档案管理是否完整、合规、真实。（1分）</w:t>
            </w:r>
          </w:p>
        </w:tc>
      </w:tr>
      <w:tr w14:paraId="3B56ED74">
        <w:tblPrEx>
          <w:tblCellMar>
            <w:top w:w="0" w:type="dxa"/>
            <w:left w:w="108" w:type="dxa"/>
            <w:bottom w:w="0" w:type="dxa"/>
            <w:right w:w="108" w:type="dxa"/>
          </w:tblCellMar>
        </w:tblPrEx>
        <w:trPr>
          <w:cantSplit/>
          <w:trHeight w:val="115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CDC881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5" w:type="dxa"/>
            <w:vMerge w:val="continue"/>
            <w:tcBorders>
              <w:top w:val="nil"/>
              <w:left w:val="single" w:color="auto" w:sz="4" w:space="0"/>
              <w:bottom w:val="single" w:color="auto" w:sz="4" w:space="0"/>
              <w:right w:val="single" w:color="auto" w:sz="4" w:space="0"/>
            </w:tcBorders>
            <w:vAlign w:val="center"/>
          </w:tcPr>
          <w:p w14:paraId="5E3CFFE0">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3D37DE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66" w:type="dxa"/>
            <w:tcBorders>
              <w:top w:val="nil"/>
              <w:left w:val="nil"/>
              <w:bottom w:val="single" w:color="auto" w:sz="4" w:space="0"/>
              <w:right w:val="single" w:color="auto" w:sz="4" w:space="0"/>
            </w:tcBorders>
            <w:shd w:val="clear" w:color="auto" w:fill="auto"/>
            <w:noWrap/>
            <w:vAlign w:val="center"/>
          </w:tcPr>
          <w:p w14:paraId="03CC3EF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3971" w:type="dxa"/>
            <w:tcBorders>
              <w:top w:val="nil"/>
              <w:left w:val="nil"/>
              <w:bottom w:val="single" w:color="auto" w:sz="4" w:space="0"/>
              <w:right w:val="single" w:color="auto" w:sz="4" w:space="0"/>
            </w:tcBorders>
            <w:shd w:val="clear" w:color="auto" w:fill="auto"/>
            <w:vAlign w:val="center"/>
          </w:tcPr>
          <w:p w14:paraId="7B83E75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32359BA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1.抽查区级公示公开情况，满分3分，未完整公开酌情扣分；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2.抽查镇级公示公开情况，满分3分，未完整公开酌情扣分；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3.抽查村级公示公开情况，满分3分，未完整公开酌情扣分。</w:t>
            </w:r>
          </w:p>
        </w:tc>
      </w:tr>
      <w:tr w14:paraId="7015943C">
        <w:tblPrEx>
          <w:tblCellMar>
            <w:top w:w="0" w:type="dxa"/>
            <w:left w:w="108" w:type="dxa"/>
            <w:bottom w:w="0" w:type="dxa"/>
            <w:right w:w="108" w:type="dxa"/>
          </w:tblCellMar>
        </w:tblPrEx>
        <w:trPr>
          <w:cantSplit/>
          <w:trHeight w:val="16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9E10ED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1EB3A68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995" w:type="dxa"/>
            <w:tcBorders>
              <w:top w:val="nil"/>
              <w:left w:val="nil"/>
              <w:bottom w:val="single" w:color="auto" w:sz="4" w:space="0"/>
              <w:right w:val="single" w:color="auto" w:sz="4" w:space="0"/>
            </w:tcBorders>
            <w:shd w:val="clear" w:color="auto" w:fill="auto"/>
            <w:vAlign w:val="center"/>
          </w:tcPr>
          <w:p w14:paraId="6DC68A9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66" w:type="dxa"/>
            <w:tcBorders>
              <w:top w:val="nil"/>
              <w:left w:val="nil"/>
              <w:bottom w:val="single" w:color="auto" w:sz="4" w:space="0"/>
              <w:right w:val="single" w:color="auto" w:sz="4" w:space="0"/>
            </w:tcBorders>
            <w:shd w:val="clear" w:color="auto" w:fill="auto"/>
            <w:noWrap/>
            <w:vAlign w:val="center"/>
          </w:tcPr>
          <w:p w14:paraId="135C24C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3971" w:type="dxa"/>
            <w:tcBorders>
              <w:top w:val="nil"/>
              <w:left w:val="nil"/>
              <w:bottom w:val="single" w:color="auto" w:sz="4" w:space="0"/>
              <w:right w:val="single" w:color="auto" w:sz="4" w:space="0"/>
            </w:tcBorders>
            <w:shd w:val="clear" w:color="auto" w:fill="auto"/>
            <w:vAlign w:val="center"/>
          </w:tcPr>
          <w:p w14:paraId="077EB33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评价项目是否达到预期成效，后续管护是否存在问题等。根据抽查情况赋分。</w:t>
            </w:r>
          </w:p>
        </w:tc>
        <w:tc>
          <w:tcPr>
            <w:tcW w:w="7165" w:type="dxa"/>
            <w:tcBorders>
              <w:top w:val="nil"/>
              <w:left w:val="nil"/>
              <w:bottom w:val="single" w:color="auto" w:sz="4" w:space="0"/>
              <w:right w:val="single" w:color="auto" w:sz="4" w:space="0"/>
            </w:tcBorders>
            <w:shd w:val="clear" w:color="auto" w:fill="auto"/>
            <w:vAlign w:val="center"/>
          </w:tcPr>
          <w:p w14:paraId="440A211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满分35分，根据抽查项目情况赋分。项目管理各环节，每存在一例不符合相关规定的，扣0.5分，扣完为止。</w:t>
            </w:r>
          </w:p>
        </w:tc>
      </w:tr>
      <w:tr w14:paraId="211FB9F1">
        <w:tblPrEx>
          <w:tblCellMar>
            <w:top w:w="0" w:type="dxa"/>
            <w:left w:w="108" w:type="dxa"/>
            <w:bottom w:w="0" w:type="dxa"/>
            <w:right w:w="108" w:type="dxa"/>
          </w:tblCellMar>
        </w:tblPrEx>
        <w:trPr>
          <w:cantSplit/>
          <w:trHeight w:val="767"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D77808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5" w:type="dxa"/>
            <w:vMerge w:val="continue"/>
            <w:tcBorders>
              <w:top w:val="nil"/>
              <w:left w:val="single" w:color="auto" w:sz="4" w:space="0"/>
              <w:bottom w:val="single" w:color="auto" w:sz="4" w:space="0"/>
              <w:right w:val="single" w:color="auto" w:sz="4" w:space="0"/>
            </w:tcBorders>
            <w:vAlign w:val="center"/>
          </w:tcPr>
          <w:p w14:paraId="60BF8407">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3FB2C1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66" w:type="dxa"/>
            <w:tcBorders>
              <w:top w:val="nil"/>
              <w:left w:val="nil"/>
              <w:bottom w:val="single" w:color="auto" w:sz="4" w:space="0"/>
              <w:right w:val="single" w:color="auto" w:sz="4" w:space="0"/>
            </w:tcBorders>
            <w:shd w:val="clear" w:color="auto" w:fill="auto"/>
            <w:vAlign w:val="center"/>
          </w:tcPr>
          <w:p w14:paraId="3EF67C0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5A66853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7165" w:type="dxa"/>
            <w:tcBorders>
              <w:top w:val="nil"/>
              <w:left w:val="nil"/>
              <w:bottom w:val="single" w:color="auto" w:sz="4" w:space="0"/>
              <w:right w:val="single" w:color="auto" w:sz="4" w:space="0"/>
            </w:tcBorders>
            <w:shd w:val="clear" w:color="auto" w:fill="auto"/>
            <w:vAlign w:val="center"/>
          </w:tcPr>
          <w:p w14:paraId="7CDE6FC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284E8E4D">
        <w:tblPrEx>
          <w:tblCellMar>
            <w:top w:w="0" w:type="dxa"/>
            <w:left w:w="108" w:type="dxa"/>
            <w:bottom w:w="0" w:type="dxa"/>
            <w:right w:w="108" w:type="dxa"/>
          </w:tblCellMar>
        </w:tblPrEx>
        <w:trPr>
          <w:cantSplit/>
          <w:trHeight w:val="90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A5CE04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5" w:type="dxa"/>
            <w:vMerge w:val="restart"/>
            <w:tcBorders>
              <w:top w:val="nil"/>
              <w:left w:val="single" w:color="auto" w:sz="4" w:space="0"/>
              <w:bottom w:val="single" w:color="000000" w:sz="4" w:space="0"/>
              <w:right w:val="single" w:color="auto" w:sz="4" w:space="0"/>
            </w:tcBorders>
            <w:shd w:val="clear" w:color="auto" w:fill="auto"/>
            <w:vAlign w:val="center"/>
          </w:tcPr>
          <w:p w14:paraId="7BC1E31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995" w:type="dxa"/>
            <w:tcBorders>
              <w:top w:val="nil"/>
              <w:left w:val="nil"/>
              <w:bottom w:val="single" w:color="auto" w:sz="4" w:space="0"/>
              <w:right w:val="single" w:color="auto" w:sz="4" w:space="0"/>
            </w:tcBorders>
            <w:shd w:val="clear" w:color="auto" w:fill="auto"/>
            <w:vAlign w:val="center"/>
          </w:tcPr>
          <w:p w14:paraId="204D8E4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66" w:type="dxa"/>
            <w:tcBorders>
              <w:top w:val="nil"/>
              <w:left w:val="nil"/>
              <w:bottom w:val="single" w:color="auto" w:sz="4" w:space="0"/>
              <w:right w:val="single" w:color="auto" w:sz="4" w:space="0"/>
            </w:tcBorders>
            <w:shd w:val="clear" w:color="auto" w:fill="auto"/>
            <w:vAlign w:val="center"/>
          </w:tcPr>
          <w:p w14:paraId="33E4ED5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430012B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7165" w:type="dxa"/>
            <w:tcBorders>
              <w:top w:val="nil"/>
              <w:left w:val="nil"/>
              <w:bottom w:val="single" w:color="auto" w:sz="4" w:space="0"/>
              <w:right w:val="single" w:color="auto" w:sz="4" w:space="0"/>
            </w:tcBorders>
            <w:shd w:val="clear" w:color="auto" w:fill="auto"/>
            <w:vAlign w:val="center"/>
          </w:tcPr>
          <w:p w14:paraId="4143C5E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1E78FBD5">
        <w:tblPrEx>
          <w:tblCellMar>
            <w:top w:w="0" w:type="dxa"/>
            <w:left w:w="108" w:type="dxa"/>
            <w:bottom w:w="0" w:type="dxa"/>
            <w:right w:w="108" w:type="dxa"/>
          </w:tblCellMar>
        </w:tblPrEx>
        <w:trPr>
          <w:cantSplit/>
          <w:trHeight w:val="816"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64D979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5" w:type="dxa"/>
            <w:vMerge w:val="continue"/>
            <w:tcBorders>
              <w:top w:val="nil"/>
              <w:left w:val="single" w:color="auto" w:sz="4" w:space="0"/>
              <w:bottom w:val="single" w:color="000000" w:sz="4" w:space="0"/>
              <w:right w:val="single" w:color="auto" w:sz="4" w:space="0"/>
            </w:tcBorders>
            <w:vAlign w:val="center"/>
          </w:tcPr>
          <w:p w14:paraId="7B992123">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03A648B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66" w:type="dxa"/>
            <w:tcBorders>
              <w:top w:val="nil"/>
              <w:left w:val="nil"/>
              <w:bottom w:val="single" w:color="auto" w:sz="4" w:space="0"/>
              <w:right w:val="single" w:color="auto" w:sz="4" w:space="0"/>
            </w:tcBorders>
            <w:shd w:val="clear" w:color="auto" w:fill="auto"/>
            <w:vAlign w:val="center"/>
          </w:tcPr>
          <w:p w14:paraId="6E59491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nil"/>
              <w:left w:val="nil"/>
              <w:bottom w:val="single" w:color="auto" w:sz="4" w:space="0"/>
              <w:right w:val="single" w:color="auto" w:sz="4" w:space="0"/>
            </w:tcBorders>
            <w:shd w:val="clear" w:color="auto" w:fill="auto"/>
            <w:vAlign w:val="center"/>
          </w:tcPr>
          <w:p w14:paraId="0076D6D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7165" w:type="dxa"/>
            <w:tcBorders>
              <w:top w:val="nil"/>
              <w:left w:val="nil"/>
              <w:bottom w:val="single" w:color="auto" w:sz="4" w:space="0"/>
              <w:right w:val="single" w:color="auto" w:sz="4" w:space="0"/>
            </w:tcBorders>
            <w:shd w:val="clear" w:color="auto" w:fill="auto"/>
            <w:vAlign w:val="center"/>
          </w:tcPr>
          <w:p w14:paraId="37601D6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5DF9064B">
      <w:pPr>
        <w:rPr>
          <w:rFonts w:ascii="Arial Narrow" w:hAnsi="Arial Narrow" w:eastAsia="仿宋_GB2312" w:cs="宋体"/>
          <w:kern w:val="0"/>
          <w:sz w:val="24"/>
        </w:rPr>
      </w:pPr>
    </w:p>
    <w:p w14:paraId="0AFF24A7">
      <w:pPr>
        <w:rPr>
          <w:rFonts w:ascii="Arial Narrow" w:hAnsi="Arial Narrow" w:eastAsia="仿宋_GB2312" w:cs="宋体"/>
          <w:kern w:val="0"/>
          <w:sz w:val="24"/>
        </w:rPr>
        <w:sectPr>
          <w:pgSz w:w="16840" w:h="11907" w:orient="landscape"/>
          <w:pgMar w:top="1418" w:right="1134" w:bottom="1134" w:left="1418" w:header="851" w:footer="851" w:gutter="0"/>
          <w:cols w:space="425" w:num="1"/>
          <w:docGrid w:linePitch="312" w:charSpace="0"/>
        </w:sectPr>
      </w:pPr>
    </w:p>
    <w:p w14:paraId="16BB384A">
      <w:pPr>
        <w:spacing w:before="120" w:beforeLines="50" w:line="360" w:lineRule="auto"/>
        <w:ind w:firstLine="482" w:firstLineChars="200"/>
        <w:jc w:val="left"/>
        <w:outlineLvl w:val="0"/>
        <w:rPr>
          <w:rFonts w:ascii="Arial Narrow" w:hAnsi="Arial Narrow" w:eastAsia="仿宋_GB2312"/>
          <w:b/>
          <w:sz w:val="24"/>
        </w:rPr>
      </w:pPr>
      <w:bookmarkStart w:id="15" w:name="_Toc20184"/>
      <w:r>
        <w:rPr>
          <w:rFonts w:ascii="Arial Narrow" w:hAnsi="Arial Narrow" w:eastAsia="仿宋_GB2312"/>
          <w:b/>
          <w:sz w:val="24"/>
        </w:rPr>
        <w:t>（五）绩效评价标准和评价方法</w:t>
      </w:r>
      <w:bookmarkEnd w:id="15"/>
    </w:p>
    <w:p w14:paraId="0B94D90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绩效评价标准</w:t>
      </w:r>
    </w:p>
    <w:p w14:paraId="7764657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7D5E081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6E28A15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绩效评价方法</w:t>
      </w:r>
    </w:p>
    <w:p w14:paraId="695B399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44EE799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2309D65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5A22545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055D352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69E4303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5F938C1D">
      <w:pPr>
        <w:spacing w:line="360" w:lineRule="auto"/>
        <w:ind w:firstLine="482" w:firstLineChars="200"/>
        <w:jc w:val="left"/>
        <w:outlineLvl w:val="0"/>
        <w:rPr>
          <w:rFonts w:ascii="Arial Narrow" w:hAnsi="Arial Narrow" w:eastAsia="仿宋_GB2312"/>
          <w:b/>
          <w:sz w:val="24"/>
        </w:rPr>
      </w:pPr>
      <w:bookmarkStart w:id="18" w:name="_Toc437528932"/>
      <w:bookmarkStart w:id="19" w:name="_Toc8006"/>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0F8EA196">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D70142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根据项目实际情况收集项目基础资料及数据深入了解项目整体情况。</w:t>
      </w:r>
    </w:p>
    <w:p w14:paraId="42A40C4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组织实施现场调查、检查、走访等具体工作。</w:t>
      </w:r>
    </w:p>
    <w:p w14:paraId="78C16D7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依据收集到的项目相关资料和数据，比照经贵单位审定的评价指标体系的评分标准，分别对项目评价打分，汇总后加权平均形成综合评价得分，并对该项目的绩效评价等级进行确认。</w:t>
      </w:r>
    </w:p>
    <w:p w14:paraId="4EDEE173">
      <w:pPr>
        <w:spacing w:line="360" w:lineRule="auto"/>
        <w:ind w:firstLine="482" w:firstLineChars="200"/>
        <w:jc w:val="left"/>
        <w:outlineLvl w:val="0"/>
        <w:rPr>
          <w:rFonts w:ascii="Arial Narrow" w:hAnsi="Arial Narrow" w:eastAsia="仿宋_GB2312"/>
          <w:b/>
          <w:sz w:val="24"/>
        </w:rPr>
      </w:pPr>
      <w:bookmarkStart w:id="20" w:name="_Toc437528933"/>
      <w:bookmarkStart w:id="21" w:name="_Toc22526"/>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35E9E40D">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94.64</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20DCCCDC">
      <w:pPr>
        <w:spacing w:line="360" w:lineRule="auto"/>
        <w:ind w:firstLine="482" w:firstLineChars="200"/>
        <w:outlineLvl w:val="0"/>
        <w:rPr>
          <w:rFonts w:ascii="Arial Narrow" w:hAnsi="Arial Narrow" w:eastAsia="仿宋_GB2312"/>
          <w:b/>
          <w:sz w:val="24"/>
        </w:rPr>
      </w:pPr>
      <w:bookmarkStart w:id="22" w:name="_Toc28994"/>
      <w:r>
        <w:rPr>
          <w:rFonts w:hint="eastAsia" w:ascii="Arial Narrow" w:hAnsi="Arial Narrow" w:eastAsia="仿宋_GB2312"/>
          <w:b/>
          <w:sz w:val="24"/>
        </w:rPr>
        <w:t>四、</w:t>
      </w:r>
      <w:r>
        <w:rPr>
          <w:rFonts w:ascii="Arial Narrow" w:hAnsi="Arial Narrow" w:eastAsia="仿宋_GB2312"/>
          <w:b/>
          <w:sz w:val="24"/>
        </w:rPr>
        <w:t>综合评价情况</w:t>
      </w:r>
      <w:bookmarkEnd w:id="22"/>
    </w:p>
    <w:p w14:paraId="00B90D21">
      <w:pPr>
        <w:spacing w:line="360" w:lineRule="auto"/>
        <w:ind w:firstLine="482" w:firstLineChars="200"/>
        <w:jc w:val="left"/>
        <w:outlineLvl w:val="0"/>
        <w:rPr>
          <w:rFonts w:ascii="仿宋_GB2312" w:eastAsia="仿宋_GB2312"/>
          <w:b/>
          <w:sz w:val="24"/>
        </w:rPr>
      </w:pPr>
      <w:bookmarkStart w:id="23" w:name="_Toc22244"/>
      <w:r>
        <w:rPr>
          <w:rFonts w:hint="eastAsia" w:ascii="仿宋_GB2312" w:eastAsia="仿宋_GB2312"/>
          <w:b/>
          <w:sz w:val="24"/>
        </w:rPr>
        <w:t>（一）资金管理</w:t>
      </w:r>
      <w:bookmarkEnd w:id="23"/>
    </w:p>
    <w:p w14:paraId="481EC44D">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ascii="Arial Narrow" w:hAnsi="Arial Narrow" w:eastAsia="仿宋_GB2312"/>
          <w:color w:val="auto"/>
          <w:sz w:val="24"/>
          <w:u w:val="none"/>
        </w:rPr>
        <w:t>1</w:t>
      </w:r>
      <w:r>
        <w:rPr>
          <w:rStyle w:val="11"/>
          <w:rFonts w:hint="eastAsia" w:ascii="Arial Narrow" w:hAnsi="Arial Narrow" w:eastAsia="仿宋_GB2312"/>
          <w:color w:val="auto"/>
          <w:sz w:val="24"/>
          <w:u w:val="none"/>
        </w:rPr>
        <w:t>.财政衔接资金安排情况</w:t>
      </w:r>
    </w:p>
    <w:p w14:paraId="2A01D7C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w:t>
      </w:r>
      <w:r>
        <w:rPr>
          <w:rFonts w:hint="eastAsia" w:ascii="Arial Narrow" w:hAnsi="Arial Narrow" w:eastAsia="仿宋_GB2312"/>
          <w:sz w:val="24"/>
          <w:lang w:val="en-US" w:eastAsia="zh-CN"/>
        </w:rPr>
        <w:t>号</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0B3570A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75D7D98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4651DB48">
      <w:pPr>
        <w:spacing w:line="360" w:lineRule="auto"/>
        <w:ind w:firstLine="482" w:firstLineChars="200"/>
        <w:jc w:val="left"/>
        <w:outlineLvl w:val="0"/>
        <w:rPr>
          <w:rFonts w:ascii="仿宋_GB2312" w:eastAsia="仿宋_GB2312"/>
          <w:b/>
          <w:sz w:val="24"/>
        </w:rPr>
      </w:pPr>
      <w:bookmarkStart w:id="24" w:name="_Toc24226"/>
      <w:r>
        <w:rPr>
          <w:rFonts w:hint="eastAsia" w:ascii="仿宋_GB2312" w:eastAsia="仿宋_GB2312"/>
          <w:b/>
          <w:sz w:val="24"/>
        </w:rPr>
        <w:t>（二）项目管理</w:t>
      </w:r>
      <w:bookmarkEnd w:id="24"/>
    </w:p>
    <w:p w14:paraId="7449D9FA">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rPr>
        <w:t>.</w:t>
      </w:r>
      <w:r>
        <w:rPr>
          <w:rFonts w:hint="eastAsia" w:ascii="Arial Narrow" w:hAnsi="Arial Narrow" w:eastAsia="仿宋_GB2312"/>
          <w:sz w:val="24"/>
        </w:rPr>
        <w:t>项目库建设管理情况</w:t>
      </w:r>
    </w:p>
    <w:p w14:paraId="472EFFE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项目入库及时充分、程序规范、内容完整，制定切合实际的实施方案，具备实施条件，衔接资金未用于项目库之外的项目。</w:t>
      </w:r>
    </w:p>
    <w:p w14:paraId="2C6FAD43">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ascii="Arial Narrow" w:hAnsi="Arial Narrow" w:eastAsia="仿宋_GB2312"/>
        </w:rPr>
        <w:t>.</w:t>
      </w:r>
      <w:r>
        <w:rPr>
          <w:rFonts w:hint="eastAsia" w:ascii="Arial Narrow" w:hAnsi="Arial Narrow" w:eastAsia="仿宋_GB2312"/>
          <w:color w:val="000000" w:themeColor="text1"/>
          <w:sz w:val="24"/>
          <w14:textFill>
            <w14:solidFill>
              <w14:schemeClr w14:val="tx1"/>
            </w14:solidFill>
          </w14:textFill>
        </w:rPr>
        <w:t>项目绩效管理情况</w:t>
      </w:r>
    </w:p>
    <w:p w14:paraId="6C58B307">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color w:val="000000" w:themeColor="text1"/>
          <w:sz w:val="24"/>
          <w14:textFill>
            <w14:solidFill>
              <w14:schemeClr w14:val="tx1"/>
            </w14:solidFill>
          </w14:textFill>
        </w:rPr>
        <w:t>及时制定了明确的绩效目标，实施过程中对绩效目标进行监控，在项目实施完毕后开展了绩效自评，形成绩效自评表及自评报告。</w:t>
      </w:r>
    </w:p>
    <w:p w14:paraId="115A7F6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sz w:val="24"/>
        </w:rPr>
        <w:t>绩效基本达到预期。</w:t>
      </w:r>
    </w:p>
    <w:p w14:paraId="0AA6E31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rPr>
        <w:t>.</w:t>
      </w:r>
      <w:r>
        <w:rPr>
          <w:rFonts w:hint="eastAsia" w:ascii="Arial Narrow" w:hAnsi="Arial Narrow" w:eastAsia="仿宋_GB2312"/>
          <w:sz w:val="24"/>
        </w:rPr>
        <w:t>项目建设管理情况</w:t>
      </w:r>
    </w:p>
    <w:p w14:paraId="7442E9C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3E9BD0A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ascii="Arial Narrow" w:hAnsi="Arial Narrow" w:eastAsia="仿宋_GB2312"/>
        </w:rPr>
        <w:t>.</w:t>
      </w:r>
      <w:r>
        <w:rPr>
          <w:rFonts w:hint="eastAsia" w:ascii="Arial Narrow" w:hAnsi="Arial Narrow" w:eastAsia="仿宋_GB2312"/>
          <w:sz w:val="24"/>
        </w:rPr>
        <w:t>预算执行率情况</w:t>
      </w:r>
    </w:p>
    <w:p w14:paraId="54C01F8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公益性岗位项目最后一笔款项拨付于2023年10月12日，项目整体支付进度达标，未见明显异常。7月未达到与序时进度的比例，扣1.36分。</w:t>
      </w:r>
    </w:p>
    <w:p w14:paraId="24AECF5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w:t>
      </w:r>
      <w:r>
        <w:rPr>
          <w:rFonts w:hint="eastAsia" w:ascii="Arial Narrow" w:hAnsi="Arial Narrow" w:eastAsia="仿宋_GB2312"/>
        </w:rPr>
        <w:t>.</w:t>
      </w:r>
      <w:r>
        <w:rPr>
          <w:rFonts w:hint="eastAsia" w:ascii="Arial Narrow" w:hAnsi="Arial Narrow" w:eastAsia="仿宋_GB2312"/>
          <w:sz w:val="24"/>
        </w:rPr>
        <w:t>跟踪督促及发现问题整改情况</w:t>
      </w:r>
    </w:p>
    <w:p w14:paraId="0E1F3C4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通过实施单位提供的检查表、自评表等资料显示，本项目实施单位定期开展项目实施和资金支出进度等跟踪督促，未发现异常情况。</w:t>
      </w:r>
    </w:p>
    <w:p w14:paraId="7E348F3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ascii="Arial Narrow" w:hAnsi="Arial Narrow" w:eastAsia="仿宋_GB2312"/>
        </w:rPr>
        <w:t>.</w:t>
      </w:r>
      <w:r>
        <w:rPr>
          <w:rFonts w:hint="eastAsia" w:ascii="Arial Narrow" w:hAnsi="Arial Narrow" w:eastAsia="仿宋_GB2312"/>
          <w:sz w:val="24"/>
        </w:rPr>
        <w:t>账务处理及档案管理等情况</w:t>
      </w:r>
    </w:p>
    <w:p w14:paraId="32BEF7B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本项目实施单位对该项目账务处理规范，档案管理完整。归档不及时，扣1分。</w:t>
      </w:r>
    </w:p>
    <w:p w14:paraId="6447CE0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rPr>
        <w:t>.</w:t>
      </w:r>
      <w:r>
        <w:rPr>
          <w:rFonts w:hint="eastAsia" w:ascii="Arial Narrow" w:hAnsi="Arial Narrow" w:eastAsia="仿宋_GB2312"/>
          <w:sz w:val="24"/>
        </w:rPr>
        <w:t>信息公开和公告公示制度落实情况</w:t>
      </w:r>
    </w:p>
    <w:p w14:paraId="4606DDC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各镇</w:t>
      </w:r>
      <w:r>
        <w:rPr>
          <w:rFonts w:hint="eastAsia" w:ascii="Arial Narrow" w:hAnsi="Arial Narrow" w:eastAsia="仿宋_GB2312"/>
          <w:sz w:val="24"/>
        </w:rPr>
        <w:t>对</w:t>
      </w:r>
      <w:r>
        <w:rPr>
          <w:rFonts w:hint="eastAsia" w:ascii="Arial Narrow" w:hAnsi="Arial Narrow" w:eastAsia="仿宋_GB2312" w:cs="宋体"/>
          <w:kern w:val="0"/>
          <w:sz w:val="24"/>
        </w:rPr>
        <w:t>公益性岗位项目</w:t>
      </w:r>
      <w:r>
        <w:rPr>
          <w:rFonts w:hint="eastAsia" w:ascii="Arial Narrow" w:hAnsi="Arial Narrow" w:eastAsia="仿宋_GB2312"/>
          <w:sz w:val="24"/>
        </w:rPr>
        <w:t>进行了公益性岗位招聘公告公示。只有招聘公益性岗位公示资料，扣3分。</w:t>
      </w:r>
    </w:p>
    <w:p w14:paraId="5FA462A3">
      <w:pPr>
        <w:spacing w:line="360" w:lineRule="auto"/>
        <w:ind w:firstLine="482" w:firstLineChars="200"/>
        <w:jc w:val="left"/>
        <w:outlineLvl w:val="0"/>
        <w:rPr>
          <w:rFonts w:ascii="仿宋_GB2312" w:eastAsia="仿宋_GB2312"/>
          <w:b/>
          <w:sz w:val="24"/>
        </w:rPr>
      </w:pPr>
      <w:bookmarkStart w:id="25" w:name="_Toc30376"/>
      <w:r>
        <w:rPr>
          <w:rFonts w:hint="eastAsia" w:ascii="仿宋_GB2312" w:eastAsia="仿宋_GB2312"/>
          <w:b/>
          <w:sz w:val="24"/>
        </w:rPr>
        <w:t>（三）使用成效及通报情况</w:t>
      </w:r>
      <w:bookmarkEnd w:id="25"/>
    </w:p>
    <w:p w14:paraId="25DDABCD">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rPr>
        <w:t>.</w:t>
      </w:r>
      <w:r>
        <w:rPr>
          <w:rFonts w:hint="eastAsia" w:ascii="Arial Narrow" w:hAnsi="Arial Narrow" w:eastAsia="仿宋_GB2312"/>
          <w:sz w:val="24"/>
        </w:rPr>
        <w:t>资金使用效益</w:t>
      </w:r>
    </w:p>
    <w:p w14:paraId="70DDD45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项目总体资金均专款专用，项目完成进度和及时性达到计划预期目的，完成了绩效目标，已安排民政系统公益性岗位58个。</w:t>
      </w:r>
    </w:p>
    <w:p w14:paraId="45A685E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rPr>
        <w:t>.</w:t>
      </w:r>
      <w:r>
        <w:rPr>
          <w:rFonts w:hint="eastAsia" w:ascii="Arial Narrow" w:hAnsi="Arial Narrow" w:eastAsia="仿宋_GB2312"/>
          <w:sz w:val="24"/>
        </w:rPr>
        <w:t>通报情况</w:t>
      </w:r>
    </w:p>
    <w:p w14:paraId="6469396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项目实施管理日常表现良好，未被通报问题和反馈情况。</w:t>
      </w:r>
    </w:p>
    <w:p w14:paraId="32911D60">
      <w:pPr>
        <w:spacing w:line="360" w:lineRule="auto"/>
        <w:ind w:firstLine="482" w:firstLineChars="200"/>
        <w:outlineLvl w:val="0"/>
        <w:rPr>
          <w:rFonts w:ascii="Arial Narrow" w:hAnsi="Arial Narrow" w:eastAsia="仿宋_GB2312"/>
          <w:b/>
          <w:sz w:val="24"/>
        </w:rPr>
      </w:pPr>
      <w:bookmarkStart w:id="26" w:name="_Toc21824"/>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4033F26D">
      <w:pPr>
        <w:spacing w:line="360" w:lineRule="auto"/>
        <w:ind w:firstLine="482" w:firstLineChars="200"/>
        <w:jc w:val="left"/>
        <w:outlineLvl w:val="0"/>
        <w:rPr>
          <w:rFonts w:ascii="仿宋_GB2312" w:eastAsia="仿宋_GB2312"/>
          <w:b/>
          <w:sz w:val="24"/>
        </w:rPr>
      </w:pPr>
      <w:bookmarkStart w:id="27" w:name="_Toc26671"/>
      <w:r>
        <w:rPr>
          <w:rFonts w:hint="eastAsia" w:ascii="仿宋_GB2312" w:eastAsia="仿宋_GB2312"/>
          <w:b/>
          <w:sz w:val="24"/>
        </w:rPr>
        <w:t>（一）存在问题</w:t>
      </w:r>
      <w:bookmarkEnd w:id="27"/>
    </w:p>
    <w:p w14:paraId="65232C7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严格按照</w:t>
      </w:r>
      <w:r>
        <w:rPr>
          <w:rStyle w:val="11"/>
          <w:rFonts w:hint="eastAsia" w:ascii="Arial Narrow" w:hAnsi="Arial Narrow" w:eastAsia="仿宋_GB2312"/>
          <w:color w:val="auto"/>
          <w:sz w:val="24"/>
          <w:u w:val="none"/>
        </w:rPr>
        <w:t>《铜梁区财政衔接推进乡村振兴补助资金项目公告公示实施办法》（铜委农办〔2021〕19号）文件要求进行公示公告，仅公示公益性岗位招聘信息</w:t>
      </w:r>
      <w:r>
        <w:rPr>
          <w:rFonts w:hint="eastAsia" w:ascii="Arial Narrow" w:hAnsi="Arial Narrow" w:eastAsia="仿宋_GB2312"/>
          <w:sz w:val="24"/>
        </w:rPr>
        <w:t>。</w:t>
      </w:r>
    </w:p>
    <w:p w14:paraId="648EC5C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日常档案管理资料整理归档不及时。</w:t>
      </w:r>
    </w:p>
    <w:p w14:paraId="1E6C331C">
      <w:pPr>
        <w:spacing w:line="360" w:lineRule="auto"/>
        <w:ind w:firstLine="482" w:firstLineChars="200"/>
        <w:jc w:val="left"/>
        <w:outlineLvl w:val="0"/>
        <w:rPr>
          <w:rFonts w:ascii="仿宋_GB2312" w:eastAsia="仿宋_GB2312"/>
          <w:b/>
          <w:sz w:val="24"/>
        </w:rPr>
      </w:pPr>
      <w:bookmarkStart w:id="28" w:name="_Toc31537"/>
      <w:r>
        <w:rPr>
          <w:rFonts w:hint="eastAsia" w:ascii="仿宋_GB2312" w:eastAsia="仿宋_GB2312"/>
          <w:b/>
          <w:sz w:val="24"/>
        </w:rPr>
        <w:t>（二）建议</w:t>
      </w:r>
      <w:bookmarkEnd w:id="28"/>
    </w:p>
    <w:p w14:paraId="4BAC2870">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铜梁区财政衔接推进乡村振兴补助资金项目公告公示实施办法》（铜委农办〔2021〕19号）落实《铜梁区财政衔接推进乡村振兴补助资金项目公告公示实施办法》（铜委农办〔2021〕19号）文件要求，按照文件执行公示公告程序。</w:t>
      </w:r>
    </w:p>
    <w:p w14:paraId="1778C09F">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《铜梁区财政衔接推进乡村振兴补助资金项目公告公示实施办法》（铜委农办〔2021〕19号）对项目日常管理资料及时归档整理装订成册或装订成盒。</w:t>
      </w:r>
    </w:p>
    <w:p w14:paraId="57470140">
      <w:pPr>
        <w:adjustRightInd w:val="0"/>
        <w:snapToGrid w:val="0"/>
        <w:spacing w:line="360" w:lineRule="auto"/>
        <w:ind w:firstLine="480" w:firstLineChars="200"/>
        <w:rPr>
          <w:rStyle w:val="11"/>
          <w:rFonts w:ascii="Arial Narrow" w:hAnsi="Arial Narrow" w:eastAsia="仿宋_GB2312"/>
          <w:color w:val="auto"/>
          <w:sz w:val="24"/>
          <w:u w:val="none"/>
        </w:rPr>
      </w:pPr>
    </w:p>
    <w:p w14:paraId="27D63AC2">
      <w:pPr>
        <w:adjustRightInd w:val="0"/>
        <w:snapToGrid w:val="0"/>
        <w:spacing w:line="360" w:lineRule="auto"/>
        <w:ind w:firstLine="480" w:firstLineChars="200"/>
        <w:rPr>
          <w:rStyle w:val="11"/>
          <w:rFonts w:ascii="Arial Narrow" w:hAnsi="Arial Narrow" w:eastAsia="仿宋_GB2312"/>
          <w:color w:val="auto"/>
          <w:sz w:val="24"/>
          <w:u w:val="none"/>
        </w:rPr>
      </w:pPr>
    </w:p>
    <w:p w14:paraId="020CD66F">
      <w:pPr>
        <w:adjustRightInd w:val="0"/>
        <w:snapToGrid w:val="0"/>
        <w:spacing w:line="360" w:lineRule="auto"/>
        <w:ind w:firstLine="420" w:firstLineChars="200"/>
        <w:rPr>
          <w:rStyle w:val="11"/>
          <w:color w:val="auto"/>
          <w:u w:val="none"/>
        </w:rPr>
      </w:pPr>
    </w:p>
    <w:p w14:paraId="19DC9006">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绩效评价指标体系及评分结果表；</w:t>
      </w:r>
    </w:p>
    <w:p w14:paraId="683B5BE5">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3C89E42B">
      <w:pPr>
        <w:adjustRightInd w:val="0"/>
        <w:snapToGrid w:val="0"/>
        <w:spacing w:line="360" w:lineRule="auto"/>
        <w:rPr>
          <w:rStyle w:val="11"/>
          <w:rFonts w:ascii="Arial Narrow" w:hAnsi="Arial Narrow" w:eastAsia="仿宋_GB2312"/>
          <w:color w:val="auto"/>
          <w:sz w:val="24"/>
          <w:u w:val="none"/>
        </w:rPr>
      </w:pPr>
    </w:p>
    <w:p w14:paraId="10E9BA2C">
      <w:pPr>
        <w:adjustRightInd w:val="0"/>
        <w:snapToGrid w:val="0"/>
        <w:spacing w:line="360" w:lineRule="auto"/>
        <w:ind w:firstLine="720" w:firstLineChars="300"/>
        <w:rPr>
          <w:rStyle w:val="11"/>
          <w:rFonts w:ascii="Arial Narrow" w:hAnsi="Arial Narrow" w:eastAsia="仿宋_GB2312"/>
          <w:color w:val="auto"/>
          <w:sz w:val="24"/>
          <w:u w:val="none"/>
        </w:rPr>
      </w:pPr>
    </w:p>
    <w:p w14:paraId="561DDF5E">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4DBA1EFB">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29" w:name="_GoBack"/>
      <w:bookmarkEnd w:id="29"/>
      <w:r>
        <w:rPr>
          <w:rStyle w:val="11"/>
          <w:rFonts w:hint="eastAsia" w:ascii="Arial Narrow" w:hAnsi="Arial Narrow" w:eastAsia="仿宋_GB2312"/>
          <w:color w:val="auto"/>
          <w:sz w:val="24"/>
          <w:u w:val="none"/>
        </w:rPr>
        <w:t>二四年六月十四日</w:t>
      </w:r>
    </w:p>
    <w:sectPr>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325A">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60CFD">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2F108">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640C"/>
    <w:rsid w:val="00060BD2"/>
    <w:rsid w:val="00063E0B"/>
    <w:rsid w:val="000769EE"/>
    <w:rsid w:val="00086622"/>
    <w:rsid w:val="00087AFF"/>
    <w:rsid w:val="000D1A3B"/>
    <w:rsid w:val="000E4529"/>
    <w:rsid w:val="000E6A52"/>
    <w:rsid w:val="0010003E"/>
    <w:rsid w:val="00104568"/>
    <w:rsid w:val="00140035"/>
    <w:rsid w:val="00143A99"/>
    <w:rsid w:val="00152152"/>
    <w:rsid w:val="001601C4"/>
    <w:rsid w:val="00164C87"/>
    <w:rsid w:val="001A42EB"/>
    <w:rsid w:val="001C6F32"/>
    <w:rsid w:val="001E0132"/>
    <w:rsid w:val="001F3624"/>
    <w:rsid w:val="001F43AE"/>
    <w:rsid w:val="00216472"/>
    <w:rsid w:val="00224D96"/>
    <w:rsid w:val="00226E7E"/>
    <w:rsid w:val="0024139B"/>
    <w:rsid w:val="00276D1C"/>
    <w:rsid w:val="00282997"/>
    <w:rsid w:val="002C083D"/>
    <w:rsid w:val="002C36AE"/>
    <w:rsid w:val="002C5020"/>
    <w:rsid w:val="002C7EFA"/>
    <w:rsid w:val="00324E2F"/>
    <w:rsid w:val="00327BED"/>
    <w:rsid w:val="00331DC5"/>
    <w:rsid w:val="00336ACA"/>
    <w:rsid w:val="0037066E"/>
    <w:rsid w:val="00384C3C"/>
    <w:rsid w:val="003879CE"/>
    <w:rsid w:val="003A00D8"/>
    <w:rsid w:val="003B42BF"/>
    <w:rsid w:val="003F1985"/>
    <w:rsid w:val="00414A58"/>
    <w:rsid w:val="004200C2"/>
    <w:rsid w:val="00420AA7"/>
    <w:rsid w:val="00421C71"/>
    <w:rsid w:val="00470930"/>
    <w:rsid w:val="004A6242"/>
    <w:rsid w:val="004C1F3A"/>
    <w:rsid w:val="004C38B4"/>
    <w:rsid w:val="004D1145"/>
    <w:rsid w:val="004D2A6E"/>
    <w:rsid w:val="004E6833"/>
    <w:rsid w:val="004F7A0F"/>
    <w:rsid w:val="00501A64"/>
    <w:rsid w:val="00506023"/>
    <w:rsid w:val="00536985"/>
    <w:rsid w:val="005651CB"/>
    <w:rsid w:val="00572DD6"/>
    <w:rsid w:val="005A02C5"/>
    <w:rsid w:val="005A03EF"/>
    <w:rsid w:val="005A6053"/>
    <w:rsid w:val="005B468B"/>
    <w:rsid w:val="005D6C0A"/>
    <w:rsid w:val="005E133F"/>
    <w:rsid w:val="005F01BA"/>
    <w:rsid w:val="0061001E"/>
    <w:rsid w:val="0061417A"/>
    <w:rsid w:val="00655510"/>
    <w:rsid w:val="00667D26"/>
    <w:rsid w:val="00673D65"/>
    <w:rsid w:val="0069678B"/>
    <w:rsid w:val="006A58E0"/>
    <w:rsid w:val="006D14F7"/>
    <w:rsid w:val="006E75D6"/>
    <w:rsid w:val="006E7DA1"/>
    <w:rsid w:val="006F7CBD"/>
    <w:rsid w:val="0073019B"/>
    <w:rsid w:val="00730A8E"/>
    <w:rsid w:val="00740AB7"/>
    <w:rsid w:val="00740E9D"/>
    <w:rsid w:val="00741402"/>
    <w:rsid w:val="00765F46"/>
    <w:rsid w:val="007A6BE6"/>
    <w:rsid w:val="00827385"/>
    <w:rsid w:val="00842151"/>
    <w:rsid w:val="00856815"/>
    <w:rsid w:val="008701B6"/>
    <w:rsid w:val="008952B1"/>
    <w:rsid w:val="008C381D"/>
    <w:rsid w:val="008D4F7C"/>
    <w:rsid w:val="008E609D"/>
    <w:rsid w:val="0090729E"/>
    <w:rsid w:val="009309C0"/>
    <w:rsid w:val="0093667D"/>
    <w:rsid w:val="00950E41"/>
    <w:rsid w:val="00983CB7"/>
    <w:rsid w:val="009957B8"/>
    <w:rsid w:val="0099666C"/>
    <w:rsid w:val="009E4352"/>
    <w:rsid w:val="009F1C42"/>
    <w:rsid w:val="00A066D6"/>
    <w:rsid w:val="00A14650"/>
    <w:rsid w:val="00A352D4"/>
    <w:rsid w:val="00A922C5"/>
    <w:rsid w:val="00A95CA5"/>
    <w:rsid w:val="00AB5FF4"/>
    <w:rsid w:val="00AC3880"/>
    <w:rsid w:val="00AD0284"/>
    <w:rsid w:val="00AE470F"/>
    <w:rsid w:val="00AF58DD"/>
    <w:rsid w:val="00B134A6"/>
    <w:rsid w:val="00B25A79"/>
    <w:rsid w:val="00B7289F"/>
    <w:rsid w:val="00B94CCE"/>
    <w:rsid w:val="00BA0D07"/>
    <w:rsid w:val="00BA212E"/>
    <w:rsid w:val="00BB3674"/>
    <w:rsid w:val="00BC2692"/>
    <w:rsid w:val="00BC7BED"/>
    <w:rsid w:val="00BD6FFD"/>
    <w:rsid w:val="00C02FB6"/>
    <w:rsid w:val="00C107C7"/>
    <w:rsid w:val="00C12443"/>
    <w:rsid w:val="00C35442"/>
    <w:rsid w:val="00C36A73"/>
    <w:rsid w:val="00C60A62"/>
    <w:rsid w:val="00C93C4A"/>
    <w:rsid w:val="00CB54FB"/>
    <w:rsid w:val="00CC769D"/>
    <w:rsid w:val="00CD06CD"/>
    <w:rsid w:val="00D1562E"/>
    <w:rsid w:val="00D254D3"/>
    <w:rsid w:val="00D26E16"/>
    <w:rsid w:val="00D415D5"/>
    <w:rsid w:val="00DB55F0"/>
    <w:rsid w:val="00DE6E23"/>
    <w:rsid w:val="00DF608E"/>
    <w:rsid w:val="00E065AA"/>
    <w:rsid w:val="00E1059A"/>
    <w:rsid w:val="00E11EFB"/>
    <w:rsid w:val="00E23D6E"/>
    <w:rsid w:val="00E27A95"/>
    <w:rsid w:val="00E66C12"/>
    <w:rsid w:val="00E709E2"/>
    <w:rsid w:val="00E80BDA"/>
    <w:rsid w:val="00EA1C10"/>
    <w:rsid w:val="00EB4610"/>
    <w:rsid w:val="00EB474C"/>
    <w:rsid w:val="00ED0A8C"/>
    <w:rsid w:val="00F11280"/>
    <w:rsid w:val="00F2011E"/>
    <w:rsid w:val="00F36680"/>
    <w:rsid w:val="00F54C3F"/>
    <w:rsid w:val="00F61D28"/>
    <w:rsid w:val="00F64D50"/>
    <w:rsid w:val="00F6551E"/>
    <w:rsid w:val="00F671F2"/>
    <w:rsid w:val="00F71AE8"/>
    <w:rsid w:val="00F84DF0"/>
    <w:rsid w:val="00FA6718"/>
    <w:rsid w:val="00FD0241"/>
    <w:rsid w:val="00FD1A79"/>
    <w:rsid w:val="00FD5F18"/>
    <w:rsid w:val="00FE1E65"/>
    <w:rsid w:val="00FE5705"/>
    <w:rsid w:val="00FF5AA5"/>
    <w:rsid w:val="02625B11"/>
    <w:rsid w:val="02717C9D"/>
    <w:rsid w:val="0C955D75"/>
    <w:rsid w:val="10FD0312"/>
    <w:rsid w:val="120E6874"/>
    <w:rsid w:val="18951B02"/>
    <w:rsid w:val="1A624D7F"/>
    <w:rsid w:val="23017356"/>
    <w:rsid w:val="270731DD"/>
    <w:rsid w:val="2A690229"/>
    <w:rsid w:val="357129F4"/>
    <w:rsid w:val="371050B8"/>
    <w:rsid w:val="3B111C96"/>
    <w:rsid w:val="45947F31"/>
    <w:rsid w:val="47141CD2"/>
    <w:rsid w:val="4947793F"/>
    <w:rsid w:val="4D833D99"/>
    <w:rsid w:val="4DF1278B"/>
    <w:rsid w:val="55115D7C"/>
    <w:rsid w:val="57CB58C2"/>
    <w:rsid w:val="5ABF6755"/>
    <w:rsid w:val="60087B46"/>
    <w:rsid w:val="602C24C3"/>
    <w:rsid w:val="616E659E"/>
    <w:rsid w:val="629B4EDD"/>
    <w:rsid w:val="66606BA5"/>
    <w:rsid w:val="696047F4"/>
    <w:rsid w:val="6C0B491D"/>
    <w:rsid w:val="6DAA54AF"/>
    <w:rsid w:val="6EC86FE9"/>
    <w:rsid w:val="70F91333"/>
    <w:rsid w:val="71224C98"/>
    <w:rsid w:val="7F2C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7DC31-293A-4B03-BBA7-C3822F9F3F91}">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5552</Words>
  <Characters>5910</Characters>
  <Lines>50</Lines>
  <Paragraphs>14</Paragraphs>
  <TotalTime>15</TotalTime>
  <ScaleCrop>false</ScaleCrop>
  <LinksUpToDate>false</LinksUpToDate>
  <CharactersWithSpaces>5940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2024-11-20T01:31:40Z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