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BF2C6">
      <w:pPr>
        <w:spacing w:line="360" w:lineRule="auto"/>
        <w:jc w:val="center"/>
        <w:rPr>
          <w:rFonts w:ascii="Arial Narrow" w:hAnsi="Arial Narrow"/>
          <w:b/>
          <w:bCs/>
          <w:sz w:val="36"/>
          <w:szCs w:val="36"/>
        </w:rPr>
      </w:pPr>
    </w:p>
    <w:p w14:paraId="5A1ABDCE">
      <w:pPr>
        <w:spacing w:line="360" w:lineRule="auto"/>
        <w:jc w:val="center"/>
        <w:rPr>
          <w:rFonts w:ascii="Arial Narrow" w:hAnsi="Arial Narrow"/>
          <w:b/>
          <w:bCs/>
          <w:sz w:val="36"/>
          <w:szCs w:val="36"/>
        </w:rPr>
      </w:pPr>
    </w:p>
    <w:p w14:paraId="0A1B2D73">
      <w:pPr>
        <w:spacing w:line="360" w:lineRule="auto"/>
        <w:jc w:val="center"/>
        <w:rPr>
          <w:rFonts w:ascii="Arial Narrow" w:hAnsi="Arial Narrow"/>
          <w:b/>
          <w:bCs/>
          <w:sz w:val="36"/>
          <w:szCs w:val="36"/>
        </w:rPr>
      </w:pPr>
    </w:p>
    <w:p w14:paraId="5B21C353">
      <w:pPr>
        <w:spacing w:line="360" w:lineRule="auto"/>
        <w:jc w:val="center"/>
        <w:rPr>
          <w:rFonts w:ascii="Arial Narrow" w:hAnsi="Arial Narrow"/>
          <w:b/>
          <w:bCs/>
          <w:sz w:val="36"/>
          <w:szCs w:val="36"/>
        </w:rPr>
      </w:pPr>
    </w:p>
    <w:p w14:paraId="04D84052">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重庆市铜梁区残疾人联合会公益性岗位项目</w:t>
      </w:r>
    </w:p>
    <w:p w14:paraId="714A0119">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4E87C030">
      <w:pPr>
        <w:adjustRightInd w:val="0"/>
        <w:snapToGrid w:val="0"/>
        <w:spacing w:line="360" w:lineRule="auto"/>
        <w:jc w:val="center"/>
        <w:rPr>
          <w:rFonts w:ascii="Arial Narrow" w:hAnsi="Arial Narrow"/>
          <w:b/>
          <w:sz w:val="36"/>
          <w:szCs w:val="36"/>
        </w:rPr>
      </w:pPr>
    </w:p>
    <w:p w14:paraId="2E9E7BA6">
      <w:pPr>
        <w:adjustRightInd w:val="0"/>
        <w:snapToGrid w:val="0"/>
        <w:spacing w:line="360" w:lineRule="auto"/>
        <w:jc w:val="center"/>
        <w:rPr>
          <w:rFonts w:ascii="Arial Narrow" w:hAnsi="Arial Narrow"/>
          <w:b/>
          <w:spacing w:val="100"/>
          <w:sz w:val="32"/>
          <w:szCs w:val="32"/>
        </w:rPr>
      </w:pPr>
    </w:p>
    <w:p w14:paraId="61055CDE">
      <w:pPr>
        <w:adjustRightInd w:val="0"/>
        <w:snapToGrid w:val="0"/>
        <w:spacing w:line="360" w:lineRule="auto"/>
        <w:jc w:val="center"/>
        <w:rPr>
          <w:rFonts w:ascii="Arial Narrow" w:hAnsi="Arial Narrow"/>
          <w:b/>
          <w:spacing w:val="100"/>
          <w:sz w:val="32"/>
          <w:szCs w:val="32"/>
        </w:rPr>
      </w:pPr>
    </w:p>
    <w:p w14:paraId="6A18F546">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3FD99C49">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ascii="Arial Narrow" w:hAnsi="Arial Narrow" w:eastAsia="仿宋"/>
          <w:bCs/>
          <w:sz w:val="32"/>
          <w:szCs w:val="32"/>
        </w:rPr>
        <w:t>0</w:t>
      </w:r>
      <w:r>
        <w:rPr>
          <w:rFonts w:hint="eastAsia" w:ascii="Arial Narrow" w:hAnsi="Arial Narrow" w:eastAsia="仿宋"/>
          <w:bCs/>
          <w:sz w:val="32"/>
          <w:szCs w:val="32"/>
        </w:rPr>
        <w:t>53</w:t>
      </w:r>
      <w:r>
        <w:rPr>
          <w:rFonts w:ascii="Arial Narrow" w:hAnsi="Arial Narrow" w:eastAsia="仿宋"/>
          <w:bCs/>
          <w:sz w:val="32"/>
          <w:szCs w:val="32"/>
        </w:rPr>
        <w:t>号</w:t>
      </w:r>
    </w:p>
    <w:p w14:paraId="05EEFF56">
      <w:pPr>
        <w:adjustRightInd w:val="0"/>
        <w:snapToGrid w:val="0"/>
        <w:spacing w:line="360" w:lineRule="auto"/>
        <w:jc w:val="center"/>
        <w:rPr>
          <w:rFonts w:ascii="Arial Narrow" w:hAnsi="Arial Narrow"/>
          <w:b/>
          <w:spacing w:val="100"/>
          <w:sz w:val="32"/>
          <w:szCs w:val="32"/>
        </w:rPr>
      </w:pPr>
    </w:p>
    <w:p w14:paraId="5AD8076C">
      <w:pPr>
        <w:adjustRightInd w:val="0"/>
        <w:snapToGrid w:val="0"/>
        <w:spacing w:line="360" w:lineRule="auto"/>
        <w:jc w:val="center"/>
        <w:rPr>
          <w:rFonts w:ascii="Arial Narrow" w:hAnsi="Arial Narrow"/>
          <w:b/>
          <w:spacing w:val="100"/>
          <w:sz w:val="32"/>
          <w:szCs w:val="32"/>
        </w:rPr>
      </w:pPr>
    </w:p>
    <w:p w14:paraId="3241758F">
      <w:pPr>
        <w:adjustRightInd w:val="0"/>
        <w:snapToGrid w:val="0"/>
        <w:spacing w:line="360" w:lineRule="auto"/>
        <w:jc w:val="center"/>
        <w:rPr>
          <w:rFonts w:ascii="Arial Narrow" w:hAnsi="Arial Narrow"/>
          <w:b/>
          <w:spacing w:val="100"/>
          <w:sz w:val="32"/>
          <w:szCs w:val="32"/>
        </w:rPr>
      </w:pPr>
    </w:p>
    <w:p w14:paraId="6FAFA3C0">
      <w:pPr>
        <w:adjustRightInd w:val="0"/>
        <w:snapToGrid w:val="0"/>
        <w:spacing w:line="360" w:lineRule="auto"/>
        <w:jc w:val="center"/>
        <w:rPr>
          <w:rFonts w:ascii="Arial Narrow" w:hAnsi="Arial Narrow"/>
          <w:b/>
          <w:spacing w:val="100"/>
          <w:sz w:val="32"/>
          <w:szCs w:val="32"/>
        </w:rPr>
      </w:pPr>
    </w:p>
    <w:p w14:paraId="58094DFB">
      <w:pPr>
        <w:adjustRightInd w:val="0"/>
        <w:snapToGrid w:val="0"/>
        <w:spacing w:line="360" w:lineRule="auto"/>
        <w:jc w:val="center"/>
        <w:rPr>
          <w:rFonts w:ascii="Arial Narrow" w:hAnsi="Arial Narrow"/>
          <w:b/>
          <w:spacing w:val="100"/>
          <w:sz w:val="32"/>
          <w:szCs w:val="32"/>
        </w:rPr>
      </w:pPr>
    </w:p>
    <w:p w14:paraId="37C44206">
      <w:pPr>
        <w:adjustRightInd w:val="0"/>
        <w:snapToGrid w:val="0"/>
        <w:spacing w:line="360" w:lineRule="auto"/>
        <w:jc w:val="center"/>
        <w:rPr>
          <w:rFonts w:ascii="Arial Narrow" w:hAnsi="Arial Narrow"/>
          <w:b/>
          <w:spacing w:val="100"/>
          <w:sz w:val="32"/>
          <w:szCs w:val="32"/>
        </w:rPr>
      </w:pPr>
    </w:p>
    <w:p w14:paraId="0C752C95">
      <w:pPr>
        <w:adjustRightInd w:val="0"/>
        <w:snapToGrid w:val="0"/>
        <w:spacing w:line="360" w:lineRule="auto"/>
        <w:jc w:val="center"/>
        <w:rPr>
          <w:rFonts w:ascii="Arial Narrow" w:hAnsi="Arial Narrow"/>
          <w:b/>
          <w:spacing w:val="100"/>
          <w:sz w:val="32"/>
          <w:szCs w:val="32"/>
        </w:rPr>
      </w:pPr>
    </w:p>
    <w:p w14:paraId="6CE588D8">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重庆铭鸿金全会计师事务所有限公司</w:t>
      </w:r>
    </w:p>
    <w:p w14:paraId="416E55DE">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77067EAF">
      <w:pPr>
        <w:spacing w:line="360" w:lineRule="auto"/>
        <w:jc w:val="center"/>
        <w:rPr>
          <w:rFonts w:ascii="Arial Narrow" w:hAnsi="Arial Narrow"/>
          <w:sz w:val="24"/>
        </w:rPr>
      </w:pPr>
    </w:p>
    <w:p w14:paraId="405E514F">
      <w:pPr>
        <w:pStyle w:val="7"/>
        <w:rPr>
          <w:rFonts w:asciiTheme="minorHAnsi" w:hAnsiTheme="minorHAnsi" w:eastAsiaTheme="minorEastAsia" w:cstheme="minorBidi"/>
          <w:b w:val="0"/>
          <w:bCs w:val="0"/>
          <w:szCs w:val="22"/>
        </w:rPr>
      </w:pPr>
      <w:r>
        <w:rPr>
          <w:rStyle w:val="11"/>
          <w:color w:val="auto"/>
          <w:u w:val="none"/>
        </w:rPr>
        <w:fldChar w:fldCharType="begin"/>
      </w:r>
      <w:r>
        <w:rPr>
          <w:rStyle w:val="11"/>
          <w:rFonts w:ascii="仿宋" w:hAnsi="仿宋" w:eastAsia="仿宋"/>
          <w:b w:val="0"/>
          <w:bCs w:val="0"/>
          <w:color w:val="auto"/>
          <w:szCs w:val="21"/>
          <w:u w:val="none"/>
        </w:rPr>
        <w:instrText xml:space="preserve"> TOC \o "1-3" \h \z \u </w:instrText>
      </w:r>
      <w:r>
        <w:rPr>
          <w:rStyle w:val="11"/>
          <w:color w:val="auto"/>
          <w:u w:val="none"/>
        </w:rPr>
        <w:fldChar w:fldCharType="separate"/>
      </w:r>
      <w:r>
        <w:fldChar w:fldCharType="begin"/>
      </w:r>
      <w:r>
        <w:instrText xml:space="preserve"> HYPERLINK \l "_Toc182300438" </w:instrText>
      </w:r>
      <w:r>
        <w:fldChar w:fldCharType="separate"/>
      </w:r>
      <w:r>
        <w:rPr>
          <w:rStyle w:val="11"/>
        </w:rPr>
        <w:t>一、基本情况</w:t>
      </w:r>
      <w:r>
        <w:tab/>
      </w:r>
      <w:r>
        <w:fldChar w:fldCharType="begin"/>
      </w:r>
      <w:r>
        <w:instrText xml:space="preserve"> PAGEREF _Toc182300438 \h </w:instrText>
      </w:r>
      <w:r>
        <w:fldChar w:fldCharType="separate"/>
      </w:r>
      <w:r>
        <w:t>1</w:t>
      </w:r>
      <w:r>
        <w:fldChar w:fldCharType="end"/>
      </w:r>
      <w:r>
        <w:fldChar w:fldCharType="end"/>
      </w:r>
    </w:p>
    <w:p w14:paraId="0651B240">
      <w:pPr>
        <w:pStyle w:val="7"/>
        <w:rPr>
          <w:rFonts w:asciiTheme="minorHAnsi" w:hAnsiTheme="minorHAnsi" w:eastAsiaTheme="minorEastAsia" w:cstheme="minorBidi"/>
          <w:b w:val="0"/>
          <w:bCs w:val="0"/>
          <w:szCs w:val="22"/>
        </w:rPr>
      </w:pPr>
      <w:r>
        <w:fldChar w:fldCharType="begin"/>
      </w:r>
      <w:r>
        <w:instrText xml:space="preserve"> HYPERLINK \l "_Toc182300439" </w:instrText>
      </w:r>
      <w:r>
        <w:fldChar w:fldCharType="separate"/>
      </w:r>
      <w:r>
        <w:rPr>
          <w:rStyle w:val="11"/>
        </w:rPr>
        <w:t>（一）项目情况</w:t>
      </w:r>
      <w:r>
        <w:tab/>
      </w:r>
      <w:r>
        <w:fldChar w:fldCharType="begin"/>
      </w:r>
      <w:r>
        <w:instrText xml:space="preserve"> PAGEREF _Toc182300439 \h </w:instrText>
      </w:r>
      <w:r>
        <w:fldChar w:fldCharType="separate"/>
      </w:r>
      <w:r>
        <w:t>1</w:t>
      </w:r>
      <w:r>
        <w:fldChar w:fldCharType="end"/>
      </w:r>
      <w:r>
        <w:fldChar w:fldCharType="end"/>
      </w:r>
    </w:p>
    <w:p w14:paraId="0F472B63">
      <w:pPr>
        <w:pStyle w:val="7"/>
        <w:rPr>
          <w:rFonts w:asciiTheme="minorHAnsi" w:hAnsiTheme="minorHAnsi" w:eastAsiaTheme="minorEastAsia" w:cstheme="minorBidi"/>
          <w:b w:val="0"/>
          <w:bCs w:val="0"/>
          <w:szCs w:val="22"/>
        </w:rPr>
      </w:pPr>
      <w:r>
        <w:fldChar w:fldCharType="begin"/>
      </w:r>
      <w:r>
        <w:instrText xml:space="preserve"> HYPERLINK \l "_Toc182300440" </w:instrText>
      </w:r>
      <w:r>
        <w:fldChar w:fldCharType="separate"/>
      </w:r>
      <w:r>
        <w:rPr>
          <w:rStyle w:val="11"/>
        </w:rPr>
        <w:t>二、绩效评价工作情况</w:t>
      </w:r>
      <w:r>
        <w:tab/>
      </w:r>
      <w:r>
        <w:fldChar w:fldCharType="begin"/>
      </w:r>
      <w:r>
        <w:instrText xml:space="preserve"> PAGEREF _Toc182300440 \h </w:instrText>
      </w:r>
      <w:r>
        <w:fldChar w:fldCharType="separate"/>
      </w:r>
      <w:r>
        <w:t>1</w:t>
      </w:r>
      <w:r>
        <w:fldChar w:fldCharType="end"/>
      </w:r>
      <w:r>
        <w:fldChar w:fldCharType="end"/>
      </w:r>
    </w:p>
    <w:p w14:paraId="49C0A2B4">
      <w:pPr>
        <w:pStyle w:val="7"/>
        <w:rPr>
          <w:rFonts w:asciiTheme="minorHAnsi" w:hAnsiTheme="minorHAnsi" w:eastAsiaTheme="minorEastAsia" w:cstheme="minorBidi"/>
          <w:b w:val="0"/>
          <w:bCs w:val="0"/>
          <w:szCs w:val="22"/>
        </w:rPr>
      </w:pPr>
      <w:r>
        <w:fldChar w:fldCharType="begin"/>
      </w:r>
      <w:r>
        <w:instrText xml:space="preserve"> HYPERLINK \l "_Toc182300441" </w:instrText>
      </w:r>
      <w:r>
        <w:fldChar w:fldCharType="separate"/>
      </w:r>
      <w:r>
        <w:rPr>
          <w:rStyle w:val="11"/>
        </w:rPr>
        <w:t>（一）绩效评价目的</w:t>
      </w:r>
      <w:r>
        <w:tab/>
      </w:r>
      <w:r>
        <w:fldChar w:fldCharType="begin"/>
      </w:r>
      <w:r>
        <w:instrText xml:space="preserve"> PAGEREF _Toc182300441 \h </w:instrText>
      </w:r>
      <w:r>
        <w:fldChar w:fldCharType="separate"/>
      </w:r>
      <w:r>
        <w:t>1</w:t>
      </w:r>
      <w:r>
        <w:fldChar w:fldCharType="end"/>
      </w:r>
      <w:r>
        <w:fldChar w:fldCharType="end"/>
      </w:r>
    </w:p>
    <w:p w14:paraId="51C588AF">
      <w:pPr>
        <w:pStyle w:val="7"/>
        <w:rPr>
          <w:rFonts w:asciiTheme="minorHAnsi" w:hAnsiTheme="minorHAnsi" w:eastAsiaTheme="minorEastAsia" w:cstheme="minorBidi"/>
          <w:b w:val="0"/>
          <w:bCs w:val="0"/>
          <w:szCs w:val="22"/>
        </w:rPr>
      </w:pPr>
      <w:r>
        <w:fldChar w:fldCharType="begin"/>
      </w:r>
      <w:r>
        <w:instrText xml:space="preserve"> HYPERLINK \l "_Toc182300442" </w:instrText>
      </w:r>
      <w:r>
        <w:fldChar w:fldCharType="separate"/>
      </w:r>
      <w:r>
        <w:rPr>
          <w:rStyle w:val="11"/>
        </w:rPr>
        <w:t>（二）绩效评价的基本内容</w:t>
      </w:r>
      <w:r>
        <w:tab/>
      </w:r>
      <w:r>
        <w:fldChar w:fldCharType="begin"/>
      </w:r>
      <w:r>
        <w:instrText xml:space="preserve"> PAGEREF _Toc182300442 \h </w:instrText>
      </w:r>
      <w:r>
        <w:fldChar w:fldCharType="separate"/>
      </w:r>
      <w:r>
        <w:t>1</w:t>
      </w:r>
      <w:r>
        <w:fldChar w:fldCharType="end"/>
      </w:r>
      <w:r>
        <w:fldChar w:fldCharType="end"/>
      </w:r>
    </w:p>
    <w:p w14:paraId="4CEC4BC5">
      <w:pPr>
        <w:pStyle w:val="7"/>
        <w:rPr>
          <w:rFonts w:asciiTheme="minorHAnsi" w:hAnsiTheme="minorHAnsi" w:eastAsiaTheme="minorEastAsia" w:cstheme="minorBidi"/>
          <w:b w:val="0"/>
          <w:bCs w:val="0"/>
          <w:szCs w:val="22"/>
        </w:rPr>
      </w:pPr>
      <w:r>
        <w:fldChar w:fldCharType="begin"/>
      </w:r>
      <w:r>
        <w:instrText xml:space="preserve"> HYPERLINK \l "_Toc182300443" </w:instrText>
      </w:r>
      <w:r>
        <w:fldChar w:fldCharType="separate"/>
      </w:r>
      <w:r>
        <w:rPr>
          <w:rStyle w:val="11"/>
        </w:rPr>
        <w:t>（三）绩效评价依据</w:t>
      </w:r>
      <w:r>
        <w:tab/>
      </w:r>
      <w:r>
        <w:fldChar w:fldCharType="begin"/>
      </w:r>
      <w:r>
        <w:instrText xml:space="preserve"> PAGEREF _Toc182300443 \h </w:instrText>
      </w:r>
      <w:r>
        <w:fldChar w:fldCharType="separate"/>
      </w:r>
      <w:r>
        <w:t>2</w:t>
      </w:r>
      <w:r>
        <w:fldChar w:fldCharType="end"/>
      </w:r>
      <w:r>
        <w:fldChar w:fldCharType="end"/>
      </w:r>
    </w:p>
    <w:p w14:paraId="65D6D1E8">
      <w:pPr>
        <w:pStyle w:val="7"/>
        <w:rPr>
          <w:rFonts w:asciiTheme="minorHAnsi" w:hAnsiTheme="minorHAnsi" w:eastAsiaTheme="minorEastAsia" w:cstheme="minorBidi"/>
          <w:b w:val="0"/>
          <w:bCs w:val="0"/>
          <w:szCs w:val="22"/>
        </w:rPr>
      </w:pPr>
      <w:r>
        <w:fldChar w:fldCharType="begin"/>
      </w:r>
      <w:r>
        <w:instrText xml:space="preserve"> HYPERLINK \l "_Toc182300444" </w:instrText>
      </w:r>
      <w:r>
        <w:fldChar w:fldCharType="separate"/>
      </w:r>
      <w:r>
        <w:rPr>
          <w:rStyle w:val="11"/>
        </w:rPr>
        <w:t>（四）绩效评价原则和指标体系</w:t>
      </w:r>
      <w:r>
        <w:tab/>
      </w:r>
      <w:r>
        <w:fldChar w:fldCharType="begin"/>
      </w:r>
      <w:r>
        <w:instrText xml:space="preserve"> PAGEREF _Toc182300444 \h </w:instrText>
      </w:r>
      <w:r>
        <w:fldChar w:fldCharType="separate"/>
      </w:r>
      <w:r>
        <w:t>2</w:t>
      </w:r>
      <w:r>
        <w:fldChar w:fldCharType="end"/>
      </w:r>
      <w:r>
        <w:fldChar w:fldCharType="end"/>
      </w:r>
    </w:p>
    <w:p w14:paraId="46DC5731">
      <w:pPr>
        <w:pStyle w:val="7"/>
        <w:rPr>
          <w:rFonts w:asciiTheme="minorHAnsi" w:hAnsiTheme="minorHAnsi" w:eastAsiaTheme="minorEastAsia" w:cstheme="minorBidi"/>
          <w:b w:val="0"/>
          <w:bCs w:val="0"/>
          <w:szCs w:val="22"/>
        </w:rPr>
      </w:pPr>
      <w:r>
        <w:fldChar w:fldCharType="begin"/>
      </w:r>
      <w:r>
        <w:instrText xml:space="preserve"> HYPERLINK \l "_Toc182300445" </w:instrText>
      </w:r>
      <w:r>
        <w:fldChar w:fldCharType="separate"/>
      </w:r>
      <w:r>
        <w:rPr>
          <w:rStyle w:val="11"/>
        </w:rPr>
        <w:t>（五）绩效评价标准和评价方法</w:t>
      </w:r>
      <w:r>
        <w:tab/>
      </w:r>
      <w:r>
        <w:fldChar w:fldCharType="begin"/>
      </w:r>
      <w:r>
        <w:instrText xml:space="preserve"> PAGEREF _Toc182300445 \h </w:instrText>
      </w:r>
      <w:r>
        <w:fldChar w:fldCharType="separate"/>
      </w:r>
      <w:r>
        <w:t>6</w:t>
      </w:r>
      <w:r>
        <w:fldChar w:fldCharType="end"/>
      </w:r>
      <w:r>
        <w:fldChar w:fldCharType="end"/>
      </w:r>
    </w:p>
    <w:p w14:paraId="526B55B5">
      <w:pPr>
        <w:pStyle w:val="7"/>
        <w:rPr>
          <w:rFonts w:asciiTheme="minorHAnsi" w:hAnsiTheme="minorHAnsi" w:eastAsiaTheme="minorEastAsia" w:cstheme="minorBidi"/>
          <w:b w:val="0"/>
          <w:bCs w:val="0"/>
          <w:szCs w:val="22"/>
        </w:rPr>
      </w:pPr>
      <w:r>
        <w:fldChar w:fldCharType="begin"/>
      </w:r>
      <w:r>
        <w:instrText xml:space="preserve"> HYPERLINK \l "_Toc182300446" </w:instrText>
      </w:r>
      <w:r>
        <w:fldChar w:fldCharType="separate"/>
      </w:r>
      <w:r>
        <w:rPr>
          <w:rStyle w:val="11"/>
        </w:rPr>
        <w:t>（六）绩效评价工作过程</w:t>
      </w:r>
      <w:r>
        <w:tab/>
      </w:r>
      <w:r>
        <w:fldChar w:fldCharType="begin"/>
      </w:r>
      <w:r>
        <w:instrText xml:space="preserve"> PAGEREF _Toc182300446 \h </w:instrText>
      </w:r>
      <w:r>
        <w:fldChar w:fldCharType="separate"/>
      </w:r>
      <w:r>
        <w:t>6</w:t>
      </w:r>
      <w:r>
        <w:fldChar w:fldCharType="end"/>
      </w:r>
      <w:r>
        <w:fldChar w:fldCharType="end"/>
      </w:r>
    </w:p>
    <w:p w14:paraId="58FD18E6">
      <w:pPr>
        <w:pStyle w:val="7"/>
        <w:rPr>
          <w:rFonts w:asciiTheme="minorHAnsi" w:hAnsiTheme="minorHAnsi" w:eastAsiaTheme="minorEastAsia" w:cstheme="minorBidi"/>
          <w:b w:val="0"/>
          <w:bCs w:val="0"/>
          <w:szCs w:val="22"/>
        </w:rPr>
      </w:pPr>
      <w:r>
        <w:fldChar w:fldCharType="begin"/>
      </w:r>
      <w:r>
        <w:instrText xml:space="preserve"> HYPERLINK \l "_Toc182300447" </w:instrText>
      </w:r>
      <w:r>
        <w:fldChar w:fldCharType="separate"/>
      </w:r>
      <w:r>
        <w:rPr>
          <w:rStyle w:val="11"/>
        </w:rPr>
        <w:t>三、项目评价结论</w:t>
      </w:r>
      <w:r>
        <w:tab/>
      </w:r>
      <w:r>
        <w:fldChar w:fldCharType="begin"/>
      </w:r>
      <w:r>
        <w:instrText xml:space="preserve"> PAGEREF _Toc182300447 \h </w:instrText>
      </w:r>
      <w:r>
        <w:fldChar w:fldCharType="separate"/>
      </w:r>
      <w:r>
        <w:t>6</w:t>
      </w:r>
      <w:r>
        <w:fldChar w:fldCharType="end"/>
      </w:r>
      <w:r>
        <w:fldChar w:fldCharType="end"/>
      </w:r>
    </w:p>
    <w:p w14:paraId="36E74436">
      <w:pPr>
        <w:pStyle w:val="7"/>
        <w:rPr>
          <w:rFonts w:asciiTheme="minorHAnsi" w:hAnsiTheme="minorHAnsi" w:eastAsiaTheme="minorEastAsia" w:cstheme="minorBidi"/>
          <w:b w:val="0"/>
          <w:bCs w:val="0"/>
          <w:szCs w:val="22"/>
        </w:rPr>
      </w:pPr>
      <w:r>
        <w:fldChar w:fldCharType="begin"/>
      </w:r>
      <w:r>
        <w:instrText xml:space="preserve"> HYPERLINK \l "_Toc182300448" </w:instrText>
      </w:r>
      <w:r>
        <w:fldChar w:fldCharType="separate"/>
      </w:r>
      <w:r>
        <w:rPr>
          <w:rStyle w:val="11"/>
        </w:rPr>
        <w:t>四、综合评价情况</w:t>
      </w:r>
      <w:r>
        <w:tab/>
      </w:r>
      <w:r>
        <w:fldChar w:fldCharType="begin"/>
      </w:r>
      <w:r>
        <w:instrText xml:space="preserve"> PAGEREF _Toc182300448 \h </w:instrText>
      </w:r>
      <w:r>
        <w:fldChar w:fldCharType="separate"/>
      </w:r>
      <w:r>
        <w:t>6</w:t>
      </w:r>
      <w:r>
        <w:fldChar w:fldCharType="end"/>
      </w:r>
      <w:r>
        <w:fldChar w:fldCharType="end"/>
      </w:r>
    </w:p>
    <w:p w14:paraId="45C633B9">
      <w:pPr>
        <w:pStyle w:val="7"/>
        <w:rPr>
          <w:rFonts w:asciiTheme="minorHAnsi" w:hAnsiTheme="minorHAnsi" w:eastAsiaTheme="minorEastAsia" w:cstheme="minorBidi"/>
          <w:b w:val="0"/>
          <w:bCs w:val="0"/>
          <w:szCs w:val="22"/>
        </w:rPr>
      </w:pPr>
      <w:r>
        <w:fldChar w:fldCharType="begin"/>
      </w:r>
      <w:r>
        <w:instrText xml:space="preserve"> HYPERLINK \l "_Toc182300449" </w:instrText>
      </w:r>
      <w:r>
        <w:fldChar w:fldCharType="separate"/>
      </w:r>
      <w:r>
        <w:rPr>
          <w:rStyle w:val="11"/>
          <w:rFonts w:ascii="仿宋_GB2312"/>
        </w:rPr>
        <w:t>（一）资金管理</w:t>
      </w:r>
      <w:r>
        <w:tab/>
      </w:r>
      <w:r>
        <w:fldChar w:fldCharType="begin"/>
      </w:r>
      <w:r>
        <w:instrText xml:space="preserve"> PAGEREF _Toc182300449 \h </w:instrText>
      </w:r>
      <w:r>
        <w:fldChar w:fldCharType="separate"/>
      </w:r>
      <w:r>
        <w:t>7</w:t>
      </w:r>
      <w:r>
        <w:fldChar w:fldCharType="end"/>
      </w:r>
      <w:r>
        <w:fldChar w:fldCharType="end"/>
      </w:r>
    </w:p>
    <w:p w14:paraId="6E1B3362">
      <w:pPr>
        <w:pStyle w:val="7"/>
        <w:rPr>
          <w:rFonts w:asciiTheme="minorHAnsi" w:hAnsiTheme="minorHAnsi" w:eastAsiaTheme="minorEastAsia" w:cstheme="minorBidi"/>
          <w:b w:val="0"/>
          <w:bCs w:val="0"/>
          <w:szCs w:val="22"/>
        </w:rPr>
      </w:pPr>
      <w:r>
        <w:fldChar w:fldCharType="begin"/>
      </w:r>
      <w:r>
        <w:instrText xml:space="preserve"> HYPERLINK \l "_Toc182300450" </w:instrText>
      </w:r>
      <w:r>
        <w:fldChar w:fldCharType="separate"/>
      </w:r>
      <w:r>
        <w:rPr>
          <w:rStyle w:val="11"/>
          <w:rFonts w:ascii="仿宋_GB2312"/>
        </w:rPr>
        <w:t>（二）项目管理</w:t>
      </w:r>
      <w:r>
        <w:tab/>
      </w:r>
      <w:r>
        <w:fldChar w:fldCharType="begin"/>
      </w:r>
      <w:r>
        <w:instrText xml:space="preserve"> PAGEREF _Toc182300450 \h </w:instrText>
      </w:r>
      <w:r>
        <w:fldChar w:fldCharType="separate"/>
      </w:r>
      <w:r>
        <w:t>7</w:t>
      </w:r>
      <w:r>
        <w:fldChar w:fldCharType="end"/>
      </w:r>
      <w:r>
        <w:fldChar w:fldCharType="end"/>
      </w:r>
    </w:p>
    <w:p w14:paraId="0958189F">
      <w:pPr>
        <w:pStyle w:val="7"/>
        <w:rPr>
          <w:rFonts w:asciiTheme="minorHAnsi" w:hAnsiTheme="minorHAnsi" w:eastAsiaTheme="minorEastAsia" w:cstheme="minorBidi"/>
          <w:b w:val="0"/>
          <w:bCs w:val="0"/>
          <w:szCs w:val="22"/>
        </w:rPr>
      </w:pPr>
      <w:r>
        <w:fldChar w:fldCharType="begin"/>
      </w:r>
      <w:r>
        <w:instrText xml:space="preserve"> HYPERLINK \l "_Toc182300451" </w:instrText>
      </w:r>
      <w:r>
        <w:fldChar w:fldCharType="separate"/>
      </w:r>
      <w:r>
        <w:rPr>
          <w:rStyle w:val="11"/>
          <w:rFonts w:ascii="仿宋_GB2312"/>
        </w:rPr>
        <w:t>（三）使用成效及通报情况</w:t>
      </w:r>
      <w:r>
        <w:tab/>
      </w:r>
      <w:r>
        <w:fldChar w:fldCharType="begin"/>
      </w:r>
      <w:r>
        <w:instrText xml:space="preserve"> PAGEREF _Toc182300451 \h </w:instrText>
      </w:r>
      <w:r>
        <w:fldChar w:fldCharType="separate"/>
      </w:r>
      <w:r>
        <w:t>8</w:t>
      </w:r>
      <w:r>
        <w:fldChar w:fldCharType="end"/>
      </w:r>
      <w:r>
        <w:fldChar w:fldCharType="end"/>
      </w:r>
    </w:p>
    <w:p w14:paraId="28D2B210">
      <w:pPr>
        <w:pStyle w:val="7"/>
        <w:rPr>
          <w:rFonts w:asciiTheme="minorHAnsi" w:hAnsiTheme="minorHAnsi" w:eastAsiaTheme="minorEastAsia" w:cstheme="minorBidi"/>
          <w:b w:val="0"/>
          <w:bCs w:val="0"/>
          <w:szCs w:val="22"/>
        </w:rPr>
      </w:pPr>
      <w:r>
        <w:fldChar w:fldCharType="begin"/>
      </w:r>
      <w:r>
        <w:instrText xml:space="preserve"> HYPERLINK \l "_Toc182300452" </w:instrText>
      </w:r>
      <w:r>
        <w:fldChar w:fldCharType="separate"/>
      </w:r>
      <w:r>
        <w:rPr>
          <w:rStyle w:val="11"/>
        </w:rPr>
        <w:t>五、存在的问题和建议</w:t>
      </w:r>
      <w:r>
        <w:tab/>
      </w:r>
      <w:r>
        <w:fldChar w:fldCharType="begin"/>
      </w:r>
      <w:r>
        <w:instrText xml:space="preserve"> PAGEREF _Toc182300452 \h </w:instrText>
      </w:r>
      <w:r>
        <w:fldChar w:fldCharType="separate"/>
      </w:r>
      <w:r>
        <w:t>8</w:t>
      </w:r>
      <w:r>
        <w:fldChar w:fldCharType="end"/>
      </w:r>
      <w:r>
        <w:fldChar w:fldCharType="end"/>
      </w:r>
    </w:p>
    <w:p w14:paraId="3EF30AE7">
      <w:pPr>
        <w:pStyle w:val="7"/>
        <w:rPr>
          <w:rFonts w:asciiTheme="minorHAnsi" w:hAnsiTheme="minorHAnsi" w:eastAsiaTheme="minorEastAsia" w:cstheme="minorBidi"/>
          <w:b w:val="0"/>
          <w:bCs w:val="0"/>
          <w:szCs w:val="22"/>
        </w:rPr>
      </w:pPr>
      <w:r>
        <w:fldChar w:fldCharType="begin"/>
      </w:r>
      <w:r>
        <w:instrText xml:space="preserve"> HYPERLINK \l "_Toc182300453" </w:instrText>
      </w:r>
      <w:r>
        <w:fldChar w:fldCharType="separate"/>
      </w:r>
      <w:r>
        <w:rPr>
          <w:rStyle w:val="11"/>
          <w:rFonts w:ascii="仿宋_GB2312"/>
        </w:rPr>
        <w:t>（一）存在问题</w:t>
      </w:r>
      <w:r>
        <w:tab/>
      </w:r>
      <w:r>
        <w:fldChar w:fldCharType="begin"/>
      </w:r>
      <w:r>
        <w:instrText xml:space="preserve"> PAGEREF _Toc182300453 \h </w:instrText>
      </w:r>
      <w:r>
        <w:fldChar w:fldCharType="separate"/>
      </w:r>
      <w:r>
        <w:t>8</w:t>
      </w:r>
      <w:r>
        <w:fldChar w:fldCharType="end"/>
      </w:r>
      <w:r>
        <w:fldChar w:fldCharType="end"/>
      </w:r>
    </w:p>
    <w:p w14:paraId="5074806D">
      <w:pPr>
        <w:pStyle w:val="7"/>
        <w:rPr>
          <w:rFonts w:asciiTheme="minorHAnsi" w:hAnsiTheme="minorHAnsi" w:eastAsiaTheme="minorEastAsia" w:cstheme="minorBidi"/>
          <w:b w:val="0"/>
          <w:bCs w:val="0"/>
          <w:szCs w:val="22"/>
        </w:rPr>
      </w:pPr>
      <w:r>
        <w:fldChar w:fldCharType="begin"/>
      </w:r>
      <w:r>
        <w:instrText xml:space="preserve"> HYPERLINK \l "_Toc182300454" </w:instrText>
      </w:r>
      <w:r>
        <w:fldChar w:fldCharType="separate"/>
      </w:r>
      <w:r>
        <w:rPr>
          <w:rStyle w:val="11"/>
          <w:rFonts w:ascii="仿宋_GB2312"/>
        </w:rPr>
        <w:t>（二）建议</w:t>
      </w:r>
      <w:r>
        <w:tab/>
      </w:r>
      <w:r>
        <w:fldChar w:fldCharType="begin"/>
      </w:r>
      <w:r>
        <w:instrText xml:space="preserve"> PAGEREF _Toc182300454 \h </w:instrText>
      </w:r>
      <w:r>
        <w:fldChar w:fldCharType="separate"/>
      </w:r>
      <w:r>
        <w:t>8</w:t>
      </w:r>
      <w:r>
        <w:fldChar w:fldCharType="end"/>
      </w:r>
      <w:r>
        <w:fldChar w:fldCharType="end"/>
      </w:r>
    </w:p>
    <w:p w14:paraId="61CF431F">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szCs w:val="21"/>
        </w:rPr>
        <w:fldChar w:fldCharType="end"/>
      </w:r>
    </w:p>
    <w:p w14:paraId="31B3284C">
      <w:pPr>
        <w:spacing w:line="360" w:lineRule="auto"/>
        <w:jc w:val="right"/>
        <w:rPr>
          <w:rFonts w:ascii="Arial Narrow" w:hAnsi="Arial Narrow"/>
          <w:bCs/>
          <w:w w:val="80"/>
          <w:sz w:val="28"/>
          <w:szCs w:val="28"/>
        </w:rPr>
      </w:pPr>
    </w:p>
    <w:p w14:paraId="73614251">
      <w:pPr>
        <w:spacing w:line="360" w:lineRule="auto"/>
        <w:jc w:val="right"/>
        <w:rPr>
          <w:rFonts w:ascii="Arial Narrow" w:hAnsi="Arial Narrow"/>
          <w:bCs/>
          <w:w w:val="80"/>
          <w:sz w:val="28"/>
          <w:szCs w:val="28"/>
        </w:rPr>
      </w:pPr>
    </w:p>
    <w:p w14:paraId="4A18B2F8">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FED5692">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4F724D88">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ascii="Arial Narrow" w:hAnsi="Arial Narrow" w:eastAsia="仿宋_GB2312"/>
          <w:sz w:val="28"/>
          <w:szCs w:val="28"/>
        </w:rPr>
        <w:t>053</w:t>
      </w:r>
      <w:r>
        <w:rPr>
          <w:rFonts w:hint="eastAsia" w:ascii="Arial Narrow" w:hAnsi="Arial Narrow" w:eastAsia="仿宋_GB2312"/>
          <w:sz w:val="28"/>
          <w:szCs w:val="28"/>
        </w:rPr>
        <w:t>号</w:t>
      </w:r>
    </w:p>
    <w:p w14:paraId="11FD4561">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27F76EC3">
      <w:pPr>
        <w:adjustRightInd w:val="0"/>
        <w:snapToGrid w:val="0"/>
        <w:spacing w:line="360" w:lineRule="auto"/>
        <w:jc w:val="center"/>
        <w:rPr>
          <w:rStyle w:val="11"/>
          <w:rFonts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重庆市铜梁区残疾人联合会公益性岗位项目</w:t>
      </w:r>
    </w:p>
    <w:p w14:paraId="7F5AC069">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6E5A3DBB">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rPr>
        <w:t>“</w:t>
      </w:r>
      <w:r>
        <w:rPr>
          <w:rFonts w:ascii="Arial Narrow" w:hAnsi="Arial Narrow" w:eastAsia="仿宋_GB2312"/>
          <w:color w:val="auto"/>
        </w:rPr>
        <w:t>全面实施绩效管理</w:t>
      </w:r>
      <w:r>
        <w:rPr>
          <w:rFonts w:hint="eastAsia" w:ascii="Arial Narrow" w:hAnsi="Arial Narrow" w:eastAsia="仿宋_GB2312"/>
          <w:color w:val="auto"/>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重庆市铜梁区残疾人联合会（</w:t>
      </w:r>
      <w:r>
        <w:rPr>
          <w:rFonts w:ascii="Arial Narrow" w:hAnsi="Arial Narrow" w:eastAsia="仿宋_GB2312"/>
          <w:color w:val="auto"/>
        </w:rPr>
        <w:t>以下简称</w:t>
      </w:r>
      <w:r>
        <w:rPr>
          <w:rFonts w:hint="eastAsia" w:ascii="Arial Narrow" w:hAnsi="Arial Narrow" w:eastAsia="仿宋_GB2312"/>
          <w:color w:val="auto"/>
        </w:rPr>
        <w:t>“残联”）</w:t>
      </w:r>
      <w:r>
        <w:rPr>
          <w:rFonts w:hint="eastAsia"/>
        </w:rPr>
        <w:t xml:space="preserve"> </w:t>
      </w:r>
      <w:r>
        <w:rPr>
          <w:rFonts w:hint="eastAsia" w:ascii="Arial Narrow" w:hAnsi="Arial Narrow" w:eastAsia="仿宋_GB2312"/>
          <w:color w:val="auto"/>
        </w:rPr>
        <w:t>公益性岗位项目</w:t>
      </w:r>
      <w:r>
        <w:rPr>
          <w:rFonts w:ascii="Arial Narrow" w:hAnsi="Arial Narrow" w:eastAsia="仿宋_GB2312"/>
          <w:color w:val="auto"/>
        </w:rPr>
        <w:t>进行绩效评价，现将评价情况报告如下：</w:t>
      </w:r>
    </w:p>
    <w:p w14:paraId="1CC775EB">
      <w:pPr>
        <w:spacing w:line="360" w:lineRule="auto"/>
        <w:ind w:firstLine="482" w:firstLineChars="200"/>
        <w:jc w:val="left"/>
        <w:outlineLvl w:val="0"/>
        <w:rPr>
          <w:rFonts w:ascii="Arial Narrow" w:hAnsi="Arial Narrow" w:eastAsia="仿宋_GB2312"/>
          <w:b/>
          <w:sz w:val="24"/>
        </w:rPr>
      </w:pPr>
      <w:bookmarkStart w:id="3" w:name="_Toc182300438"/>
      <w:r>
        <w:rPr>
          <w:rFonts w:ascii="Arial Narrow" w:hAnsi="Arial Narrow" w:eastAsia="仿宋_GB2312"/>
          <w:b/>
          <w:sz w:val="24"/>
        </w:rPr>
        <w:t>一、基本情况</w:t>
      </w:r>
      <w:bookmarkEnd w:id="3"/>
    </w:p>
    <w:p w14:paraId="50CDD24E">
      <w:pPr>
        <w:spacing w:line="360" w:lineRule="auto"/>
        <w:ind w:firstLine="482" w:firstLineChars="200"/>
        <w:jc w:val="left"/>
        <w:outlineLvl w:val="0"/>
        <w:rPr>
          <w:rFonts w:ascii="Arial Narrow" w:hAnsi="Arial Narrow" w:eastAsia="仿宋_GB2312"/>
          <w:b/>
          <w:sz w:val="24"/>
        </w:rPr>
      </w:pPr>
      <w:bookmarkStart w:id="4" w:name="_Toc182300439"/>
      <w:r>
        <w:rPr>
          <w:rFonts w:hint="eastAsia" w:ascii="Arial Narrow" w:hAnsi="Arial Narrow" w:eastAsia="仿宋_GB2312"/>
          <w:b/>
          <w:sz w:val="24"/>
        </w:rPr>
        <w:t>（一）项目情况</w:t>
      </w:r>
      <w:bookmarkEnd w:id="4"/>
    </w:p>
    <w:p w14:paraId="62B5F25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公益性岗位项目</w:t>
      </w:r>
    </w:p>
    <w:p w14:paraId="5A2B8AA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实施单位：重庆市铜梁区残疾人联合会</w:t>
      </w:r>
    </w:p>
    <w:p w14:paraId="4F5CEBC8">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项目内容：为贫困残疾人家庭内生动力，助力贫困攻坚，设置助残服务非全日制公益岗位，公益岗位准确发放率达到100%，享受公益性岗位补贴人数25人。</w:t>
      </w:r>
    </w:p>
    <w:p w14:paraId="346F463F">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项目资金安排情况：该项目2023年安排项目资金21.90万元，均为上级补助资金。</w:t>
      </w:r>
    </w:p>
    <w:p w14:paraId="50B80F4F">
      <w:pPr>
        <w:spacing w:line="360" w:lineRule="auto"/>
        <w:ind w:firstLine="482" w:firstLineChars="200"/>
        <w:jc w:val="left"/>
        <w:outlineLvl w:val="0"/>
        <w:rPr>
          <w:rFonts w:ascii="Arial Narrow" w:hAnsi="Arial Narrow" w:eastAsia="仿宋_GB2312"/>
          <w:b/>
          <w:sz w:val="24"/>
        </w:rPr>
      </w:pPr>
      <w:bookmarkStart w:id="5" w:name="_Toc182300440"/>
      <w:r>
        <w:rPr>
          <w:rFonts w:ascii="Arial Narrow" w:hAnsi="Arial Narrow" w:eastAsia="仿宋_GB2312"/>
          <w:b/>
          <w:sz w:val="24"/>
        </w:rPr>
        <w:t>二、绩效评价工作情况</w:t>
      </w:r>
      <w:bookmarkEnd w:id="5"/>
    </w:p>
    <w:p w14:paraId="76C988FE">
      <w:pPr>
        <w:spacing w:line="360" w:lineRule="auto"/>
        <w:ind w:firstLine="482" w:firstLineChars="200"/>
        <w:jc w:val="left"/>
        <w:outlineLvl w:val="0"/>
        <w:rPr>
          <w:rFonts w:ascii="Arial Narrow" w:hAnsi="Arial Narrow" w:eastAsia="仿宋_GB2312"/>
          <w:b/>
          <w:sz w:val="24"/>
        </w:rPr>
      </w:pPr>
      <w:bookmarkStart w:id="6" w:name="_Toc182300441"/>
      <w:bookmarkStart w:id="7" w:name="_Toc513775099"/>
      <w:r>
        <w:rPr>
          <w:rFonts w:ascii="Arial Narrow" w:hAnsi="Arial Narrow" w:eastAsia="仿宋_GB2312"/>
          <w:b/>
          <w:sz w:val="24"/>
        </w:rPr>
        <w:t>（一）绩效评价目的</w:t>
      </w:r>
      <w:bookmarkEnd w:id="6"/>
      <w:bookmarkEnd w:id="7"/>
    </w:p>
    <w:p w14:paraId="5AAE1FD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4E1A4AF8">
      <w:pPr>
        <w:spacing w:line="360" w:lineRule="auto"/>
        <w:ind w:firstLine="482" w:firstLineChars="200"/>
        <w:jc w:val="left"/>
        <w:outlineLvl w:val="0"/>
        <w:rPr>
          <w:rFonts w:ascii="Arial Narrow" w:hAnsi="Arial Narrow" w:eastAsia="仿宋_GB2312"/>
          <w:b/>
          <w:sz w:val="24"/>
        </w:rPr>
      </w:pPr>
      <w:bookmarkStart w:id="8" w:name="_Toc182300442"/>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44DF6DFA">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4C3A2D3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30FE8DC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5887331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757EF2A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2C55E474">
      <w:pPr>
        <w:spacing w:line="360" w:lineRule="auto"/>
        <w:ind w:firstLine="482" w:firstLineChars="200"/>
        <w:jc w:val="left"/>
        <w:outlineLvl w:val="0"/>
        <w:rPr>
          <w:rFonts w:ascii="Arial Narrow" w:hAnsi="Arial Narrow" w:eastAsia="仿宋_GB2312"/>
          <w:b/>
          <w:sz w:val="24"/>
        </w:rPr>
      </w:pPr>
      <w:bookmarkStart w:id="11" w:name="_Toc182300443"/>
      <w:r>
        <w:rPr>
          <w:rFonts w:ascii="Arial Narrow" w:hAnsi="Arial Narrow" w:eastAsia="仿宋_GB2312"/>
          <w:b/>
          <w:sz w:val="24"/>
        </w:rPr>
        <w:t>（三）绩效评价依据</w:t>
      </w:r>
      <w:bookmarkEnd w:id="9"/>
      <w:bookmarkEnd w:id="10"/>
      <w:bookmarkEnd w:id="11"/>
      <w:bookmarkStart w:id="12" w:name="_Toc335040595"/>
    </w:p>
    <w:bookmarkEnd w:id="12"/>
    <w:p w14:paraId="4A1BC1F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《重庆市铜梁区财政衔接推进乡村振兴补助资金绩效评价及考核办法》的通知（铜财〔2022〕678号）</w:t>
      </w:r>
      <w:r>
        <w:rPr>
          <w:rFonts w:hint="eastAsia" w:ascii="Arial Narrow" w:hAnsi="Arial Narrow" w:eastAsia="仿宋_GB2312" w:cs="Arial Narrow"/>
          <w:color w:val="auto"/>
        </w:rPr>
        <w:t>；</w:t>
      </w:r>
    </w:p>
    <w:p w14:paraId="676F2E4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《重庆市铜梁区财政局关于开展2023年度项目财政重点绩效评价的通知》（铜财〔2024〕237号）</w:t>
      </w:r>
      <w:r>
        <w:rPr>
          <w:rFonts w:hint="eastAsia" w:ascii="Arial Narrow" w:hAnsi="Arial Narrow" w:eastAsia="仿宋_GB2312" w:cs="Arial Narrow"/>
          <w:color w:val="auto"/>
        </w:rPr>
        <w:t>；</w:t>
      </w:r>
    </w:p>
    <w:p w14:paraId="699447B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《重庆市财政衔接推进乡村振兴补助资金绩效评价及考核办法》（渝财农〔2022〕2号</w:t>
      </w:r>
      <w:r>
        <w:rPr>
          <w:rFonts w:hint="eastAsia" w:ascii="Arial Narrow" w:hAnsi="Arial Narrow" w:eastAsia="仿宋_GB2312"/>
          <w:color w:val="auto"/>
          <w:lang w:eastAsia="zh-CN"/>
        </w:rPr>
        <w:t>）</w:t>
      </w:r>
      <w:r>
        <w:rPr>
          <w:rFonts w:ascii="Arial Narrow" w:hAnsi="Arial Narrow" w:eastAsia="仿宋_GB2312"/>
          <w:color w:val="auto"/>
        </w:rPr>
        <w:t xml:space="preserve"> </w:t>
      </w:r>
      <w:r>
        <w:rPr>
          <w:rFonts w:hint="eastAsia" w:ascii="Arial Narrow" w:hAnsi="Arial Narrow" w:eastAsia="仿宋_GB2312" w:cs="Arial Narrow"/>
          <w:color w:val="auto"/>
        </w:rPr>
        <w:t>；</w:t>
      </w:r>
    </w:p>
    <w:p w14:paraId="1A8BC0B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《铜梁区区级政策和项目预算绩效管理办法（试行）》（铜财〔2022〕41号）</w:t>
      </w:r>
      <w:r>
        <w:rPr>
          <w:rFonts w:hint="eastAsia" w:ascii="Arial Narrow" w:hAnsi="Arial Narrow" w:eastAsia="仿宋_GB2312" w:cs="Arial Narrow"/>
          <w:color w:val="auto"/>
        </w:rPr>
        <w:t>；</w:t>
      </w:r>
    </w:p>
    <w:p w14:paraId="56962B6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《重庆市财政局等6部门关于加强财政衔接推进乡村振兴补助资金使用管理的实施意见》（渝财农〔2022〕73号）</w:t>
      </w:r>
      <w:r>
        <w:rPr>
          <w:rFonts w:hint="eastAsia" w:ascii="Arial Narrow" w:hAnsi="Arial Narrow" w:eastAsia="仿宋_GB2312" w:cs="Arial Narrow"/>
          <w:color w:val="auto"/>
        </w:rPr>
        <w:t>；</w:t>
      </w:r>
    </w:p>
    <w:p w14:paraId="62674CC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w:t>
      </w:r>
      <w:r>
        <w:rPr>
          <w:rFonts w:hint="eastAsia" w:ascii="Arial Narrow" w:hAnsi="Arial Narrow" w:eastAsia="仿宋_GB2312"/>
          <w:color w:val="auto"/>
          <w:lang w:val="en-US" w:eastAsia="zh-CN"/>
        </w:rPr>
        <w:t>.</w:t>
      </w:r>
      <w:r>
        <w:rPr>
          <w:rFonts w:hint="eastAsia" w:ascii="Arial Narrow" w:hAnsi="Arial Narrow" w:eastAsia="仿宋_GB2312"/>
          <w:color w:val="auto"/>
        </w:rPr>
        <w:t>《铜梁区巩固拓展脱贫攻坚成果和衔接乡村振兴项目库建设管理实施细则》（铜乡振〔2021〕7号）</w:t>
      </w:r>
      <w:r>
        <w:rPr>
          <w:rFonts w:hint="eastAsia" w:ascii="Arial Narrow" w:hAnsi="Arial Narrow" w:eastAsia="仿宋_GB2312" w:cs="Arial Narrow"/>
          <w:color w:val="auto"/>
        </w:rPr>
        <w:t>；</w:t>
      </w:r>
    </w:p>
    <w:p w14:paraId="1552682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w:t>
      </w:r>
      <w:r>
        <w:rPr>
          <w:rFonts w:hint="eastAsia" w:ascii="Arial Narrow" w:hAnsi="Arial Narrow" w:eastAsia="仿宋_GB2312"/>
          <w:color w:val="auto"/>
          <w:lang w:val="en-US" w:eastAsia="zh-CN"/>
        </w:rPr>
        <w:t>.</w:t>
      </w:r>
      <w:r>
        <w:rPr>
          <w:rFonts w:hint="eastAsia" w:ascii="Arial Narrow" w:hAnsi="Arial Narrow" w:eastAsia="仿宋_GB2312"/>
          <w:color w:val="auto"/>
        </w:rPr>
        <w:t>《铜梁区财政衔接推进乡村振兴补助资金项目公告公示实施办法》（铜委农办〔2021〕19号）</w:t>
      </w:r>
      <w:r>
        <w:rPr>
          <w:rFonts w:hint="eastAsia" w:ascii="Arial Narrow" w:hAnsi="Arial Narrow" w:eastAsia="仿宋_GB2312" w:cs="Arial Narrow"/>
          <w:color w:val="auto"/>
        </w:rPr>
        <w:t>；</w:t>
      </w:r>
    </w:p>
    <w:p w14:paraId="167D5CD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hint="eastAsia" w:ascii="Arial Narrow" w:hAnsi="Arial Narrow" w:eastAsia="仿宋_GB2312"/>
          <w:color w:val="auto"/>
          <w:lang w:val="en-US" w:eastAsia="zh-CN"/>
        </w:rPr>
        <w:t>.</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s="Arial Narrow"/>
          <w:color w:val="auto"/>
        </w:rPr>
        <w:t>；</w:t>
      </w:r>
    </w:p>
    <w:p w14:paraId="53B56C19">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hint="eastAsia" w:ascii="Arial Narrow" w:hAnsi="Arial Narrow" w:eastAsia="仿宋_GB2312"/>
          <w:color w:val="auto"/>
          <w:lang w:val="en-US" w:eastAsia="zh-CN"/>
        </w:rPr>
        <w:t>.</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s="Arial Narrow"/>
          <w:color w:val="auto"/>
        </w:rPr>
        <w:t>；</w:t>
      </w:r>
    </w:p>
    <w:p w14:paraId="3EF1A32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hint="eastAsia" w:ascii="Arial Narrow" w:hAnsi="Arial Narrow" w:eastAsia="仿宋_GB2312"/>
          <w:color w:val="auto"/>
          <w:lang w:val="en-US" w:eastAsia="zh-CN"/>
        </w:rPr>
        <w:t>.</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s="Arial Narrow"/>
          <w:color w:val="auto"/>
        </w:rPr>
        <w:t>；</w:t>
      </w:r>
    </w:p>
    <w:p w14:paraId="640F178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hint="eastAsia" w:ascii="Arial Narrow" w:hAnsi="Arial Narrow" w:eastAsia="仿宋_GB2312"/>
          <w:color w:val="auto"/>
          <w:lang w:val="en-US" w:eastAsia="zh-CN"/>
        </w:rPr>
        <w:t>.</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484169F9">
      <w:pPr>
        <w:spacing w:line="360" w:lineRule="auto"/>
        <w:ind w:firstLine="482" w:firstLineChars="200"/>
        <w:jc w:val="left"/>
        <w:outlineLvl w:val="0"/>
        <w:rPr>
          <w:rFonts w:ascii="Arial Narrow" w:hAnsi="Arial Narrow" w:eastAsia="仿宋_GB2312"/>
          <w:b/>
          <w:sz w:val="24"/>
        </w:rPr>
      </w:pPr>
      <w:bookmarkStart w:id="14" w:name="_Toc182300444"/>
      <w:r>
        <w:rPr>
          <w:rFonts w:ascii="Arial Narrow" w:hAnsi="Arial Narrow" w:eastAsia="仿宋_GB2312"/>
          <w:b/>
          <w:sz w:val="24"/>
        </w:rPr>
        <w:t>（四）绩效评价原则和指标体系</w:t>
      </w:r>
      <w:bookmarkEnd w:id="14"/>
    </w:p>
    <w:p w14:paraId="491F9B8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绩效评价主要遵循以下原则：</w:t>
      </w:r>
    </w:p>
    <w:p w14:paraId="794EF2C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4FCF61C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w:t>
      </w: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重要性原则。应当优先使用最具评价对象代表性、最能反映评价要求的核心指标。</w:t>
      </w:r>
    </w:p>
    <w:p w14:paraId="2860C49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3EC5773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4359BCE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515BDE0D">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绩效评价指标体系</w:t>
      </w:r>
    </w:p>
    <w:p w14:paraId="0B393016">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根据《重庆市铜梁区财政衔接推进乡村振兴补助资金绩效评价及考核办法》的通知（铜财〔2022〕678号），本次绩效评价及考核指标体系如下：</w:t>
      </w:r>
    </w:p>
    <w:p w14:paraId="4A25A618">
      <w:pPr>
        <w:pStyle w:val="14"/>
        <w:spacing w:line="360" w:lineRule="auto"/>
        <w:ind w:firstLine="480" w:firstLineChars="200"/>
        <w:jc w:val="both"/>
        <w:rPr>
          <w:rFonts w:ascii="Arial Narrow" w:hAnsi="Arial Narrow" w:eastAsia="仿宋_GB2312"/>
          <w:color w:val="auto"/>
        </w:rPr>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pPr>
    </w:p>
    <w:tbl>
      <w:tblPr>
        <w:tblStyle w:val="9"/>
        <w:tblW w:w="14504" w:type="dxa"/>
        <w:tblInd w:w="0" w:type="dxa"/>
        <w:tblLayout w:type="fixed"/>
        <w:tblCellMar>
          <w:top w:w="0" w:type="dxa"/>
          <w:left w:w="108" w:type="dxa"/>
          <w:bottom w:w="0" w:type="dxa"/>
          <w:right w:w="108" w:type="dxa"/>
        </w:tblCellMar>
      </w:tblPr>
      <w:tblGrid>
        <w:gridCol w:w="812"/>
        <w:gridCol w:w="995"/>
        <w:gridCol w:w="995"/>
        <w:gridCol w:w="566"/>
        <w:gridCol w:w="3971"/>
        <w:gridCol w:w="7165"/>
      </w:tblGrid>
      <w:tr w14:paraId="19F850D4">
        <w:tblPrEx>
          <w:tblCellMar>
            <w:top w:w="0" w:type="dxa"/>
            <w:left w:w="108" w:type="dxa"/>
            <w:bottom w:w="0" w:type="dxa"/>
            <w:right w:w="108" w:type="dxa"/>
          </w:tblCellMar>
        </w:tblPrEx>
        <w:trPr>
          <w:cantSplit/>
          <w:trHeight w:val="516" w:hRule="atLeast"/>
          <w:tblHeader/>
        </w:trPr>
        <w:tc>
          <w:tcPr>
            <w:tcW w:w="14504" w:type="dxa"/>
            <w:gridSpan w:val="6"/>
            <w:tcBorders>
              <w:bottom w:val="single" w:color="auto" w:sz="4" w:space="0"/>
            </w:tcBorders>
            <w:shd w:val="clear" w:color="auto" w:fill="auto"/>
            <w:noWrap/>
            <w:vAlign w:val="center"/>
          </w:tcPr>
          <w:p w14:paraId="676E3461">
            <w:pPr>
              <w:pStyle w:val="14"/>
              <w:spacing w:line="360" w:lineRule="auto"/>
              <w:ind w:firstLine="482" w:firstLineChars="200"/>
              <w:jc w:val="center"/>
              <w:rPr>
                <w:rFonts w:hint="default" w:ascii="Arial Narrow" w:hAnsi="Arial Narrow" w:eastAsia="仿宋_GB2312" w:cs="Arial Narrow"/>
                <w:b/>
                <w:bCs/>
                <w:color w:val="auto"/>
              </w:rPr>
            </w:pPr>
            <w:r>
              <w:rPr>
                <w:rFonts w:hint="default" w:ascii="Arial Narrow" w:hAnsi="Arial Narrow" w:eastAsia="仿宋_GB2312" w:cs="Arial Narrow"/>
                <w:b/>
                <w:bCs/>
                <w:color w:val="auto"/>
              </w:rPr>
              <w:t>铜梁区衔接资金项目绩效评价及考核指标评分表</w:t>
            </w:r>
          </w:p>
        </w:tc>
      </w:tr>
      <w:tr w14:paraId="1A53F42C">
        <w:tblPrEx>
          <w:tblCellMar>
            <w:top w:w="0" w:type="dxa"/>
            <w:left w:w="108" w:type="dxa"/>
            <w:bottom w:w="0" w:type="dxa"/>
            <w:right w:w="108" w:type="dxa"/>
          </w:tblCellMar>
        </w:tblPrEx>
        <w:trPr>
          <w:cantSplit/>
          <w:trHeight w:val="516" w:hRule="atLeast"/>
          <w:tblHeader/>
        </w:trPr>
        <w:tc>
          <w:tcPr>
            <w:tcW w:w="8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D7DB5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序号</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48C8E49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一级指标</w:t>
            </w:r>
          </w:p>
        </w:tc>
        <w:tc>
          <w:tcPr>
            <w:tcW w:w="995" w:type="dxa"/>
            <w:tcBorders>
              <w:top w:val="single" w:color="auto" w:sz="4" w:space="0"/>
              <w:left w:val="nil"/>
              <w:bottom w:val="single" w:color="auto" w:sz="4" w:space="0"/>
              <w:right w:val="single" w:color="auto" w:sz="4" w:space="0"/>
            </w:tcBorders>
            <w:shd w:val="clear" w:color="auto" w:fill="auto"/>
            <w:noWrap/>
            <w:vAlign w:val="center"/>
          </w:tcPr>
          <w:p w14:paraId="74EB8F7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二级指标</w:t>
            </w:r>
          </w:p>
        </w:tc>
        <w:tc>
          <w:tcPr>
            <w:tcW w:w="566" w:type="dxa"/>
            <w:tcBorders>
              <w:top w:val="single" w:color="auto" w:sz="4" w:space="0"/>
              <w:left w:val="nil"/>
              <w:bottom w:val="single" w:color="auto" w:sz="4" w:space="0"/>
              <w:right w:val="single" w:color="auto" w:sz="4" w:space="0"/>
            </w:tcBorders>
            <w:shd w:val="clear" w:color="auto" w:fill="auto"/>
            <w:noWrap/>
            <w:vAlign w:val="center"/>
          </w:tcPr>
          <w:p w14:paraId="5E7B7B4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分值</w:t>
            </w:r>
          </w:p>
        </w:tc>
        <w:tc>
          <w:tcPr>
            <w:tcW w:w="3971" w:type="dxa"/>
            <w:tcBorders>
              <w:top w:val="single" w:color="auto" w:sz="4" w:space="0"/>
              <w:left w:val="nil"/>
              <w:bottom w:val="single" w:color="auto" w:sz="4" w:space="0"/>
              <w:right w:val="single" w:color="auto" w:sz="4" w:space="0"/>
            </w:tcBorders>
            <w:shd w:val="clear" w:color="auto" w:fill="auto"/>
            <w:noWrap/>
            <w:vAlign w:val="center"/>
          </w:tcPr>
          <w:p w14:paraId="5AB264F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指标释义</w:t>
            </w:r>
          </w:p>
        </w:tc>
        <w:tc>
          <w:tcPr>
            <w:tcW w:w="7165" w:type="dxa"/>
            <w:tcBorders>
              <w:top w:val="single" w:color="auto" w:sz="4" w:space="0"/>
              <w:left w:val="nil"/>
              <w:bottom w:val="single" w:color="auto" w:sz="4" w:space="0"/>
              <w:right w:val="single" w:color="auto" w:sz="4" w:space="0"/>
            </w:tcBorders>
            <w:shd w:val="clear" w:color="auto" w:fill="auto"/>
            <w:noWrap/>
            <w:vAlign w:val="center"/>
          </w:tcPr>
          <w:p w14:paraId="7B6A659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评价标准</w:t>
            </w:r>
          </w:p>
        </w:tc>
      </w:tr>
      <w:tr w14:paraId="16248705">
        <w:tblPrEx>
          <w:tblCellMar>
            <w:top w:w="0" w:type="dxa"/>
            <w:left w:w="108" w:type="dxa"/>
            <w:bottom w:w="0" w:type="dxa"/>
            <w:right w:w="108" w:type="dxa"/>
          </w:tblCellMar>
        </w:tblPrEx>
        <w:trPr>
          <w:cantSplit/>
          <w:trHeight w:val="116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97A4CF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7DDFAD0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资金管理（5分）</w:t>
            </w:r>
          </w:p>
        </w:tc>
        <w:tc>
          <w:tcPr>
            <w:tcW w:w="995" w:type="dxa"/>
            <w:tcBorders>
              <w:top w:val="nil"/>
              <w:left w:val="nil"/>
              <w:bottom w:val="single" w:color="auto" w:sz="4" w:space="0"/>
              <w:right w:val="single" w:color="auto" w:sz="4" w:space="0"/>
            </w:tcBorders>
            <w:shd w:val="clear" w:color="auto" w:fill="auto"/>
            <w:vAlign w:val="center"/>
          </w:tcPr>
          <w:p w14:paraId="3066649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财政衔接资金安排情况</w:t>
            </w:r>
          </w:p>
        </w:tc>
        <w:tc>
          <w:tcPr>
            <w:tcW w:w="566" w:type="dxa"/>
            <w:tcBorders>
              <w:top w:val="nil"/>
              <w:left w:val="nil"/>
              <w:bottom w:val="single" w:color="auto" w:sz="4" w:space="0"/>
              <w:right w:val="single" w:color="auto" w:sz="4" w:space="0"/>
            </w:tcBorders>
            <w:shd w:val="clear" w:color="auto" w:fill="auto"/>
            <w:vAlign w:val="center"/>
          </w:tcPr>
          <w:p w14:paraId="176E4A80">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3971" w:type="dxa"/>
            <w:tcBorders>
              <w:top w:val="nil"/>
              <w:left w:val="nil"/>
              <w:bottom w:val="single" w:color="auto" w:sz="4" w:space="0"/>
              <w:right w:val="single" w:color="auto" w:sz="4" w:space="0"/>
            </w:tcBorders>
            <w:shd w:val="clear" w:color="auto" w:fill="auto"/>
            <w:vAlign w:val="center"/>
          </w:tcPr>
          <w:p w14:paraId="4008D397">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7165" w:type="dxa"/>
            <w:tcBorders>
              <w:top w:val="nil"/>
              <w:left w:val="nil"/>
              <w:bottom w:val="single" w:color="auto" w:sz="4" w:space="0"/>
              <w:right w:val="single" w:color="auto" w:sz="4" w:space="0"/>
            </w:tcBorders>
            <w:shd w:val="clear" w:color="auto" w:fill="auto"/>
            <w:vAlign w:val="center"/>
          </w:tcPr>
          <w:p w14:paraId="4FBF6D5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资金使用方向符合文件规定（2分）。</w:t>
            </w:r>
          </w:p>
        </w:tc>
      </w:tr>
      <w:tr w14:paraId="21081350">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331DCEC">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2</w:t>
            </w:r>
          </w:p>
        </w:tc>
        <w:tc>
          <w:tcPr>
            <w:tcW w:w="995" w:type="dxa"/>
            <w:vMerge w:val="continue"/>
            <w:tcBorders>
              <w:top w:val="nil"/>
              <w:left w:val="single" w:color="auto" w:sz="4" w:space="0"/>
              <w:bottom w:val="single" w:color="auto" w:sz="4" w:space="0"/>
              <w:right w:val="single" w:color="auto" w:sz="4" w:space="0"/>
            </w:tcBorders>
            <w:vAlign w:val="center"/>
          </w:tcPr>
          <w:p w14:paraId="43DF00CE">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D38EC74">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资金分解下达进度</w:t>
            </w:r>
          </w:p>
        </w:tc>
        <w:tc>
          <w:tcPr>
            <w:tcW w:w="566" w:type="dxa"/>
            <w:tcBorders>
              <w:top w:val="nil"/>
              <w:left w:val="nil"/>
              <w:bottom w:val="single" w:color="auto" w:sz="4" w:space="0"/>
              <w:right w:val="single" w:color="auto" w:sz="4" w:space="0"/>
            </w:tcBorders>
            <w:shd w:val="clear" w:color="auto" w:fill="auto"/>
            <w:noWrap/>
            <w:vAlign w:val="center"/>
          </w:tcPr>
          <w:p w14:paraId="55CBCE0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3971" w:type="dxa"/>
            <w:tcBorders>
              <w:top w:val="nil"/>
              <w:left w:val="nil"/>
              <w:bottom w:val="single" w:color="auto" w:sz="4" w:space="0"/>
              <w:right w:val="single" w:color="auto" w:sz="4" w:space="0"/>
            </w:tcBorders>
            <w:shd w:val="clear" w:color="auto" w:fill="auto"/>
            <w:vAlign w:val="center"/>
          </w:tcPr>
          <w:p w14:paraId="2159D50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评价区级业务主管部门分解下达当年资金及次年提前批资金进度情况。</w:t>
            </w:r>
          </w:p>
        </w:tc>
        <w:tc>
          <w:tcPr>
            <w:tcW w:w="7165" w:type="dxa"/>
            <w:tcBorders>
              <w:top w:val="nil"/>
              <w:left w:val="nil"/>
              <w:bottom w:val="single" w:color="auto" w:sz="4" w:space="0"/>
              <w:right w:val="single" w:color="auto" w:sz="4" w:space="0"/>
            </w:tcBorders>
            <w:shd w:val="clear" w:color="auto" w:fill="auto"/>
            <w:vAlign w:val="center"/>
          </w:tcPr>
          <w:p w14:paraId="646EB23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区财政局下达资金文件时间到区级业务主管部门下达项目及资金计划文件时间间隔≤30日（3分）。</w:t>
            </w:r>
          </w:p>
        </w:tc>
      </w:tr>
      <w:tr w14:paraId="407E734D">
        <w:tblPrEx>
          <w:tblCellMar>
            <w:top w:w="0" w:type="dxa"/>
            <w:left w:w="108" w:type="dxa"/>
            <w:bottom w:w="0" w:type="dxa"/>
            <w:right w:w="108" w:type="dxa"/>
          </w:tblCellMar>
        </w:tblPrEx>
        <w:trPr>
          <w:cantSplit/>
          <w:trHeight w:val="101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AFB6F2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6CDE335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项目管理（55分）</w:t>
            </w:r>
          </w:p>
        </w:tc>
        <w:tc>
          <w:tcPr>
            <w:tcW w:w="995" w:type="dxa"/>
            <w:tcBorders>
              <w:top w:val="nil"/>
              <w:left w:val="nil"/>
              <w:bottom w:val="single" w:color="auto" w:sz="4" w:space="0"/>
              <w:right w:val="single" w:color="auto" w:sz="4" w:space="0"/>
            </w:tcBorders>
            <w:shd w:val="clear" w:color="auto" w:fill="auto"/>
            <w:vAlign w:val="center"/>
          </w:tcPr>
          <w:p w14:paraId="1B52A6C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项目库建设管理情况</w:t>
            </w:r>
          </w:p>
        </w:tc>
        <w:tc>
          <w:tcPr>
            <w:tcW w:w="566" w:type="dxa"/>
            <w:tcBorders>
              <w:top w:val="nil"/>
              <w:left w:val="nil"/>
              <w:bottom w:val="single" w:color="auto" w:sz="4" w:space="0"/>
              <w:right w:val="single" w:color="auto" w:sz="4" w:space="0"/>
            </w:tcBorders>
            <w:shd w:val="clear" w:color="auto" w:fill="auto"/>
            <w:noWrap/>
            <w:vAlign w:val="center"/>
          </w:tcPr>
          <w:p w14:paraId="1E8F9D7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nil"/>
              <w:right w:val="nil"/>
            </w:tcBorders>
            <w:shd w:val="clear" w:color="auto" w:fill="auto"/>
            <w:vAlign w:val="center"/>
          </w:tcPr>
          <w:p w14:paraId="0392609B">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评价落实《铜梁区巩固拓展脱贫攻坚成果和衔接乡村振兴项目库建设管理实施细则》（铜乡振〔2021〕7号）落实情况。根据抽查情况赋分。</w:t>
            </w:r>
          </w:p>
        </w:tc>
        <w:tc>
          <w:tcPr>
            <w:tcW w:w="7165" w:type="dxa"/>
            <w:tcBorders>
              <w:top w:val="nil"/>
              <w:left w:val="single" w:color="auto" w:sz="4" w:space="0"/>
              <w:bottom w:val="single" w:color="auto" w:sz="4" w:space="0"/>
              <w:right w:val="single" w:color="auto" w:sz="4" w:space="0"/>
            </w:tcBorders>
            <w:shd w:val="clear" w:color="auto" w:fill="auto"/>
            <w:vAlign w:val="center"/>
          </w:tcPr>
          <w:p w14:paraId="117F2D9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1.项目入库及时充分、程序规范、内容完整（3分）；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2.入库项目具备实施条件（2分）；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3.衔接资金用于项目库之外的项目（-5分）。</w:t>
            </w:r>
          </w:p>
        </w:tc>
      </w:tr>
      <w:tr w14:paraId="0DA71FB4">
        <w:tblPrEx>
          <w:tblCellMar>
            <w:top w:w="0" w:type="dxa"/>
            <w:left w:w="108" w:type="dxa"/>
            <w:bottom w:w="0" w:type="dxa"/>
            <w:right w:w="108" w:type="dxa"/>
          </w:tblCellMar>
        </w:tblPrEx>
        <w:trPr>
          <w:cantSplit/>
          <w:trHeight w:val="1261"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8A9CD0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4</w:t>
            </w:r>
          </w:p>
        </w:tc>
        <w:tc>
          <w:tcPr>
            <w:tcW w:w="995" w:type="dxa"/>
            <w:vMerge w:val="continue"/>
            <w:tcBorders>
              <w:top w:val="nil"/>
              <w:left w:val="single" w:color="auto" w:sz="4" w:space="0"/>
              <w:bottom w:val="single" w:color="auto" w:sz="4" w:space="0"/>
              <w:right w:val="single" w:color="auto" w:sz="4" w:space="0"/>
            </w:tcBorders>
            <w:vAlign w:val="center"/>
          </w:tcPr>
          <w:p w14:paraId="44AFB9F0">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71A7EF3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项目绩效管理情况</w:t>
            </w:r>
          </w:p>
        </w:tc>
        <w:tc>
          <w:tcPr>
            <w:tcW w:w="566" w:type="dxa"/>
            <w:tcBorders>
              <w:top w:val="nil"/>
              <w:left w:val="nil"/>
              <w:bottom w:val="single" w:color="auto" w:sz="4" w:space="0"/>
              <w:right w:val="single" w:color="auto" w:sz="4" w:space="0"/>
            </w:tcBorders>
            <w:shd w:val="clear" w:color="auto" w:fill="auto"/>
            <w:noWrap/>
            <w:vAlign w:val="center"/>
          </w:tcPr>
          <w:p w14:paraId="74B3B77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single" w:color="auto" w:sz="4" w:space="0"/>
              <w:left w:val="nil"/>
              <w:bottom w:val="single" w:color="auto" w:sz="4" w:space="0"/>
              <w:right w:val="single" w:color="auto" w:sz="4" w:space="0"/>
            </w:tcBorders>
            <w:shd w:val="clear" w:color="auto" w:fill="auto"/>
            <w:vAlign w:val="center"/>
          </w:tcPr>
          <w:p w14:paraId="6CF9366C">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评价具体项目实施方案明确绩效目标情况、开展跟踪监督绩效监控情况、事后评价情况等。根据抽抽情况赋分。</w:t>
            </w:r>
          </w:p>
        </w:tc>
        <w:tc>
          <w:tcPr>
            <w:tcW w:w="7165" w:type="dxa"/>
            <w:tcBorders>
              <w:top w:val="nil"/>
              <w:left w:val="nil"/>
              <w:bottom w:val="single" w:color="auto" w:sz="4" w:space="0"/>
              <w:right w:val="single" w:color="auto" w:sz="4" w:space="0"/>
            </w:tcBorders>
            <w:shd w:val="clear" w:color="auto" w:fill="auto"/>
            <w:vAlign w:val="center"/>
          </w:tcPr>
          <w:p w14:paraId="304E0BE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1.及时制定绩效目标、审核绩效目标（2分）；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2.开展绩效监控不少于1次（2分）；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3.对绩效目标偏离项目采取纠偏措施（2分）；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4.项目实施完毕后立即开展绩效自评，并形成绩效自评报告及绩效自评表。（2分）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5.项目绩效是否达到预期。（2分）</w:t>
            </w:r>
          </w:p>
        </w:tc>
      </w:tr>
      <w:tr w14:paraId="0BA1634D">
        <w:tblPrEx>
          <w:tblCellMar>
            <w:top w:w="0" w:type="dxa"/>
            <w:left w:w="108" w:type="dxa"/>
            <w:bottom w:w="0" w:type="dxa"/>
            <w:right w:w="108" w:type="dxa"/>
          </w:tblCellMar>
        </w:tblPrEx>
        <w:trPr>
          <w:cantSplit/>
          <w:trHeight w:val="12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15729D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995" w:type="dxa"/>
            <w:vMerge w:val="continue"/>
            <w:tcBorders>
              <w:top w:val="nil"/>
              <w:left w:val="single" w:color="auto" w:sz="4" w:space="0"/>
              <w:bottom w:val="single" w:color="auto" w:sz="4" w:space="0"/>
              <w:right w:val="single" w:color="auto" w:sz="4" w:space="0"/>
            </w:tcBorders>
            <w:vAlign w:val="center"/>
          </w:tcPr>
          <w:p w14:paraId="23170D82">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4AC417E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项目建设管理情况</w:t>
            </w:r>
          </w:p>
        </w:tc>
        <w:tc>
          <w:tcPr>
            <w:tcW w:w="566" w:type="dxa"/>
            <w:tcBorders>
              <w:top w:val="nil"/>
              <w:left w:val="nil"/>
              <w:bottom w:val="single" w:color="auto" w:sz="4" w:space="0"/>
              <w:right w:val="single" w:color="auto" w:sz="4" w:space="0"/>
            </w:tcBorders>
            <w:shd w:val="clear" w:color="auto" w:fill="auto"/>
            <w:vAlign w:val="center"/>
          </w:tcPr>
          <w:p w14:paraId="02D10F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3971" w:type="dxa"/>
            <w:tcBorders>
              <w:top w:val="nil"/>
              <w:left w:val="nil"/>
              <w:bottom w:val="single" w:color="auto" w:sz="4" w:space="0"/>
              <w:right w:val="single" w:color="auto" w:sz="4" w:space="0"/>
            </w:tcBorders>
            <w:shd w:val="clear" w:color="auto" w:fill="auto"/>
            <w:vAlign w:val="center"/>
          </w:tcPr>
          <w:p w14:paraId="0C1E253A">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评价有序推进项目前期工作、组织实施、项目验收、资料报送等情况。根据抽抽情况赋分。</w:t>
            </w:r>
          </w:p>
        </w:tc>
        <w:tc>
          <w:tcPr>
            <w:tcW w:w="7165" w:type="dxa"/>
            <w:tcBorders>
              <w:top w:val="nil"/>
              <w:left w:val="nil"/>
              <w:bottom w:val="single" w:color="auto" w:sz="4" w:space="0"/>
              <w:right w:val="single" w:color="auto" w:sz="4" w:space="0"/>
            </w:tcBorders>
            <w:shd w:val="clear" w:color="auto" w:fill="auto"/>
            <w:vAlign w:val="center"/>
          </w:tcPr>
          <w:p w14:paraId="2D7E7DE8">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1.项目实施方法存在变更是否按规定报批；（1分）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2.是否定期对项目实施情况进行监督检查，对检查中发现的问题进行整改；（2分）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3.是否按照项目实施节点按时提交项目报账资料；（1分）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4.日常管理资料是否及时归档整理；（1分）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5.项目完工后是否在规定时间内进行验收。（1分）</w:t>
            </w:r>
          </w:p>
        </w:tc>
      </w:tr>
      <w:tr w14:paraId="0039816A">
        <w:tblPrEx>
          <w:tblCellMar>
            <w:top w:w="0" w:type="dxa"/>
            <w:left w:w="108" w:type="dxa"/>
            <w:bottom w:w="0" w:type="dxa"/>
            <w:right w:w="108" w:type="dxa"/>
          </w:tblCellMar>
        </w:tblPrEx>
        <w:trPr>
          <w:cantSplit/>
          <w:trHeight w:val="218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077D683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6</w:t>
            </w:r>
          </w:p>
        </w:tc>
        <w:tc>
          <w:tcPr>
            <w:tcW w:w="995" w:type="dxa"/>
            <w:vMerge w:val="continue"/>
            <w:tcBorders>
              <w:top w:val="nil"/>
              <w:left w:val="single" w:color="auto" w:sz="4" w:space="0"/>
              <w:bottom w:val="single" w:color="auto" w:sz="4" w:space="0"/>
              <w:right w:val="single" w:color="auto" w:sz="4" w:space="0"/>
            </w:tcBorders>
            <w:vAlign w:val="center"/>
          </w:tcPr>
          <w:p w14:paraId="490EF004">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4AFBBB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预算执行率情况</w:t>
            </w:r>
          </w:p>
        </w:tc>
        <w:tc>
          <w:tcPr>
            <w:tcW w:w="566" w:type="dxa"/>
            <w:tcBorders>
              <w:top w:val="nil"/>
              <w:left w:val="nil"/>
              <w:bottom w:val="single" w:color="auto" w:sz="4" w:space="0"/>
              <w:right w:val="single" w:color="auto" w:sz="4" w:space="0"/>
            </w:tcBorders>
            <w:shd w:val="clear" w:color="auto" w:fill="auto"/>
            <w:noWrap/>
            <w:vAlign w:val="center"/>
          </w:tcPr>
          <w:p w14:paraId="09D3F98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3971" w:type="dxa"/>
            <w:tcBorders>
              <w:top w:val="nil"/>
              <w:left w:val="nil"/>
              <w:bottom w:val="single" w:color="auto" w:sz="4" w:space="0"/>
              <w:right w:val="single" w:color="auto" w:sz="4" w:space="0"/>
            </w:tcBorders>
            <w:shd w:val="clear" w:color="auto" w:fill="auto"/>
            <w:vAlign w:val="center"/>
          </w:tcPr>
          <w:p w14:paraId="7CF50EE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评价有序推进项目工作和资金支付情况。根据抽查情况赋分。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6920463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主要通过支出进度评价有序推进项目工作和资金支付情况，于7月末、10月中旬定期调度。</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1</w:t>
            </w:r>
            <w:r>
              <w:rPr>
                <w:rFonts w:hint="default" w:ascii="Arial Narrow" w:hAnsi="Arial Narrow" w:eastAsia="仿宋_GB2312" w:cs="Arial Narrow"/>
                <w:kern w:val="0"/>
                <w:sz w:val="16"/>
                <w:szCs w:val="16"/>
              </w:rPr>
              <w:t>.7月末支出进度评分4分。资金支出进度达到全区平均进度或者序时进度的，得满分；未达到的按照与序时进度的比例扣分；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2</w:t>
            </w:r>
            <w:r>
              <w:rPr>
                <w:rFonts w:hint="default" w:ascii="Arial Narrow" w:hAnsi="Arial Narrow" w:eastAsia="仿宋_GB2312" w:cs="Arial Narrow"/>
                <w:kern w:val="0"/>
                <w:sz w:val="16"/>
                <w:szCs w:val="16"/>
              </w:rPr>
              <w:t>.10月中旬支出进度评分4分。资金支出进度达到全区平均进度或者序时进度的，得满分；未达到的按照与序时进度的比例扣分；</w:t>
            </w:r>
            <w:r>
              <w:rPr>
                <w:rFonts w:hint="default" w:ascii="Arial Narrow" w:hAnsi="Arial Narrow" w:eastAsia="仿宋_GB2312" w:cs="Arial Narrow"/>
                <w:kern w:val="0"/>
                <w:sz w:val="16"/>
                <w:szCs w:val="16"/>
              </w:rPr>
              <w:br w:type="textWrapping"/>
            </w:r>
            <w:r>
              <w:rPr>
                <w:rFonts w:hint="eastAsia" w:ascii="Arial Narrow" w:hAnsi="Arial Narrow" w:eastAsia="仿宋_GB2312" w:cs="Arial Narrow"/>
                <w:kern w:val="0"/>
                <w:sz w:val="16"/>
                <w:szCs w:val="16"/>
                <w:lang w:val="en-US" w:eastAsia="zh-CN"/>
              </w:rPr>
              <w:t>3.</w:t>
            </w:r>
            <w:r>
              <w:rPr>
                <w:rFonts w:hint="default" w:ascii="Arial Narrow" w:hAnsi="Arial Narrow" w:eastAsia="仿宋_GB2312" w:cs="Arial Narrow"/>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2AF364D">
        <w:tblPrEx>
          <w:tblCellMar>
            <w:top w:w="0" w:type="dxa"/>
            <w:left w:w="108" w:type="dxa"/>
            <w:bottom w:w="0" w:type="dxa"/>
            <w:right w:w="108" w:type="dxa"/>
          </w:tblCellMar>
        </w:tblPrEx>
        <w:trPr>
          <w:cantSplit/>
          <w:trHeight w:val="112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6DE83F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7</w:t>
            </w:r>
          </w:p>
        </w:tc>
        <w:tc>
          <w:tcPr>
            <w:tcW w:w="995" w:type="dxa"/>
            <w:vMerge w:val="continue"/>
            <w:tcBorders>
              <w:top w:val="nil"/>
              <w:left w:val="single" w:color="auto" w:sz="4" w:space="0"/>
              <w:bottom w:val="single" w:color="auto" w:sz="4" w:space="0"/>
              <w:right w:val="single" w:color="auto" w:sz="4" w:space="0"/>
            </w:tcBorders>
            <w:vAlign w:val="center"/>
          </w:tcPr>
          <w:p w14:paraId="37C904B2">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0B87771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跟踪督促及发现问题整改情况</w:t>
            </w:r>
          </w:p>
        </w:tc>
        <w:tc>
          <w:tcPr>
            <w:tcW w:w="566" w:type="dxa"/>
            <w:tcBorders>
              <w:top w:val="nil"/>
              <w:left w:val="nil"/>
              <w:bottom w:val="single" w:color="auto" w:sz="4" w:space="0"/>
              <w:right w:val="single" w:color="auto" w:sz="4" w:space="0"/>
            </w:tcBorders>
            <w:shd w:val="clear" w:color="auto" w:fill="auto"/>
            <w:noWrap/>
            <w:vAlign w:val="center"/>
          </w:tcPr>
          <w:p w14:paraId="7872E0D1">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3971" w:type="dxa"/>
            <w:tcBorders>
              <w:top w:val="nil"/>
              <w:left w:val="nil"/>
              <w:bottom w:val="single" w:color="auto" w:sz="4" w:space="0"/>
              <w:right w:val="single" w:color="auto" w:sz="4" w:space="0"/>
            </w:tcBorders>
            <w:shd w:val="clear" w:color="auto" w:fill="auto"/>
            <w:vAlign w:val="center"/>
          </w:tcPr>
          <w:p w14:paraId="00CCD67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评价定期开展监督检查情况、发现问题整改情况。根据未处理问题比例扣减。根据抽查情况赋分。</w:t>
            </w:r>
          </w:p>
        </w:tc>
        <w:tc>
          <w:tcPr>
            <w:tcW w:w="7165" w:type="dxa"/>
            <w:tcBorders>
              <w:top w:val="nil"/>
              <w:left w:val="nil"/>
              <w:bottom w:val="single" w:color="auto" w:sz="4" w:space="0"/>
              <w:right w:val="single" w:color="auto" w:sz="4" w:space="0"/>
            </w:tcBorders>
            <w:shd w:val="clear" w:color="auto" w:fill="auto"/>
            <w:vAlign w:val="center"/>
          </w:tcPr>
          <w:p w14:paraId="31DD061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1.定期开展项目实施和资金支出进度等跟踪督促情况，落实到位的得2分，未完全落实到位的酌情扣分；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2.跟踪督促及各类检查发现问题整改到位情况，满分5分，根据未整改问题比例扣减；</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3.全国12317防止返贫监测和乡村振兴咨询服务平台（简称12317平台）反馈问题处理情况，满分1分。</w:t>
            </w:r>
          </w:p>
        </w:tc>
      </w:tr>
      <w:tr w14:paraId="27C8608C">
        <w:tblPrEx>
          <w:tblCellMar>
            <w:top w:w="0" w:type="dxa"/>
            <w:left w:w="108" w:type="dxa"/>
            <w:bottom w:w="0" w:type="dxa"/>
            <w:right w:w="108" w:type="dxa"/>
          </w:tblCellMar>
        </w:tblPrEx>
        <w:trPr>
          <w:cantSplit/>
          <w:trHeight w:val="804"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14ED680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8</w:t>
            </w:r>
          </w:p>
        </w:tc>
        <w:tc>
          <w:tcPr>
            <w:tcW w:w="995" w:type="dxa"/>
            <w:vMerge w:val="continue"/>
            <w:tcBorders>
              <w:top w:val="nil"/>
              <w:left w:val="single" w:color="auto" w:sz="4" w:space="0"/>
              <w:bottom w:val="single" w:color="auto" w:sz="4" w:space="0"/>
              <w:right w:val="single" w:color="auto" w:sz="4" w:space="0"/>
            </w:tcBorders>
            <w:vAlign w:val="center"/>
          </w:tcPr>
          <w:p w14:paraId="60699FE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F7CBE3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账务处理及档案管理等情况</w:t>
            </w:r>
          </w:p>
        </w:tc>
        <w:tc>
          <w:tcPr>
            <w:tcW w:w="566" w:type="dxa"/>
            <w:tcBorders>
              <w:top w:val="nil"/>
              <w:left w:val="nil"/>
              <w:bottom w:val="single" w:color="auto" w:sz="4" w:space="0"/>
              <w:right w:val="single" w:color="auto" w:sz="4" w:space="0"/>
            </w:tcBorders>
            <w:shd w:val="clear" w:color="auto" w:fill="auto"/>
            <w:noWrap/>
            <w:vAlign w:val="center"/>
          </w:tcPr>
          <w:p w14:paraId="4251B55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52CC9E7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评价账务处理，资产转固，收益管理、档案管理等情况。根据抽查情况赋分。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385F4CC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1.财务处理是否规范，原始凭证是否齐全，建成资产是否及时转固、收益管理是否合规；（4分）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2.档案管理是否完整、合规、真实。（1分）</w:t>
            </w:r>
          </w:p>
        </w:tc>
      </w:tr>
      <w:tr w14:paraId="2E548C51">
        <w:tblPrEx>
          <w:tblCellMar>
            <w:top w:w="0" w:type="dxa"/>
            <w:left w:w="108" w:type="dxa"/>
            <w:bottom w:w="0" w:type="dxa"/>
            <w:right w:w="108" w:type="dxa"/>
          </w:tblCellMar>
        </w:tblPrEx>
        <w:trPr>
          <w:cantSplit/>
          <w:trHeight w:val="1152"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3D874C2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995" w:type="dxa"/>
            <w:vMerge w:val="continue"/>
            <w:tcBorders>
              <w:top w:val="nil"/>
              <w:left w:val="single" w:color="auto" w:sz="4" w:space="0"/>
              <w:bottom w:val="single" w:color="auto" w:sz="4" w:space="0"/>
              <w:right w:val="single" w:color="auto" w:sz="4" w:space="0"/>
            </w:tcBorders>
            <w:vAlign w:val="center"/>
          </w:tcPr>
          <w:p w14:paraId="1DE35453">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110FBA3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信息公开和公告公示制度落实情况</w:t>
            </w:r>
          </w:p>
        </w:tc>
        <w:tc>
          <w:tcPr>
            <w:tcW w:w="566" w:type="dxa"/>
            <w:tcBorders>
              <w:top w:val="nil"/>
              <w:left w:val="nil"/>
              <w:bottom w:val="single" w:color="auto" w:sz="4" w:space="0"/>
              <w:right w:val="single" w:color="auto" w:sz="4" w:space="0"/>
            </w:tcBorders>
            <w:shd w:val="clear" w:color="auto" w:fill="auto"/>
            <w:noWrap/>
            <w:vAlign w:val="center"/>
          </w:tcPr>
          <w:p w14:paraId="01076FE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9</w:t>
            </w:r>
          </w:p>
        </w:tc>
        <w:tc>
          <w:tcPr>
            <w:tcW w:w="3971" w:type="dxa"/>
            <w:tcBorders>
              <w:top w:val="nil"/>
              <w:left w:val="nil"/>
              <w:bottom w:val="single" w:color="auto" w:sz="4" w:space="0"/>
              <w:right w:val="single" w:color="auto" w:sz="4" w:space="0"/>
            </w:tcBorders>
            <w:shd w:val="clear" w:color="auto" w:fill="auto"/>
            <w:vAlign w:val="center"/>
          </w:tcPr>
          <w:p w14:paraId="36D49CF9">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评价区级、镇级、村级落实《铜梁区财政衔接推进乡村振兴补助资金项目公告公示实施办法》（铜委农办〔2021〕19号）文件要求情况。根据抽查情况赋分。</w:t>
            </w:r>
          </w:p>
        </w:tc>
        <w:tc>
          <w:tcPr>
            <w:tcW w:w="7165" w:type="dxa"/>
            <w:tcBorders>
              <w:top w:val="nil"/>
              <w:left w:val="nil"/>
              <w:bottom w:val="single" w:color="auto" w:sz="4" w:space="0"/>
              <w:right w:val="single" w:color="auto" w:sz="4" w:space="0"/>
            </w:tcBorders>
            <w:shd w:val="clear" w:color="auto" w:fill="auto"/>
            <w:vAlign w:val="center"/>
          </w:tcPr>
          <w:p w14:paraId="1B62318D">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分区级、镇级、村级进行评价。</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1.抽查区级公示公开情况，满分3分，未完整公开酌情扣分；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2.抽查镇级公示公开情况，满分3分，未完整公开酌情扣分；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3.抽查村级公示公开情况，满分3分，未完整公开酌情扣分。</w:t>
            </w:r>
          </w:p>
        </w:tc>
      </w:tr>
      <w:tr w14:paraId="439F7F02">
        <w:tblPrEx>
          <w:tblCellMar>
            <w:top w:w="0" w:type="dxa"/>
            <w:left w:w="108" w:type="dxa"/>
            <w:bottom w:w="0" w:type="dxa"/>
            <w:right w:w="108" w:type="dxa"/>
          </w:tblCellMar>
        </w:tblPrEx>
        <w:trPr>
          <w:cantSplit/>
          <w:trHeight w:val="1693"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1D40C76">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995" w:type="dxa"/>
            <w:vMerge w:val="restart"/>
            <w:tcBorders>
              <w:top w:val="nil"/>
              <w:left w:val="single" w:color="auto" w:sz="4" w:space="0"/>
              <w:bottom w:val="single" w:color="auto" w:sz="4" w:space="0"/>
              <w:right w:val="single" w:color="auto" w:sz="4" w:space="0"/>
            </w:tcBorders>
            <w:shd w:val="clear" w:color="auto" w:fill="auto"/>
            <w:vAlign w:val="center"/>
          </w:tcPr>
          <w:p w14:paraId="21924CD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使用成效及通报情况（40分）</w:t>
            </w:r>
          </w:p>
        </w:tc>
        <w:tc>
          <w:tcPr>
            <w:tcW w:w="995" w:type="dxa"/>
            <w:tcBorders>
              <w:top w:val="nil"/>
              <w:left w:val="nil"/>
              <w:bottom w:val="single" w:color="auto" w:sz="4" w:space="0"/>
              <w:right w:val="single" w:color="auto" w:sz="4" w:space="0"/>
            </w:tcBorders>
            <w:shd w:val="clear" w:color="auto" w:fill="auto"/>
            <w:vAlign w:val="center"/>
          </w:tcPr>
          <w:p w14:paraId="49CEF55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资金使用效益</w:t>
            </w:r>
          </w:p>
        </w:tc>
        <w:tc>
          <w:tcPr>
            <w:tcW w:w="566" w:type="dxa"/>
            <w:tcBorders>
              <w:top w:val="nil"/>
              <w:left w:val="nil"/>
              <w:bottom w:val="single" w:color="auto" w:sz="4" w:space="0"/>
              <w:right w:val="single" w:color="auto" w:sz="4" w:space="0"/>
            </w:tcBorders>
            <w:shd w:val="clear" w:color="auto" w:fill="auto"/>
            <w:noWrap/>
            <w:vAlign w:val="center"/>
          </w:tcPr>
          <w:p w14:paraId="41FE29F5">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35</w:t>
            </w:r>
          </w:p>
        </w:tc>
        <w:tc>
          <w:tcPr>
            <w:tcW w:w="3971" w:type="dxa"/>
            <w:tcBorders>
              <w:top w:val="nil"/>
              <w:left w:val="nil"/>
              <w:bottom w:val="single" w:color="auto" w:sz="4" w:space="0"/>
              <w:right w:val="single" w:color="auto" w:sz="4" w:space="0"/>
            </w:tcBorders>
            <w:shd w:val="clear" w:color="auto" w:fill="auto"/>
            <w:vAlign w:val="center"/>
          </w:tcPr>
          <w:p w14:paraId="20306280">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评价项目是否达到预期成效，后续管护是否存在问题等。根据抽查情况赋分。</w:t>
            </w:r>
          </w:p>
        </w:tc>
        <w:tc>
          <w:tcPr>
            <w:tcW w:w="7165" w:type="dxa"/>
            <w:tcBorders>
              <w:top w:val="nil"/>
              <w:left w:val="nil"/>
              <w:bottom w:val="single" w:color="auto" w:sz="4" w:space="0"/>
              <w:right w:val="single" w:color="auto" w:sz="4" w:space="0"/>
            </w:tcBorders>
            <w:shd w:val="clear" w:color="auto" w:fill="auto"/>
            <w:vAlign w:val="center"/>
          </w:tcPr>
          <w:p w14:paraId="6438B1A5">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满分35分，根据抽查项目情况赋分。项目管理各环节，每存在一例不符合相关规定的，扣0.5分，扣完为止。</w:t>
            </w:r>
          </w:p>
        </w:tc>
      </w:tr>
      <w:tr w14:paraId="7EF83829">
        <w:tblPrEx>
          <w:tblCellMar>
            <w:top w:w="0" w:type="dxa"/>
            <w:left w:w="108" w:type="dxa"/>
            <w:bottom w:w="0" w:type="dxa"/>
            <w:right w:w="108" w:type="dxa"/>
          </w:tblCellMar>
        </w:tblPrEx>
        <w:trPr>
          <w:cantSplit/>
          <w:trHeight w:val="767"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427C4753">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11</w:t>
            </w:r>
          </w:p>
        </w:tc>
        <w:tc>
          <w:tcPr>
            <w:tcW w:w="995" w:type="dxa"/>
            <w:vMerge w:val="continue"/>
            <w:tcBorders>
              <w:top w:val="nil"/>
              <w:left w:val="single" w:color="auto" w:sz="4" w:space="0"/>
              <w:bottom w:val="single" w:color="auto" w:sz="4" w:space="0"/>
              <w:right w:val="single" w:color="auto" w:sz="4" w:space="0"/>
            </w:tcBorders>
            <w:vAlign w:val="center"/>
          </w:tcPr>
          <w:p w14:paraId="1941056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21919A48">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通报情况</w:t>
            </w:r>
          </w:p>
        </w:tc>
        <w:tc>
          <w:tcPr>
            <w:tcW w:w="566" w:type="dxa"/>
            <w:tcBorders>
              <w:top w:val="nil"/>
              <w:left w:val="nil"/>
              <w:bottom w:val="single" w:color="auto" w:sz="4" w:space="0"/>
              <w:right w:val="single" w:color="auto" w:sz="4" w:space="0"/>
            </w:tcBorders>
            <w:shd w:val="clear" w:color="auto" w:fill="auto"/>
            <w:vAlign w:val="center"/>
          </w:tcPr>
          <w:p w14:paraId="4658E5DA">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4FA9E67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评价日常表现情况。</w:t>
            </w:r>
          </w:p>
        </w:tc>
        <w:tc>
          <w:tcPr>
            <w:tcW w:w="7165" w:type="dxa"/>
            <w:tcBorders>
              <w:top w:val="nil"/>
              <w:left w:val="nil"/>
              <w:bottom w:val="single" w:color="auto" w:sz="4" w:space="0"/>
              <w:right w:val="single" w:color="auto" w:sz="4" w:space="0"/>
            </w:tcBorders>
            <w:shd w:val="clear" w:color="auto" w:fill="auto"/>
            <w:vAlign w:val="center"/>
          </w:tcPr>
          <w:p w14:paraId="484B332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3529821D">
        <w:tblPrEx>
          <w:tblCellMar>
            <w:top w:w="0" w:type="dxa"/>
            <w:left w:w="108" w:type="dxa"/>
            <w:bottom w:w="0" w:type="dxa"/>
            <w:right w:w="108" w:type="dxa"/>
          </w:tblCellMar>
        </w:tblPrEx>
        <w:trPr>
          <w:cantSplit/>
          <w:trHeight w:val="909"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243F14ED">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12</w:t>
            </w:r>
          </w:p>
        </w:tc>
        <w:tc>
          <w:tcPr>
            <w:tcW w:w="995" w:type="dxa"/>
            <w:vMerge w:val="restart"/>
            <w:tcBorders>
              <w:top w:val="nil"/>
              <w:left w:val="single" w:color="auto" w:sz="4" w:space="0"/>
              <w:bottom w:val="single" w:color="000000" w:sz="4" w:space="0"/>
              <w:right w:val="single" w:color="auto" w:sz="4" w:space="0"/>
            </w:tcBorders>
            <w:shd w:val="clear" w:color="auto" w:fill="auto"/>
            <w:vAlign w:val="center"/>
          </w:tcPr>
          <w:p w14:paraId="6D7651B2">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加减分指标</w:t>
            </w:r>
          </w:p>
        </w:tc>
        <w:tc>
          <w:tcPr>
            <w:tcW w:w="995" w:type="dxa"/>
            <w:tcBorders>
              <w:top w:val="nil"/>
              <w:left w:val="nil"/>
              <w:bottom w:val="single" w:color="auto" w:sz="4" w:space="0"/>
              <w:right w:val="single" w:color="auto" w:sz="4" w:space="0"/>
            </w:tcBorders>
            <w:shd w:val="clear" w:color="auto" w:fill="auto"/>
            <w:vAlign w:val="center"/>
          </w:tcPr>
          <w:p w14:paraId="6AC00347">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加分项</w:t>
            </w:r>
          </w:p>
        </w:tc>
        <w:tc>
          <w:tcPr>
            <w:tcW w:w="566" w:type="dxa"/>
            <w:tcBorders>
              <w:top w:val="nil"/>
              <w:left w:val="nil"/>
              <w:bottom w:val="single" w:color="auto" w:sz="4" w:space="0"/>
              <w:right w:val="single" w:color="auto" w:sz="4" w:space="0"/>
            </w:tcBorders>
            <w:shd w:val="clear" w:color="auto" w:fill="auto"/>
            <w:vAlign w:val="center"/>
          </w:tcPr>
          <w:p w14:paraId="71BC9269">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5</w:t>
            </w:r>
          </w:p>
        </w:tc>
        <w:tc>
          <w:tcPr>
            <w:tcW w:w="3971" w:type="dxa"/>
            <w:tcBorders>
              <w:top w:val="nil"/>
              <w:left w:val="nil"/>
              <w:bottom w:val="single" w:color="auto" w:sz="4" w:space="0"/>
              <w:right w:val="single" w:color="auto" w:sz="4" w:space="0"/>
            </w:tcBorders>
            <w:shd w:val="clear" w:color="auto" w:fill="auto"/>
            <w:vAlign w:val="center"/>
          </w:tcPr>
          <w:p w14:paraId="08ABC5C1">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评价机制创新情况。最高加5分。</w:t>
            </w:r>
          </w:p>
        </w:tc>
        <w:tc>
          <w:tcPr>
            <w:tcW w:w="7165" w:type="dxa"/>
            <w:tcBorders>
              <w:top w:val="nil"/>
              <w:left w:val="nil"/>
              <w:bottom w:val="single" w:color="auto" w:sz="4" w:space="0"/>
              <w:right w:val="single" w:color="auto" w:sz="4" w:space="0"/>
            </w:tcBorders>
            <w:shd w:val="clear" w:color="auto" w:fill="auto"/>
            <w:vAlign w:val="center"/>
          </w:tcPr>
          <w:p w14:paraId="0976DAB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1.在财政衔接资金分配、使用、监管等方面存在机制创新；（2分）</w:t>
            </w:r>
            <w:r>
              <w:rPr>
                <w:rFonts w:hint="default" w:ascii="Arial Narrow" w:hAnsi="Arial Narrow" w:eastAsia="仿宋_GB2312" w:cs="Arial Narrow"/>
                <w:kern w:val="0"/>
                <w:sz w:val="16"/>
                <w:szCs w:val="16"/>
              </w:rPr>
              <w:br w:type="textWrapping"/>
            </w:r>
            <w:r>
              <w:rPr>
                <w:rFonts w:hint="default"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32438DBA">
        <w:tblPrEx>
          <w:tblCellMar>
            <w:top w:w="0" w:type="dxa"/>
            <w:left w:w="108" w:type="dxa"/>
            <w:bottom w:w="0" w:type="dxa"/>
            <w:right w:w="108" w:type="dxa"/>
          </w:tblCellMar>
        </w:tblPrEx>
        <w:trPr>
          <w:cantSplit/>
          <w:trHeight w:val="816" w:hRule="atLeast"/>
        </w:trPr>
        <w:tc>
          <w:tcPr>
            <w:tcW w:w="812" w:type="dxa"/>
            <w:tcBorders>
              <w:top w:val="nil"/>
              <w:left w:val="single" w:color="auto" w:sz="4" w:space="0"/>
              <w:bottom w:val="single" w:color="auto" w:sz="4" w:space="0"/>
              <w:right w:val="single" w:color="auto" w:sz="4" w:space="0"/>
            </w:tcBorders>
            <w:shd w:val="clear" w:color="auto" w:fill="auto"/>
            <w:vAlign w:val="center"/>
          </w:tcPr>
          <w:p w14:paraId="5EE46D8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13</w:t>
            </w:r>
          </w:p>
        </w:tc>
        <w:tc>
          <w:tcPr>
            <w:tcW w:w="995" w:type="dxa"/>
            <w:vMerge w:val="continue"/>
            <w:tcBorders>
              <w:top w:val="nil"/>
              <w:left w:val="single" w:color="auto" w:sz="4" w:space="0"/>
              <w:bottom w:val="single" w:color="000000" w:sz="4" w:space="0"/>
              <w:right w:val="single" w:color="auto" w:sz="4" w:space="0"/>
            </w:tcBorders>
            <w:vAlign w:val="center"/>
          </w:tcPr>
          <w:p w14:paraId="72FFADA8">
            <w:pPr>
              <w:widowControl/>
              <w:jc w:val="left"/>
              <w:rPr>
                <w:rFonts w:hint="default" w:ascii="Arial Narrow" w:hAnsi="Arial Narrow" w:eastAsia="仿宋_GB2312" w:cs="Arial Narrow"/>
                <w:kern w:val="0"/>
                <w:sz w:val="16"/>
                <w:szCs w:val="16"/>
              </w:rPr>
            </w:pPr>
          </w:p>
        </w:tc>
        <w:tc>
          <w:tcPr>
            <w:tcW w:w="995" w:type="dxa"/>
            <w:tcBorders>
              <w:top w:val="nil"/>
              <w:left w:val="nil"/>
              <w:bottom w:val="single" w:color="auto" w:sz="4" w:space="0"/>
              <w:right w:val="single" w:color="auto" w:sz="4" w:space="0"/>
            </w:tcBorders>
            <w:shd w:val="clear" w:color="auto" w:fill="auto"/>
            <w:vAlign w:val="center"/>
          </w:tcPr>
          <w:p w14:paraId="62FAA3AB">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扣分项</w:t>
            </w:r>
          </w:p>
        </w:tc>
        <w:tc>
          <w:tcPr>
            <w:tcW w:w="566" w:type="dxa"/>
            <w:tcBorders>
              <w:top w:val="nil"/>
              <w:left w:val="nil"/>
              <w:bottom w:val="single" w:color="auto" w:sz="4" w:space="0"/>
              <w:right w:val="single" w:color="auto" w:sz="4" w:space="0"/>
            </w:tcBorders>
            <w:shd w:val="clear" w:color="auto" w:fill="auto"/>
            <w:vAlign w:val="center"/>
          </w:tcPr>
          <w:p w14:paraId="30B7E5DF">
            <w:pPr>
              <w:widowControl/>
              <w:jc w:val="center"/>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10</w:t>
            </w:r>
          </w:p>
        </w:tc>
        <w:tc>
          <w:tcPr>
            <w:tcW w:w="3971" w:type="dxa"/>
            <w:tcBorders>
              <w:top w:val="nil"/>
              <w:left w:val="nil"/>
              <w:bottom w:val="single" w:color="auto" w:sz="4" w:space="0"/>
              <w:right w:val="single" w:color="auto" w:sz="4" w:space="0"/>
            </w:tcBorders>
            <w:shd w:val="clear" w:color="auto" w:fill="auto"/>
            <w:vAlign w:val="center"/>
          </w:tcPr>
          <w:p w14:paraId="476F5522">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反映提供材料的真实性，有效性以及相关工作合法合规情况。（用于负面清单事项）</w:t>
            </w:r>
          </w:p>
        </w:tc>
        <w:tc>
          <w:tcPr>
            <w:tcW w:w="7165" w:type="dxa"/>
            <w:tcBorders>
              <w:top w:val="nil"/>
              <w:left w:val="nil"/>
              <w:bottom w:val="single" w:color="auto" w:sz="4" w:space="0"/>
              <w:right w:val="single" w:color="auto" w:sz="4" w:space="0"/>
            </w:tcBorders>
            <w:shd w:val="clear" w:color="auto" w:fill="auto"/>
            <w:vAlign w:val="center"/>
          </w:tcPr>
          <w:p w14:paraId="79B876A4">
            <w:pPr>
              <w:widowControl/>
              <w:jc w:val="left"/>
              <w:rPr>
                <w:rFonts w:hint="default" w:ascii="Arial Narrow" w:hAnsi="Arial Narrow" w:eastAsia="仿宋_GB2312" w:cs="Arial Narrow"/>
                <w:kern w:val="0"/>
                <w:sz w:val="16"/>
                <w:szCs w:val="16"/>
              </w:rPr>
            </w:pPr>
            <w:r>
              <w:rPr>
                <w:rFonts w:hint="default" w:ascii="Arial Narrow" w:hAnsi="Arial Narrow" w:eastAsia="仿宋_GB2312" w:cs="Arial Narrow"/>
                <w:kern w:val="0"/>
                <w:sz w:val="16"/>
                <w:szCs w:val="16"/>
              </w:rPr>
              <w:t>考核材料、数据中存在虚假信息的，或经有关部门监督检查发现问题的，视情节严重程度扣1-10分。</w:t>
            </w:r>
          </w:p>
        </w:tc>
      </w:tr>
    </w:tbl>
    <w:p w14:paraId="62E4E8F0">
      <w:pPr>
        <w:rPr>
          <w:rFonts w:ascii="Arial Narrow" w:hAnsi="Arial Narrow" w:eastAsia="仿宋_GB2312" w:cs="宋体"/>
          <w:kern w:val="0"/>
          <w:sz w:val="24"/>
        </w:rPr>
      </w:pPr>
    </w:p>
    <w:p w14:paraId="0719952D">
      <w:pPr>
        <w:rPr>
          <w:rFonts w:ascii="Arial Narrow" w:hAnsi="Arial Narrow" w:eastAsia="仿宋_GB2312" w:cs="宋体"/>
          <w:kern w:val="0"/>
          <w:sz w:val="24"/>
        </w:rPr>
        <w:sectPr>
          <w:pgSz w:w="16840" w:h="11907" w:orient="landscape"/>
          <w:pgMar w:top="1418" w:right="1134" w:bottom="1134" w:left="1418" w:header="851" w:footer="851" w:gutter="0"/>
          <w:cols w:space="425" w:num="1"/>
          <w:docGrid w:linePitch="312" w:charSpace="0"/>
        </w:sectPr>
      </w:pPr>
    </w:p>
    <w:p w14:paraId="6FEF766B">
      <w:pPr>
        <w:spacing w:before="120" w:beforeLines="50" w:line="360" w:lineRule="auto"/>
        <w:ind w:firstLine="482" w:firstLineChars="200"/>
        <w:jc w:val="left"/>
        <w:outlineLvl w:val="0"/>
        <w:rPr>
          <w:rFonts w:ascii="Arial Narrow" w:hAnsi="Arial Narrow" w:eastAsia="仿宋_GB2312"/>
          <w:b/>
          <w:sz w:val="24"/>
        </w:rPr>
      </w:pPr>
      <w:bookmarkStart w:id="15" w:name="_Toc182300445"/>
      <w:r>
        <w:rPr>
          <w:rFonts w:ascii="Arial Narrow" w:hAnsi="Arial Narrow" w:eastAsia="仿宋_GB2312"/>
          <w:b/>
          <w:sz w:val="24"/>
        </w:rPr>
        <w:t>（五）绩效评价标准和评价方法</w:t>
      </w:r>
      <w:bookmarkEnd w:id="15"/>
    </w:p>
    <w:p w14:paraId="7B81F44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lang w:val="en-US" w:eastAsia="zh-CN"/>
        </w:rPr>
        <w:t>.</w:t>
      </w:r>
      <w:r>
        <w:rPr>
          <w:rFonts w:ascii="Arial Narrow" w:hAnsi="Arial Narrow" w:eastAsia="仿宋_GB2312"/>
          <w:color w:val="auto"/>
        </w:rPr>
        <w:t>绩效评价标准</w:t>
      </w:r>
    </w:p>
    <w:p w14:paraId="2348515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051777A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51BC3C0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ascii="Arial Narrow" w:hAnsi="Arial Narrow" w:eastAsia="仿宋_GB2312"/>
          <w:color w:val="auto"/>
        </w:rPr>
        <w:t>绩效评价方法</w:t>
      </w:r>
    </w:p>
    <w:p w14:paraId="159D319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FD5128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430F0DDF">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18719BB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509BECB4">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3F757EF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2EC5AB26">
      <w:pPr>
        <w:spacing w:line="360" w:lineRule="auto"/>
        <w:ind w:firstLine="482" w:firstLineChars="200"/>
        <w:jc w:val="left"/>
        <w:outlineLvl w:val="0"/>
        <w:rPr>
          <w:rFonts w:ascii="Arial Narrow" w:hAnsi="Arial Narrow" w:eastAsia="仿宋_GB2312"/>
          <w:b/>
          <w:sz w:val="24"/>
        </w:rPr>
      </w:pPr>
      <w:bookmarkStart w:id="18" w:name="_Toc437528932"/>
      <w:bookmarkStart w:id="19" w:name="_Toc182300446"/>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59B6E96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49585C0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根据项目实际情况收集项目基础资料及数据深入了解项目整体情况。</w:t>
      </w:r>
    </w:p>
    <w:p w14:paraId="0E32C17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组织实施现场调查、检查、走访等具体工作。</w:t>
      </w:r>
    </w:p>
    <w:p w14:paraId="4E16DE7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依据收集到的项目相关资料和数据，比照经贵单位审定的评价指标体系的评分标准，分别对项目评价打分，汇总后加权平均形成综合评价得分，并对该项目的绩效评价等级进行确认。</w:t>
      </w:r>
    </w:p>
    <w:p w14:paraId="0D910F8F">
      <w:pPr>
        <w:spacing w:line="360" w:lineRule="auto"/>
        <w:ind w:firstLine="482" w:firstLineChars="200"/>
        <w:jc w:val="left"/>
        <w:outlineLvl w:val="0"/>
        <w:rPr>
          <w:rFonts w:ascii="Arial Narrow" w:hAnsi="Arial Narrow" w:eastAsia="仿宋_GB2312"/>
          <w:b/>
          <w:sz w:val="24"/>
        </w:rPr>
      </w:pPr>
      <w:bookmarkStart w:id="20" w:name="_Toc437528933"/>
      <w:bookmarkStart w:id="21" w:name="_Toc18230044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3EE65D15">
      <w:pPr>
        <w:spacing w:line="360" w:lineRule="auto"/>
        <w:ind w:firstLine="480" w:firstLineChars="200"/>
        <w:jc w:val="left"/>
        <w:rPr>
          <w:rFonts w:ascii="Arial Narrow" w:hAnsi="Arial Narrow" w:eastAsia="仿宋_GB2312"/>
          <w:sz w:val="24"/>
        </w:rPr>
      </w:pPr>
      <w:r>
        <w:rPr>
          <w:rFonts w:hint="eastAsia" w:ascii="Arial Narrow" w:hAnsi="Arial Narrow" w:eastAsia="仿宋_GB2312" w:cs="宋体"/>
          <w:kern w:val="0"/>
          <w:sz w:val="24"/>
        </w:rPr>
        <w:t>公益性岗位项目</w:t>
      </w:r>
      <w:r>
        <w:rPr>
          <w:rFonts w:hint="eastAsia" w:ascii="Arial Narrow" w:hAnsi="Arial Narrow" w:eastAsia="仿宋_GB2312"/>
          <w:sz w:val="24"/>
        </w:rPr>
        <w:t>绩效评价得分</w:t>
      </w:r>
      <w:r>
        <w:rPr>
          <w:rFonts w:hint="eastAsia" w:ascii="Arial Narrow" w:hAnsi="Arial Narrow" w:eastAsia="仿宋_GB2312" w:cs="宋体"/>
          <w:kern w:val="0"/>
          <w:sz w:val="24"/>
        </w:rPr>
        <w:t>95.94</w:t>
      </w:r>
      <w:r>
        <w:rPr>
          <w:rFonts w:hint="eastAsia" w:ascii="Arial Narrow" w:hAnsi="Arial Narrow" w:eastAsia="仿宋_GB2312"/>
          <w:sz w:val="24"/>
        </w:rPr>
        <w:t>分，</w:t>
      </w:r>
      <w:r>
        <w:rPr>
          <w:rFonts w:ascii="Arial Narrow" w:hAnsi="Arial Narrow" w:eastAsia="仿宋_GB2312"/>
          <w:sz w:val="24"/>
        </w:rPr>
        <w:t>绩效评价等级为：</w:t>
      </w:r>
      <w:r>
        <w:rPr>
          <w:rFonts w:hint="eastAsia" w:ascii="Arial Narrow" w:hAnsi="Arial Narrow" w:eastAsia="仿宋_GB2312"/>
          <w:sz w:val="24"/>
        </w:rPr>
        <w:t>优。</w:t>
      </w:r>
    </w:p>
    <w:p w14:paraId="731E2E3A">
      <w:pPr>
        <w:spacing w:line="360" w:lineRule="auto"/>
        <w:ind w:firstLine="482" w:firstLineChars="200"/>
        <w:outlineLvl w:val="0"/>
        <w:rPr>
          <w:rFonts w:ascii="Arial Narrow" w:hAnsi="Arial Narrow" w:eastAsia="仿宋_GB2312"/>
          <w:b/>
          <w:sz w:val="24"/>
        </w:rPr>
      </w:pPr>
      <w:bookmarkStart w:id="22" w:name="_Toc182300448"/>
      <w:r>
        <w:rPr>
          <w:rFonts w:hint="eastAsia" w:ascii="Arial Narrow" w:hAnsi="Arial Narrow" w:eastAsia="仿宋_GB2312"/>
          <w:b/>
          <w:sz w:val="24"/>
        </w:rPr>
        <w:t>四、</w:t>
      </w:r>
      <w:r>
        <w:rPr>
          <w:rFonts w:ascii="Arial Narrow" w:hAnsi="Arial Narrow" w:eastAsia="仿宋_GB2312"/>
          <w:b/>
          <w:sz w:val="24"/>
        </w:rPr>
        <w:t>综合评价情况</w:t>
      </w:r>
      <w:bookmarkEnd w:id="22"/>
    </w:p>
    <w:p w14:paraId="45DE89C7">
      <w:pPr>
        <w:spacing w:line="360" w:lineRule="auto"/>
        <w:ind w:firstLine="482" w:firstLineChars="200"/>
        <w:jc w:val="left"/>
        <w:outlineLvl w:val="0"/>
        <w:rPr>
          <w:rFonts w:ascii="仿宋_GB2312" w:eastAsia="仿宋_GB2312"/>
          <w:b/>
          <w:sz w:val="24"/>
        </w:rPr>
      </w:pPr>
      <w:bookmarkStart w:id="23" w:name="_Toc182300449"/>
      <w:r>
        <w:rPr>
          <w:rFonts w:hint="eastAsia" w:ascii="仿宋_GB2312" w:eastAsia="仿宋_GB2312"/>
          <w:b/>
          <w:sz w:val="24"/>
        </w:rPr>
        <w:t>（一）资金管理</w:t>
      </w:r>
      <w:bookmarkEnd w:id="23"/>
    </w:p>
    <w:p w14:paraId="235CEB40">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财政衔接资金安排情况</w:t>
      </w:r>
    </w:p>
    <w:p w14:paraId="3A3AFC2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3BCBB9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资金分解下达进度</w:t>
      </w:r>
    </w:p>
    <w:p w14:paraId="08798EC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1520F14E">
      <w:pPr>
        <w:spacing w:line="360" w:lineRule="auto"/>
        <w:ind w:firstLine="482" w:firstLineChars="200"/>
        <w:jc w:val="left"/>
        <w:outlineLvl w:val="0"/>
        <w:rPr>
          <w:rFonts w:ascii="仿宋_GB2312" w:eastAsia="仿宋_GB2312"/>
          <w:b/>
          <w:sz w:val="24"/>
        </w:rPr>
      </w:pPr>
      <w:bookmarkStart w:id="24" w:name="_Toc182300450"/>
      <w:r>
        <w:rPr>
          <w:rFonts w:hint="eastAsia" w:ascii="仿宋_GB2312" w:eastAsia="仿宋_GB2312"/>
          <w:b/>
          <w:sz w:val="24"/>
        </w:rPr>
        <w:t>（二）项目管理</w:t>
      </w:r>
      <w:bookmarkEnd w:id="24"/>
    </w:p>
    <w:p w14:paraId="39EB2771">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项目库建设管理情况</w:t>
      </w:r>
    </w:p>
    <w:p w14:paraId="0A2D34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项目入库及时充分、程序规范、内容完整，制定切合实际的实施方案，具备实施条件，衔接资金未用于项目库之外的项目。</w:t>
      </w:r>
    </w:p>
    <w:p w14:paraId="32B907AE">
      <w:pPr>
        <w:adjustRightInd w:val="0"/>
        <w:snapToGrid w:val="0"/>
        <w:spacing w:line="360" w:lineRule="auto"/>
        <w:ind w:firstLine="480" w:firstLineChars="200"/>
        <w:rPr>
          <w:rFonts w:ascii="Arial Narrow" w:hAnsi="Arial Narrow" w:eastAsia="仿宋_GB2312"/>
          <w:color w:val="000000" w:themeColor="text1"/>
          <w:sz w:val="24"/>
          <w14:textFill>
            <w14:solidFill>
              <w14:schemeClr w14:val="tx1"/>
            </w14:solidFill>
          </w14:textFill>
        </w:rPr>
      </w:pPr>
      <w:r>
        <w:rPr>
          <w:rFonts w:hint="eastAsia" w:ascii="Arial Narrow" w:hAnsi="Arial Narrow" w:eastAsia="仿宋_GB2312"/>
          <w:color w:val="000000" w:themeColor="text1"/>
          <w:sz w:val="24"/>
          <w14:textFill>
            <w14:solidFill>
              <w14:schemeClr w14:val="tx1"/>
            </w14:solidFill>
          </w14:textFill>
        </w:rPr>
        <w:t>2</w:t>
      </w:r>
      <w:r>
        <w:rPr>
          <w:rFonts w:hint="eastAsia" w:ascii="Arial Narrow" w:hAnsi="Arial Narrow" w:eastAsia="仿宋_GB2312"/>
          <w:color w:val="000000" w:themeColor="text1"/>
          <w:sz w:val="24"/>
          <w:lang w:val="en-US" w:eastAsia="zh-CN"/>
          <w14:textFill>
            <w14:solidFill>
              <w14:schemeClr w14:val="tx1"/>
            </w14:solidFill>
          </w14:textFill>
        </w:rPr>
        <w:t>.</w:t>
      </w:r>
      <w:r>
        <w:rPr>
          <w:rFonts w:hint="eastAsia" w:ascii="Arial Narrow" w:hAnsi="Arial Narrow" w:eastAsia="仿宋_GB2312"/>
          <w:color w:val="000000" w:themeColor="text1"/>
          <w:sz w:val="24"/>
          <w14:textFill>
            <w14:solidFill>
              <w14:schemeClr w14:val="tx1"/>
            </w14:solidFill>
          </w14:textFill>
        </w:rPr>
        <w:t>项目绩效管理情况</w:t>
      </w:r>
    </w:p>
    <w:p w14:paraId="6D79C0E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color w:val="000000" w:themeColor="text1"/>
          <w:sz w:val="24"/>
          <w14:textFill>
            <w14:solidFill>
              <w14:schemeClr w14:val="tx1"/>
            </w14:solidFill>
          </w14:textFill>
        </w:rPr>
        <w:t>及时制定了明确的绩效目标，实施过程中对绩效目标进行监控，在项目实施完毕后开展了绩效自评，形成绩效自评表及自评报告。</w:t>
      </w:r>
    </w:p>
    <w:p w14:paraId="53E3DD7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w:t>
      </w:r>
      <w:r>
        <w:rPr>
          <w:rFonts w:hint="eastAsia" w:ascii="Arial Narrow" w:hAnsi="Arial Narrow" w:eastAsia="仿宋_GB2312"/>
          <w:sz w:val="24"/>
        </w:rPr>
        <w:t>绩效基本达到预期。</w:t>
      </w:r>
    </w:p>
    <w:p w14:paraId="39B57E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ascii="Arial Narrow" w:hAnsi="Arial Narrow" w:eastAsia="仿宋_GB2312"/>
          <w:sz w:val="24"/>
          <w:lang w:val="en-US" w:eastAsia="zh-CN"/>
        </w:rPr>
        <w:t>.</w:t>
      </w:r>
      <w:r>
        <w:rPr>
          <w:rFonts w:hint="eastAsia" w:ascii="Arial Narrow" w:hAnsi="Arial Narrow" w:eastAsia="仿宋_GB2312"/>
          <w:sz w:val="24"/>
        </w:rPr>
        <w:t>项目建设管理情况</w:t>
      </w:r>
    </w:p>
    <w:p w14:paraId="0852C42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color w:val="000000" w:themeColor="text1"/>
          <w:kern w:val="0"/>
          <w:sz w:val="24"/>
          <w14:textFill>
            <w14:solidFill>
              <w14:schemeClr w14:val="tx1"/>
            </w14:solidFill>
          </w14:textFill>
        </w:rPr>
        <w:t>公益性岗位项目不涉及项目建设管理。</w:t>
      </w:r>
    </w:p>
    <w:p w14:paraId="3FE1ED7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ascii="Arial Narrow" w:hAnsi="Arial Narrow" w:eastAsia="仿宋_GB2312"/>
          <w:sz w:val="24"/>
          <w:lang w:val="en-US" w:eastAsia="zh-CN"/>
        </w:rPr>
        <w:t>.</w:t>
      </w:r>
      <w:r>
        <w:rPr>
          <w:rFonts w:hint="eastAsia" w:ascii="Arial Narrow" w:hAnsi="Arial Narrow" w:eastAsia="仿宋_GB2312"/>
          <w:sz w:val="24"/>
        </w:rPr>
        <w:t>预算执行率情况</w:t>
      </w:r>
    </w:p>
    <w:p w14:paraId="265D572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公益性岗位项目最后一笔款项拨付于2023年8月27日，项目整体支付进度达标，未见明显异常。7月未达到与序时进度的比例，扣1.06分。</w:t>
      </w:r>
    </w:p>
    <w:p w14:paraId="0B9E97D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w:t>
      </w:r>
      <w:r>
        <w:rPr>
          <w:rFonts w:hint="eastAsia" w:ascii="Arial Narrow" w:hAnsi="Arial Narrow" w:eastAsia="仿宋_GB2312"/>
          <w:sz w:val="24"/>
          <w:lang w:val="en-US" w:eastAsia="zh-CN"/>
        </w:rPr>
        <w:t>.</w:t>
      </w:r>
      <w:r>
        <w:rPr>
          <w:rFonts w:hint="eastAsia" w:ascii="Arial Narrow" w:hAnsi="Arial Narrow" w:eastAsia="仿宋_GB2312"/>
          <w:sz w:val="24"/>
        </w:rPr>
        <w:t>跟踪督促及发现问题整改情况</w:t>
      </w:r>
    </w:p>
    <w:p w14:paraId="7945B1C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通过实施单位提供的自查自纠情况报告、自评表等资料显示，本项目实施单位定期开展项目实施和资金支出进度等跟踪督促，未发现异常情况。</w:t>
      </w:r>
    </w:p>
    <w:p w14:paraId="300CFF5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ascii="Arial Narrow" w:hAnsi="Arial Narrow" w:eastAsia="仿宋_GB2312"/>
          <w:sz w:val="24"/>
          <w:lang w:val="en-US" w:eastAsia="zh-CN"/>
        </w:rPr>
        <w:t>.</w:t>
      </w:r>
      <w:r>
        <w:rPr>
          <w:rFonts w:hint="eastAsia" w:ascii="Arial Narrow" w:hAnsi="Arial Narrow" w:eastAsia="仿宋_GB2312"/>
          <w:sz w:val="24"/>
        </w:rPr>
        <w:t>账务处理及档案管理等情况</w:t>
      </w:r>
    </w:p>
    <w:p w14:paraId="3AE6B7E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本项目实施单位对该项目账务处理规范，档案管理完整。归档不及时，扣1分。</w:t>
      </w:r>
    </w:p>
    <w:p w14:paraId="41DE10A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val="en-US" w:eastAsia="zh-CN"/>
        </w:rPr>
        <w:t>.</w:t>
      </w:r>
      <w:r>
        <w:rPr>
          <w:rFonts w:hint="eastAsia" w:ascii="Arial Narrow" w:hAnsi="Arial Narrow" w:eastAsia="仿宋_GB2312"/>
          <w:sz w:val="24"/>
        </w:rPr>
        <w:t>信息公开和公告公示制度落实情况</w:t>
      </w:r>
    </w:p>
    <w:p w14:paraId="29BE9989">
      <w:pPr>
        <w:spacing w:line="360" w:lineRule="auto"/>
        <w:ind w:firstLine="480" w:firstLineChars="200"/>
        <w:jc w:val="left"/>
        <w:outlineLvl w:val="0"/>
        <w:rPr>
          <w:rFonts w:hint="eastAsia" w:ascii="仿宋_GB2312" w:eastAsia="仿宋_GB2312"/>
          <w:b/>
          <w:sz w:val="24"/>
        </w:rPr>
      </w:pPr>
      <w:r>
        <w:rPr>
          <w:rFonts w:hint="eastAsia" w:ascii="Arial Narrow" w:hAnsi="Arial Narrow" w:eastAsia="仿宋_GB2312"/>
          <w:sz w:val="24"/>
        </w:rPr>
        <w:t>本项目实施单位对公益性岗位项目进行了资金使用情况公告公示。未严格按照铜委农办〔2021〕19号文件要求进行公示公告，仅对公益性岗位项目进行了资金使用情况公告公示，扣2分。</w:t>
      </w:r>
      <w:bookmarkStart w:id="25" w:name="_Toc182300451"/>
    </w:p>
    <w:p w14:paraId="0FCA2BDA">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（三）使用成效及通报情况</w:t>
      </w:r>
      <w:bookmarkEnd w:id="25"/>
    </w:p>
    <w:p w14:paraId="4DBA8877">
      <w:pPr>
        <w:adjustRightInd w:val="0"/>
        <w:snapToGrid w:val="0"/>
        <w:spacing w:line="360" w:lineRule="auto"/>
        <w:ind w:firstLine="480" w:firstLineChars="200"/>
        <w:rPr>
          <w:rFonts w:ascii="Arial Narrow" w:hAnsi="Arial Narrow" w:eastAsia="仿宋_GB2312"/>
          <w:sz w:val="24"/>
        </w:rPr>
      </w:pPr>
      <w:r>
        <w:rPr>
          <w:rFonts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资金使用效益</w:t>
      </w:r>
    </w:p>
    <w:p w14:paraId="6B3D126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项目总体资金均专款专用，项目完成进度和及时性达到计划预期目的，完成了绩效目标，已安排公益岗位补贴人数33个。</w:t>
      </w:r>
    </w:p>
    <w:p w14:paraId="5D1BF68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通报情况</w:t>
      </w:r>
    </w:p>
    <w:p w14:paraId="064A16B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项目实施管理日常表现良好，未被通报问题和反馈情况。</w:t>
      </w:r>
    </w:p>
    <w:p w14:paraId="5AF5ABF3">
      <w:pPr>
        <w:spacing w:line="360" w:lineRule="auto"/>
        <w:ind w:firstLine="482" w:firstLineChars="200"/>
        <w:outlineLvl w:val="0"/>
        <w:rPr>
          <w:rFonts w:ascii="Arial Narrow" w:hAnsi="Arial Narrow" w:eastAsia="仿宋_GB2312"/>
          <w:b/>
          <w:sz w:val="24"/>
        </w:rPr>
      </w:pPr>
      <w:bookmarkStart w:id="26" w:name="_Toc182300452"/>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31BF6D3F">
      <w:pPr>
        <w:spacing w:line="360" w:lineRule="auto"/>
        <w:ind w:firstLine="482" w:firstLineChars="200"/>
        <w:jc w:val="left"/>
        <w:outlineLvl w:val="0"/>
        <w:rPr>
          <w:rFonts w:ascii="仿宋_GB2312" w:eastAsia="仿宋_GB2312"/>
          <w:b/>
          <w:sz w:val="24"/>
        </w:rPr>
      </w:pPr>
      <w:bookmarkStart w:id="27" w:name="_Toc182300453"/>
      <w:r>
        <w:rPr>
          <w:rFonts w:hint="eastAsia" w:ascii="仿宋_GB2312" w:eastAsia="仿宋_GB2312"/>
          <w:b/>
          <w:sz w:val="24"/>
        </w:rPr>
        <w:t>（一）存在问题</w:t>
      </w:r>
      <w:bookmarkEnd w:id="27"/>
    </w:p>
    <w:p w14:paraId="4233C3A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val="en-US" w:eastAsia="zh-CN"/>
        </w:rPr>
        <w:t>.</w:t>
      </w:r>
      <w:r>
        <w:rPr>
          <w:rFonts w:hint="eastAsia" w:ascii="Arial Narrow" w:hAnsi="Arial Narrow" w:eastAsia="仿宋_GB2312"/>
          <w:sz w:val="24"/>
        </w:rPr>
        <w:t>未严格按照</w:t>
      </w:r>
      <w:r>
        <w:rPr>
          <w:rStyle w:val="11"/>
          <w:rFonts w:hint="eastAsia" w:ascii="Arial Narrow" w:hAnsi="Arial Narrow" w:eastAsia="仿宋_GB2312"/>
          <w:color w:val="auto"/>
          <w:sz w:val="24"/>
          <w:u w:val="none"/>
        </w:rPr>
        <w:t>《铜梁区财政衔接推进乡村振兴补助资金项目公告公示实施办法》（铜委农办〔2021〕19号）文件要求进行公示公告，仅</w:t>
      </w:r>
      <w:r>
        <w:rPr>
          <w:rFonts w:hint="eastAsia" w:ascii="Arial Narrow" w:hAnsi="Arial Narrow" w:eastAsia="仿宋_GB2312"/>
          <w:sz w:val="24"/>
        </w:rPr>
        <w:t>对</w:t>
      </w:r>
      <w:r>
        <w:rPr>
          <w:rFonts w:hint="eastAsia" w:ascii="Arial Narrow" w:hAnsi="Arial Narrow" w:eastAsia="仿宋_GB2312" w:cs="宋体"/>
          <w:kern w:val="0"/>
          <w:sz w:val="24"/>
        </w:rPr>
        <w:t>公益性岗位项目</w:t>
      </w:r>
      <w:r>
        <w:rPr>
          <w:rFonts w:hint="eastAsia" w:ascii="Arial Narrow" w:hAnsi="Arial Narrow" w:eastAsia="仿宋_GB2312"/>
          <w:sz w:val="24"/>
        </w:rPr>
        <w:t>资金使用情况进行了公告公示。</w:t>
      </w:r>
    </w:p>
    <w:p w14:paraId="41AD260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ascii="Arial Narrow" w:hAnsi="Arial Narrow" w:eastAsia="仿宋_GB2312"/>
          <w:sz w:val="24"/>
          <w:lang w:val="en-US" w:eastAsia="zh-CN"/>
        </w:rPr>
        <w:t>.</w:t>
      </w:r>
      <w:r>
        <w:rPr>
          <w:rFonts w:hint="eastAsia" w:ascii="Arial Narrow" w:hAnsi="Arial Narrow" w:eastAsia="仿宋_GB2312"/>
          <w:sz w:val="24"/>
        </w:rPr>
        <w:t>日常档案管理资料整理归档不及时。</w:t>
      </w:r>
    </w:p>
    <w:p w14:paraId="692963EF">
      <w:pPr>
        <w:spacing w:line="360" w:lineRule="auto"/>
        <w:ind w:firstLine="482" w:firstLineChars="200"/>
        <w:jc w:val="left"/>
        <w:outlineLvl w:val="0"/>
        <w:rPr>
          <w:rFonts w:ascii="仿宋_GB2312" w:eastAsia="仿宋_GB2312"/>
          <w:b/>
          <w:sz w:val="24"/>
        </w:rPr>
      </w:pPr>
      <w:bookmarkStart w:id="28" w:name="_Toc182300454"/>
      <w:r>
        <w:rPr>
          <w:rFonts w:hint="eastAsia" w:ascii="仿宋_GB2312" w:eastAsia="仿宋_GB2312"/>
          <w:b/>
          <w:sz w:val="24"/>
        </w:rPr>
        <w:t>（二）建议</w:t>
      </w:r>
      <w:bookmarkEnd w:id="28"/>
    </w:p>
    <w:p w14:paraId="03E40F59">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落实《铜梁区财政衔接推进乡村振兴补助资金项目公告公示实施办法》（铜委农办〔2021〕19号）文件要求，按照文件执行公示公告程序。</w:t>
      </w:r>
    </w:p>
    <w:p w14:paraId="5E0BD62C">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对项目日常管理资料及时归档整理装订成册或装订成盒。</w:t>
      </w:r>
    </w:p>
    <w:p w14:paraId="3E8C004D">
      <w:pPr>
        <w:adjustRightInd w:val="0"/>
        <w:snapToGrid w:val="0"/>
        <w:spacing w:line="360" w:lineRule="auto"/>
        <w:ind w:firstLine="480" w:firstLineChars="200"/>
        <w:rPr>
          <w:rStyle w:val="11"/>
          <w:rFonts w:ascii="Arial Narrow" w:hAnsi="Arial Narrow" w:eastAsia="仿宋_GB2312"/>
          <w:color w:val="auto"/>
          <w:sz w:val="24"/>
          <w:u w:val="none"/>
        </w:rPr>
      </w:pPr>
    </w:p>
    <w:p w14:paraId="61530A50">
      <w:pPr>
        <w:adjustRightInd w:val="0"/>
        <w:snapToGrid w:val="0"/>
        <w:spacing w:line="360" w:lineRule="auto"/>
        <w:ind w:firstLine="480" w:firstLineChars="200"/>
        <w:rPr>
          <w:rStyle w:val="11"/>
          <w:rFonts w:ascii="Arial Narrow" w:hAnsi="Arial Narrow" w:eastAsia="仿宋_GB2312"/>
          <w:color w:val="auto"/>
          <w:sz w:val="24"/>
          <w:u w:val="none"/>
        </w:rPr>
      </w:pPr>
    </w:p>
    <w:p w14:paraId="1F15E7A8">
      <w:pPr>
        <w:adjustRightInd w:val="0"/>
        <w:snapToGrid w:val="0"/>
        <w:spacing w:line="360" w:lineRule="auto"/>
        <w:ind w:firstLine="420" w:firstLineChars="200"/>
        <w:rPr>
          <w:rStyle w:val="11"/>
          <w:color w:val="auto"/>
          <w:u w:val="none"/>
        </w:rPr>
      </w:pPr>
    </w:p>
    <w:p w14:paraId="30DA1B53">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绩效评价指标体系及评分结果表；</w:t>
      </w:r>
    </w:p>
    <w:p w14:paraId="0117D092">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4AEAE8CB">
      <w:pPr>
        <w:adjustRightInd w:val="0"/>
        <w:snapToGrid w:val="0"/>
        <w:spacing w:line="360" w:lineRule="auto"/>
        <w:rPr>
          <w:rStyle w:val="11"/>
          <w:rFonts w:ascii="Arial Narrow" w:hAnsi="Arial Narrow" w:eastAsia="仿宋_GB2312"/>
          <w:color w:val="auto"/>
          <w:sz w:val="24"/>
          <w:u w:val="none"/>
        </w:rPr>
      </w:pPr>
    </w:p>
    <w:p w14:paraId="59B6480B">
      <w:pPr>
        <w:adjustRightInd w:val="0"/>
        <w:snapToGrid w:val="0"/>
        <w:spacing w:line="360" w:lineRule="auto"/>
        <w:ind w:firstLine="720" w:firstLineChars="300"/>
        <w:rPr>
          <w:rStyle w:val="11"/>
          <w:rFonts w:ascii="Arial Narrow" w:hAnsi="Arial Narrow" w:eastAsia="仿宋_GB2312"/>
          <w:color w:val="auto"/>
          <w:sz w:val="24"/>
          <w:u w:val="none"/>
        </w:rPr>
      </w:pPr>
    </w:p>
    <w:p w14:paraId="6238DCC2">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71A5A7A9">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29" w:name="_GoBack"/>
      <w:bookmarkEnd w:id="29"/>
      <w:r>
        <w:rPr>
          <w:rStyle w:val="11"/>
          <w:rFonts w:hint="eastAsia" w:ascii="Arial Narrow" w:hAnsi="Arial Narrow" w:eastAsia="仿宋_GB2312"/>
          <w:color w:val="auto"/>
          <w:sz w:val="24"/>
          <w:u w:val="none"/>
        </w:rPr>
        <w:t>二四年六月十四日</w:t>
      </w:r>
    </w:p>
    <w:sectPr>
      <w:pgSz w:w="11907" w:h="16840" w:orient="landscape"/>
      <w:pgMar w:top="1418" w:right="1418"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0CAB7">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D4426">
    <w:pPr>
      <w:pStyle w:val="5"/>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BD243">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kMWJkNzdkODFiMjE3ZDcyMTYzYTBjYzkxNGY2MTkifQ=="/>
  </w:docVars>
  <w:rsids>
    <w:rsidRoot w:val="008952B1"/>
    <w:rsid w:val="0001640C"/>
    <w:rsid w:val="00060BD2"/>
    <w:rsid w:val="00063E0B"/>
    <w:rsid w:val="000769EE"/>
    <w:rsid w:val="00086622"/>
    <w:rsid w:val="00087AFF"/>
    <w:rsid w:val="000D1A3B"/>
    <w:rsid w:val="000E4529"/>
    <w:rsid w:val="000E6A52"/>
    <w:rsid w:val="0010003E"/>
    <w:rsid w:val="00104568"/>
    <w:rsid w:val="00140035"/>
    <w:rsid w:val="00143A99"/>
    <w:rsid w:val="00152152"/>
    <w:rsid w:val="00164C87"/>
    <w:rsid w:val="001A42EB"/>
    <w:rsid w:val="001C6F32"/>
    <w:rsid w:val="001E0132"/>
    <w:rsid w:val="001F3624"/>
    <w:rsid w:val="001F43AE"/>
    <w:rsid w:val="00216472"/>
    <w:rsid w:val="00224D96"/>
    <w:rsid w:val="00226E7E"/>
    <w:rsid w:val="0024139B"/>
    <w:rsid w:val="00276D1C"/>
    <w:rsid w:val="00282997"/>
    <w:rsid w:val="002C083D"/>
    <w:rsid w:val="002C36AE"/>
    <w:rsid w:val="002C5020"/>
    <w:rsid w:val="002C7EFA"/>
    <w:rsid w:val="002F3890"/>
    <w:rsid w:val="00324E2F"/>
    <w:rsid w:val="00327BED"/>
    <w:rsid w:val="00331DC5"/>
    <w:rsid w:val="00336ACA"/>
    <w:rsid w:val="0037066E"/>
    <w:rsid w:val="00384C3C"/>
    <w:rsid w:val="003879CE"/>
    <w:rsid w:val="003A00D8"/>
    <w:rsid w:val="003B42BF"/>
    <w:rsid w:val="003F1985"/>
    <w:rsid w:val="00414A58"/>
    <w:rsid w:val="004200C2"/>
    <w:rsid w:val="00420AA7"/>
    <w:rsid w:val="00421C71"/>
    <w:rsid w:val="00465AD0"/>
    <w:rsid w:val="00470930"/>
    <w:rsid w:val="004A6242"/>
    <w:rsid w:val="004C1F3A"/>
    <w:rsid w:val="004C38B4"/>
    <w:rsid w:val="004D1145"/>
    <w:rsid w:val="004D2A6E"/>
    <w:rsid w:val="004E6833"/>
    <w:rsid w:val="004F7A0F"/>
    <w:rsid w:val="00501A64"/>
    <w:rsid w:val="00506023"/>
    <w:rsid w:val="00536985"/>
    <w:rsid w:val="005651CB"/>
    <w:rsid w:val="00572DD6"/>
    <w:rsid w:val="005A02C5"/>
    <w:rsid w:val="005A6053"/>
    <w:rsid w:val="005B468B"/>
    <w:rsid w:val="005D6C0A"/>
    <w:rsid w:val="005E133F"/>
    <w:rsid w:val="005F01BA"/>
    <w:rsid w:val="0061001E"/>
    <w:rsid w:val="0061417A"/>
    <w:rsid w:val="00655510"/>
    <w:rsid w:val="00667D26"/>
    <w:rsid w:val="00673D65"/>
    <w:rsid w:val="0069678B"/>
    <w:rsid w:val="006A58E0"/>
    <w:rsid w:val="006D14F7"/>
    <w:rsid w:val="006E75D6"/>
    <w:rsid w:val="006E7DA1"/>
    <w:rsid w:val="006F7CBD"/>
    <w:rsid w:val="0073019B"/>
    <w:rsid w:val="00730A8E"/>
    <w:rsid w:val="00740AB7"/>
    <w:rsid w:val="00740E9D"/>
    <w:rsid w:val="00741402"/>
    <w:rsid w:val="00765F46"/>
    <w:rsid w:val="007A6BE6"/>
    <w:rsid w:val="00827385"/>
    <w:rsid w:val="00842151"/>
    <w:rsid w:val="00856815"/>
    <w:rsid w:val="008701B6"/>
    <w:rsid w:val="008952B1"/>
    <w:rsid w:val="008C381D"/>
    <w:rsid w:val="008D4F7C"/>
    <w:rsid w:val="008E609D"/>
    <w:rsid w:val="0090729E"/>
    <w:rsid w:val="009309C0"/>
    <w:rsid w:val="0093667D"/>
    <w:rsid w:val="00950E41"/>
    <w:rsid w:val="00976E77"/>
    <w:rsid w:val="00983CB7"/>
    <w:rsid w:val="0099430A"/>
    <w:rsid w:val="009957B8"/>
    <w:rsid w:val="0099666C"/>
    <w:rsid w:val="009D7401"/>
    <w:rsid w:val="009E4352"/>
    <w:rsid w:val="009F1C42"/>
    <w:rsid w:val="00A066D6"/>
    <w:rsid w:val="00A14650"/>
    <w:rsid w:val="00A352D4"/>
    <w:rsid w:val="00A922C5"/>
    <w:rsid w:val="00A95CA5"/>
    <w:rsid w:val="00AB5FF4"/>
    <w:rsid w:val="00AC3880"/>
    <w:rsid w:val="00AD0284"/>
    <w:rsid w:val="00AE470F"/>
    <w:rsid w:val="00AF58DD"/>
    <w:rsid w:val="00B12656"/>
    <w:rsid w:val="00B134A6"/>
    <w:rsid w:val="00B25A79"/>
    <w:rsid w:val="00B7289F"/>
    <w:rsid w:val="00B94CCE"/>
    <w:rsid w:val="00BA0D07"/>
    <w:rsid w:val="00BA212E"/>
    <w:rsid w:val="00BB3674"/>
    <w:rsid w:val="00BC2692"/>
    <w:rsid w:val="00BC7BED"/>
    <w:rsid w:val="00BD6FFD"/>
    <w:rsid w:val="00C01416"/>
    <w:rsid w:val="00C02FB6"/>
    <w:rsid w:val="00C107C7"/>
    <w:rsid w:val="00C12443"/>
    <w:rsid w:val="00C32B06"/>
    <w:rsid w:val="00C35442"/>
    <w:rsid w:val="00C36A73"/>
    <w:rsid w:val="00C60A62"/>
    <w:rsid w:val="00C87702"/>
    <w:rsid w:val="00C93C4A"/>
    <w:rsid w:val="00CB54FB"/>
    <w:rsid w:val="00CC769D"/>
    <w:rsid w:val="00CD06CD"/>
    <w:rsid w:val="00D1562E"/>
    <w:rsid w:val="00D254D3"/>
    <w:rsid w:val="00D26E16"/>
    <w:rsid w:val="00D415D5"/>
    <w:rsid w:val="00DB55F0"/>
    <w:rsid w:val="00DE6E23"/>
    <w:rsid w:val="00DF608E"/>
    <w:rsid w:val="00E065AA"/>
    <w:rsid w:val="00E1059A"/>
    <w:rsid w:val="00E11EFB"/>
    <w:rsid w:val="00E23D6E"/>
    <w:rsid w:val="00E27A95"/>
    <w:rsid w:val="00E66C12"/>
    <w:rsid w:val="00E709E2"/>
    <w:rsid w:val="00E80BDA"/>
    <w:rsid w:val="00EA1C10"/>
    <w:rsid w:val="00EB4610"/>
    <w:rsid w:val="00EB474C"/>
    <w:rsid w:val="00ED0A8C"/>
    <w:rsid w:val="00F2011E"/>
    <w:rsid w:val="00F36680"/>
    <w:rsid w:val="00F54C3F"/>
    <w:rsid w:val="00F61D28"/>
    <w:rsid w:val="00F64D50"/>
    <w:rsid w:val="00F6551E"/>
    <w:rsid w:val="00F671F2"/>
    <w:rsid w:val="00F71AE8"/>
    <w:rsid w:val="00F84DF0"/>
    <w:rsid w:val="00FA6718"/>
    <w:rsid w:val="00FD0241"/>
    <w:rsid w:val="00FD1A79"/>
    <w:rsid w:val="00FD5F18"/>
    <w:rsid w:val="00FE1E65"/>
    <w:rsid w:val="00FE5705"/>
    <w:rsid w:val="00FF5AA5"/>
    <w:rsid w:val="01880C96"/>
    <w:rsid w:val="02717C9D"/>
    <w:rsid w:val="03EB3187"/>
    <w:rsid w:val="04643321"/>
    <w:rsid w:val="08BC18B8"/>
    <w:rsid w:val="0C955D75"/>
    <w:rsid w:val="10FD0312"/>
    <w:rsid w:val="120E6874"/>
    <w:rsid w:val="164A56DA"/>
    <w:rsid w:val="1A624D7F"/>
    <w:rsid w:val="1F3507CD"/>
    <w:rsid w:val="246E3081"/>
    <w:rsid w:val="270731DD"/>
    <w:rsid w:val="2AC93FF4"/>
    <w:rsid w:val="2EA844D2"/>
    <w:rsid w:val="357129F4"/>
    <w:rsid w:val="371050B8"/>
    <w:rsid w:val="389A0B66"/>
    <w:rsid w:val="3BEA6F04"/>
    <w:rsid w:val="3D6E1F06"/>
    <w:rsid w:val="45947F31"/>
    <w:rsid w:val="4DF1278B"/>
    <w:rsid w:val="55115D7C"/>
    <w:rsid w:val="57CB58C2"/>
    <w:rsid w:val="60087B46"/>
    <w:rsid w:val="629B4EDD"/>
    <w:rsid w:val="642B3923"/>
    <w:rsid w:val="66606BA5"/>
    <w:rsid w:val="696047F4"/>
    <w:rsid w:val="6C0B491D"/>
    <w:rsid w:val="6EC86FE9"/>
    <w:rsid w:val="721970A7"/>
    <w:rsid w:val="732753C9"/>
    <w:rsid w:val="74C419EC"/>
    <w:rsid w:val="7F2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8"/>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7DF4-7A7E-46F6-A132-898A09460455}">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5541</Words>
  <Characters>5888</Characters>
  <Lines>51</Lines>
  <Paragraphs>14</Paragraphs>
  <TotalTime>21</TotalTime>
  <ScaleCrop>false</ScaleCrop>
  <LinksUpToDate>false</LinksUpToDate>
  <CharactersWithSpaces>5918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2024-11-12T03:05:00Z</dcterms:created>
  <dc:creator>Administrator</dc:creator>
  <cp:lastModifiedBy>四十四</cp:lastModifiedBy>
  <cp:lastPrinted>2024-06-07T06:02:00Z</cp:lastPrinted>
  <dcterms:modified xsi:type="dcterms:W3CDTF">2024-11-20T01:30:18Z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