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AE83A">
      <w:pPr>
        <w:spacing w:line="360" w:lineRule="auto"/>
        <w:jc w:val="center"/>
        <w:rPr>
          <w:rFonts w:ascii="Arial Narrow" w:hAnsi="Arial Narrow"/>
          <w:b/>
          <w:bCs/>
          <w:sz w:val="36"/>
          <w:szCs w:val="36"/>
        </w:rPr>
      </w:pPr>
    </w:p>
    <w:p w14:paraId="08FBA023">
      <w:pPr>
        <w:spacing w:line="360" w:lineRule="auto"/>
        <w:jc w:val="center"/>
        <w:rPr>
          <w:rFonts w:ascii="Arial Narrow" w:hAnsi="Arial Narrow"/>
          <w:b/>
          <w:bCs/>
          <w:sz w:val="36"/>
          <w:szCs w:val="36"/>
        </w:rPr>
      </w:pPr>
    </w:p>
    <w:p w14:paraId="2FAA9F27">
      <w:pPr>
        <w:spacing w:line="360" w:lineRule="auto"/>
        <w:jc w:val="center"/>
        <w:rPr>
          <w:rFonts w:ascii="Arial Narrow" w:hAnsi="Arial Narrow"/>
          <w:b/>
          <w:bCs/>
          <w:sz w:val="36"/>
          <w:szCs w:val="36"/>
        </w:rPr>
      </w:pPr>
    </w:p>
    <w:p w14:paraId="45D0BF76">
      <w:pPr>
        <w:spacing w:line="360" w:lineRule="auto"/>
        <w:jc w:val="center"/>
        <w:rPr>
          <w:rFonts w:ascii="Arial Narrow" w:hAnsi="Arial Narrow"/>
          <w:b/>
          <w:bCs/>
          <w:sz w:val="36"/>
          <w:szCs w:val="36"/>
        </w:rPr>
      </w:pPr>
    </w:p>
    <w:p w14:paraId="6F2D98D7">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重庆市铜梁区林业局公益性岗位项目</w:t>
      </w:r>
    </w:p>
    <w:p w14:paraId="3E2B5C23">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09574F25">
      <w:pPr>
        <w:adjustRightInd w:val="0"/>
        <w:snapToGrid w:val="0"/>
        <w:spacing w:line="360" w:lineRule="auto"/>
        <w:jc w:val="center"/>
        <w:rPr>
          <w:rFonts w:ascii="Arial Narrow" w:hAnsi="Arial Narrow"/>
          <w:b/>
          <w:sz w:val="36"/>
          <w:szCs w:val="36"/>
        </w:rPr>
      </w:pPr>
    </w:p>
    <w:p w14:paraId="2628065C">
      <w:pPr>
        <w:adjustRightInd w:val="0"/>
        <w:snapToGrid w:val="0"/>
        <w:spacing w:line="360" w:lineRule="auto"/>
        <w:jc w:val="center"/>
        <w:rPr>
          <w:rFonts w:ascii="Arial Narrow" w:hAnsi="Arial Narrow"/>
          <w:b/>
          <w:spacing w:val="100"/>
          <w:sz w:val="32"/>
          <w:szCs w:val="32"/>
        </w:rPr>
      </w:pPr>
    </w:p>
    <w:p w14:paraId="7F2C2798">
      <w:pPr>
        <w:adjustRightInd w:val="0"/>
        <w:snapToGrid w:val="0"/>
        <w:spacing w:line="360" w:lineRule="auto"/>
        <w:jc w:val="center"/>
        <w:rPr>
          <w:rFonts w:ascii="Arial Narrow" w:hAnsi="Arial Narrow"/>
          <w:b/>
          <w:spacing w:val="100"/>
          <w:sz w:val="32"/>
          <w:szCs w:val="32"/>
        </w:rPr>
      </w:pPr>
    </w:p>
    <w:p w14:paraId="7A496240">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804777"/>
      <w:bookmarkStart w:id="1" w:name="_Toc488637980"/>
      <w:r>
        <w:rPr>
          <w:rFonts w:ascii="Arial Narrow" w:hAnsi="Arial Narrow" w:eastAsia="仿宋"/>
          <w:b/>
          <w:w w:val="102"/>
          <w:sz w:val="44"/>
          <w:szCs w:val="44"/>
        </w:rPr>
        <w:t>报告</w:t>
      </w:r>
    </w:p>
    <w:p w14:paraId="2D3402D3">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ascii="Arial Narrow" w:hAnsi="Arial Narrow" w:eastAsia="仿宋"/>
          <w:bCs/>
          <w:sz w:val="32"/>
          <w:szCs w:val="32"/>
        </w:rPr>
        <w:t>0</w:t>
      </w:r>
      <w:r>
        <w:rPr>
          <w:rFonts w:hint="eastAsia" w:ascii="Arial Narrow" w:hAnsi="Arial Narrow" w:eastAsia="仿宋"/>
          <w:bCs/>
          <w:sz w:val="32"/>
          <w:szCs w:val="32"/>
        </w:rPr>
        <w:t>51</w:t>
      </w:r>
      <w:r>
        <w:rPr>
          <w:rFonts w:ascii="Arial Narrow" w:hAnsi="Arial Narrow" w:eastAsia="仿宋"/>
          <w:bCs/>
          <w:sz w:val="32"/>
          <w:szCs w:val="32"/>
        </w:rPr>
        <w:t>号</w:t>
      </w:r>
    </w:p>
    <w:p w14:paraId="77699CEA">
      <w:pPr>
        <w:adjustRightInd w:val="0"/>
        <w:snapToGrid w:val="0"/>
        <w:spacing w:line="360" w:lineRule="auto"/>
        <w:jc w:val="center"/>
        <w:rPr>
          <w:rFonts w:ascii="Arial Narrow" w:hAnsi="Arial Narrow"/>
          <w:b/>
          <w:spacing w:val="100"/>
          <w:sz w:val="32"/>
          <w:szCs w:val="32"/>
        </w:rPr>
      </w:pPr>
    </w:p>
    <w:p w14:paraId="38D9E975">
      <w:pPr>
        <w:adjustRightInd w:val="0"/>
        <w:snapToGrid w:val="0"/>
        <w:spacing w:line="360" w:lineRule="auto"/>
        <w:jc w:val="center"/>
        <w:rPr>
          <w:rFonts w:ascii="Arial Narrow" w:hAnsi="Arial Narrow"/>
          <w:b/>
          <w:spacing w:val="100"/>
          <w:sz w:val="32"/>
          <w:szCs w:val="32"/>
        </w:rPr>
      </w:pPr>
    </w:p>
    <w:p w14:paraId="13737D8F">
      <w:pPr>
        <w:adjustRightInd w:val="0"/>
        <w:snapToGrid w:val="0"/>
        <w:spacing w:line="360" w:lineRule="auto"/>
        <w:jc w:val="center"/>
        <w:rPr>
          <w:rFonts w:ascii="Arial Narrow" w:hAnsi="Arial Narrow"/>
          <w:b/>
          <w:spacing w:val="100"/>
          <w:sz w:val="32"/>
          <w:szCs w:val="32"/>
        </w:rPr>
      </w:pPr>
    </w:p>
    <w:p w14:paraId="2EC3D01D">
      <w:pPr>
        <w:adjustRightInd w:val="0"/>
        <w:snapToGrid w:val="0"/>
        <w:spacing w:line="360" w:lineRule="auto"/>
        <w:jc w:val="center"/>
        <w:rPr>
          <w:rFonts w:ascii="Arial Narrow" w:hAnsi="Arial Narrow"/>
          <w:b/>
          <w:spacing w:val="100"/>
          <w:sz w:val="32"/>
          <w:szCs w:val="32"/>
        </w:rPr>
      </w:pPr>
    </w:p>
    <w:p w14:paraId="07F3E0D5">
      <w:pPr>
        <w:adjustRightInd w:val="0"/>
        <w:snapToGrid w:val="0"/>
        <w:spacing w:line="360" w:lineRule="auto"/>
        <w:jc w:val="center"/>
        <w:rPr>
          <w:rFonts w:ascii="Arial Narrow" w:hAnsi="Arial Narrow"/>
          <w:b/>
          <w:spacing w:val="100"/>
          <w:sz w:val="32"/>
          <w:szCs w:val="32"/>
        </w:rPr>
      </w:pPr>
    </w:p>
    <w:p w14:paraId="3FBAAB67">
      <w:pPr>
        <w:adjustRightInd w:val="0"/>
        <w:snapToGrid w:val="0"/>
        <w:spacing w:line="360" w:lineRule="auto"/>
        <w:jc w:val="center"/>
        <w:rPr>
          <w:rFonts w:ascii="Arial Narrow" w:hAnsi="Arial Narrow"/>
          <w:b/>
          <w:spacing w:val="100"/>
          <w:sz w:val="32"/>
          <w:szCs w:val="32"/>
        </w:rPr>
      </w:pPr>
    </w:p>
    <w:p w14:paraId="6F65CFED">
      <w:pPr>
        <w:adjustRightInd w:val="0"/>
        <w:snapToGrid w:val="0"/>
        <w:spacing w:line="360" w:lineRule="auto"/>
        <w:jc w:val="center"/>
        <w:rPr>
          <w:rFonts w:ascii="Arial Narrow" w:hAnsi="Arial Narrow"/>
          <w:b/>
          <w:spacing w:val="100"/>
          <w:sz w:val="32"/>
          <w:szCs w:val="32"/>
        </w:rPr>
      </w:pPr>
    </w:p>
    <w:p w14:paraId="1B42D70C">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重庆铭鸿金全会计师事务所有限公司</w:t>
      </w:r>
    </w:p>
    <w:p w14:paraId="197BF78E">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30BFCE5D">
      <w:pPr>
        <w:spacing w:line="360" w:lineRule="auto"/>
        <w:jc w:val="center"/>
        <w:rPr>
          <w:rFonts w:ascii="Arial Narrow" w:hAnsi="Arial Narrow"/>
          <w:sz w:val="24"/>
        </w:rPr>
      </w:pPr>
    </w:p>
    <w:p w14:paraId="6BDC43D1">
      <w:pPr>
        <w:pStyle w:val="7"/>
        <w:tabs>
          <w:tab w:val="right" w:leader="dot" w:pos="8788"/>
          <w:tab w:val="clear" w:pos="8778"/>
        </w:tabs>
      </w:pPr>
      <w:r>
        <w:rPr>
          <w:rStyle w:val="11"/>
          <w:color w:val="auto"/>
          <w:u w:val="none"/>
        </w:rPr>
        <w:fldChar w:fldCharType="begin"/>
      </w:r>
      <w:r>
        <w:rPr>
          <w:rStyle w:val="11"/>
          <w:rFonts w:ascii="仿宋" w:hAnsi="仿宋" w:eastAsia="仿宋"/>
          <w:b w:val="0"/>
          <w:bCs w:val="0"/>
          <w:color w:val="auto"/>
          <w:szCs w:val="21"/>
          <w:u w:val="none"/>
        </w:rPr>
        <w:instrText xml:space="preserve"> TOC \o "1-3" \h \z \u </w:instrText>
      </w:r>
      <w:r>
        <w:rPr>
          <w:rStyle w:val="11"/>
          <w:color w:val="auto"/>
          <w:u w:val="none"/>
        </w:rPr>
        <w:fldChar w:fldCharType="separate"/>
      </w:r>
      <w:r>
        <w:fldChar w:fldCharType="begin"/>
      </w:r>
      <w:r>
        <w:instrText xml:space="preserve"> HYPERLINK \l "_Toc0" </w:instrText>
      </w:r>
      <w:r>
        <w:fldChar w:fldCharType="separate"/>
      </w:r>
      <w:r>
        <w:t>一、基本情况</w:t>
      </w:r>
      <w:r>
        <w:tab/>
      </w:r>
      <w:r>
        <w:fldChar w:fldCharType="begin"/>
      </w:r>
      <w:r>
        <w:instrText xml:space="preserve"> PAGEREF _Toc0 \h </w:instrText>
      </w:r>
      <w:r>
        <w:fldChar w:fldCharType="separate"/>
      </w:r>
      <w:r>
        <w:t>1</w:t>
      </w:r>
      <w:r>
        <w:fldChar w:fldCharType="end"/>
      </w:r>
      <w:r>
        <w:fldChar w:fldCharType="end"/>
      </w:r>
    </w:p>
    <w:p w14:paraId="00C699E4">
      <w:pPr>
        <w:pStyle w:val="7"/>
        <w:tabs>
          <w:tab w:val="right" w:leader="dot" w:pos="8788"/>
          <w:tab w:val="clear" w:pos="8778"/>
        </w:tabs>
      </w:pPr>
      <w:r>
        <w:fldChar w:fldCharType="begin"/>
      </w:r>
      <w:r>
        <w:instrText xml:space="preserve"> HYPERLINK \l "_Toc7426" </w:instrText>
      </w:r>
      <w:r>
        <w:fldChar w:fldCharType="separate"/>
      </w:r>
      <w:r>
        <w:rPr>
          <w:rFonts w:hint="eastAsia"/>
        </w:rPr>
        <w:t>（一）项目情况</w:t>
      </w:r>
      <w:r>
        <w:tab/>
      </w:r>
      <w:r>
        <w:fldChar w:fldCharType="begin"/>
      </w:r>
      <w:r>
        <w:instrText xml:space="preserve"> PAGEREF _Toc7426 \h </w:instrText>
      </w:r>
      <w:r>
        <w:fldChar w:fldCharType="separate"/>
      </w:r>
      <w:r>
        <w:t>1</w:t>
      </w:r>
      <w:r>
        <w:fldChar w:fldCharType="end"/>
      </w:r>
      <w:r>
        <w:fldChar w:fldCharType="end"/>
      </w:r>
    </w:p>
    <w:p w14:paraId="529A66F4">
      <w:pPr>
        <w:pStyle w:val="7"/>
        <w:tabs>
          <w:tab w:val="right" w:leader="dot" w:pos="8788"/>
          <w:tab w:val="clear" w:pos="8778"/>
        </w:tabs>
      </w:pPr>
      <w:r>
        <w:fldChar w:fldCharType="begin"/>
      </w:r>
      <w:r>
        <w:instrText xml:space="preserve"> HYPERLINK \l "_Toc4782" </w:instrText>
      </w:r>
      <w:r>
        <w:fldChar w:fldCharType="separate"/>
      </w:r>
      <w:r>
        <w:t>二、绩效评价工作情况</w:t>
      </w:r>
      <w:r>
        <w:tab/>
      </w:r>
      <w:r>
        <w:fldChar w:fldCharType="begin"/>
      </w:r>
      <w:r>
        <w:instrText xml:space="preserve"> PAGEREF _Toc4782 \h </w:instrText>
      </w:r>
      <w:r>
        <w:fldChar w:fldCharType="separate"/>
      </w:r>
      <w:r>
        <w:t>1</w:t>
      </w:r>
      <w:r>
        <w:fldChar w:fldCharType="end"/>
      </w:r>
      <w:r>
        <w:fldChar w:fldCharType="end"/>
      </w:r>
    </w:p>
    <w:p w14:paraId="205C1457">
      <w:pPr>
        <w:pStyle w:val="7"/>
        <w:tabs>
          <w:tab w:val="right" w:leader="dot" w:pos="8788"/>
          <w:tab w:val="clear" w:pos="8778"/>
        </w:tabs>
      </w:pPr>
      <w:r>
        <w:fldChar w:fldCharType="begin"/>
      </w:r>
      <w:r>
        <w:instrText xml:space="preserve"> HYPERLINK \l "_Toc28419" </w:instrText>
      </w:r>
      <w:r>
        <w:fldChar w:fldCharType="separate"/>
      </w:r>
      <w:r>
        <w:t>（一）绩效评价目的</w:t>
      </w:r>
      <w:r>
        <w:tab/>
      </w:r>
      <w:r>
        <w:fldChar w:fldCharType="begin"/>
      </w:r>
      <w:r>
        <w:instrText xml:space="preserve"> PAGEREF _Toc28419 \h </w:instrText>
      </w:r>
      <w:r>
        <w:fldChar w:fldCharType="separate"/>
      </w:r>
      <w:r>
        <w:t>1</w:t>
      </w:r>
      <w:r>
        <w:fldChar w:fldCharType="end"/>
      </w:r>
      <w:r>
        <w:fldChar w:fldCharType="end"/>
      </w:r>
    </w:p>
    <w:p w14:paraId="212F04F9">
      <w:pPr>
        <w:pStyle w:val="7"/>
        <w:tabs>
          <w:tab w:val="right" w:leader="dot" w:pos="8788"/>
          <w:tab w:val="clear" w:pos="8778"/>
        </w:tabs>
      </w:pPr>
      <w:r>
        <w:fldChar w:fldCharType="begin"/>
      </w:r>
      <w:r>
        <w:instrText xml:space="preserve"> HYPERLINK \l "_Toc30632" </w:instrText>
      </w:r>
      <w:r>
        <w:fldChar w:fldCharType="separate"/>
      </w:r>
      <w:r>
        <w:t>（二）绩效评价的</w:t>
      </w:r>
      <w:r>
        <w:rPr>
          <w:rFonts w:hint="eastAsia"/>
        </w:rPr>
        <w:t>基本内容</w:t>
      </w:r>
      <w:r>
        <w:tab/>
      </w:r>
      <w:r>
        <w:fldChar w:fldCharType="begin"/>
      </w:r>
      <w:r>
        <w:instrText xml:space="preserve"> PAGEREF _Toc30632 \h </w:instrText>
      </w:r>
      <w:r>
        <w:fldChar w:fldCharType="separate"/>
      </w:r>
      <w:r>
        <w:t>2</w:t>
      </w:r>
      <w:r>
        <w:fldChar w:fldCharType="end"/>
      </w:r>
      <w:r>
        <w:fldChar w:fldCharType="end"/>
      </w:r>
    </w:p>
    <w:p w14:paraId="7B87D221">
      <w:pPr>
        <w:pStyle w:val="7"/>
        <w:tabs>
          <w:tab w:val="right" w:leader="dot" w:pos="8788"/>
          <w:tab w:val="clear" w:pos="8778"/>
        </w:tabs>
      </w:pPr>
      <w:r>
        <w:fldChar w:fldCharType="begin"/>
      </w:r>
      <w:r>
        <w:instrText xml:space="preserve"> HYPERLINK \l "_Toc17344" </w:instrText>
      </w:r>
      <w:r>
        <w:fldChar w:fldCharType="separate"/>
      </w:r>
      <w:r>
        <w:t>（三）绩效评价依据</w:t>
      </w:r>
      <w:r>
        <w:tab/>
      </w:r>
      <w:r>
        <w:fldChar w:fldCharType="begin"/>
      </w:r>
      <w:r>
        <w:instrText xml:space="preserve"> PAGEREF _Toc17344 \h </w:instrText>
      </w:r>
      <w:r>
        <w:fldChar w:fldCharType="separate"/>
      </w:r>
      <w:r>
        <w:t>2</w:t>
      </w:r>
      <w:r>
        <w:fldChar w:fldCharType="end"/>
      </w:r>
      <w:r>
        <w:fldChar w:fldCharType="end"/>
      </w:r>
    </w:p>
    <w:p w14:paraId="5D057CFC">
      <w:pPr>
        <w:pStyle w:val="7"/>
        <w:tabs>
          <w:tab w:val="right" w:leader="dot" w:pos="8788"/>
          <w:tab w:val="clear" w:pos="8778"/>
        </w:tabs>
      </w:pPr>
      <w:r>
        <w:fldChar w:fldCharType="begin"/>
      </w:r>
      <w:r>
        <w:instrText xml:space="preserve"> HYPERLINK \l "_Toc12434" </w:instrText>
      </w:r>
      <w:r>
        <w:fldChar w:fldCharType="separate"/>
      </w:r>
      <w:r>
        <w:t>（四）绩效评价原则和指标体系</w:t>
      </w:r>
      <w:r>
        <w:tab/>
      </w:r>
      <w:r>
        <w:fldChar w:fldCharType="begin"/>
      </w:r>
      <w:r>
        <w:instrText xml:space="preserve"> PAGEREF _Toc12434 \h </w:instrText>
      </w:r>
      <w:r>
        <w:fldChar w:fldCharType="separate"/>
      </w:r>
      <w:r>
        <w:t>2</w:t>
      </w:r>
      <w:r>
        <w:fldChar w:fldCharType="end"/>
      </w:r>
      <w:r>
        <w:fldChar w:fldCharType="end"/>
      </w:r>
    </w:p>
    <w:p w14:paraId="60C23399">
      <w:pPr>
        <w:pStyle w:val="7"/>
        <w:tabs>
          <w:tab w:val="right" w:leader="dot" w:pos="8788"/>
          <w:tab w:val="clear" w:pos="8778"/>
        </w:tabs>
      </w:pPr>
      <w:r>
        <w:fldChar w:fldCharType="begin"/>
      </w:r>
      <w:r>
        <w:instrText xml:space="preserve"> HYPERLINK \l "_Toc11580" </w:instrText>
      </w:r>
      <w:r>
        <w:fldChar w:fldCharType="separate"/>
      </w:r>
      <w:r>
        <w:t>（五）绩效评价标准和评价方法</w:t>
      </w:r>
      <w:r>
        <w:tab/>
      </w:r>
      <w:r>
        <w:fldChar w:fldCharType="begin"/>
      </w:r>
      <w:r>
        <w:instrText xml:space="preserve"> PAGEREF _Toc11580 \h </w:instrText>
      </w:r>
      <w:r>
        <w:fldChar w:fldCharType="separate"/>
      </w:r>
      <w:r>
        <w:t>6</w:t>
      </w:r>
      <w:r>
        <w:fldChar w:fldCharType="end"/>
      </w:r>
      <w:r>
        <w:fldChar w:fldCharType="end"/>
      </w:r>
    </w:p>
    <w:p w14:paraId="4AA82E52">
      <w:pPr>
        <w:pStyle w:val="7"/>
        <w:tabs>
          <w:tab w:val="right" w:leader="dot" w:pos="8788"/>
          <w:tab w:val="clear" w:pos="8778"/>
        </w:tabs>
      </w:pPr>
      <w:r>
        <w:fldChar w:fldCharType="begin"/>
      </w:r>
      <w:r>
        <w:instrText xml:space="preserve"> HYPERLINK \l "_Toc2702" </w:instrText>
      </w:r>
      <w:r>
        <w:fldChar w:fldCharType="separate"/>
      </w:r>
      <w:r>
        <w:t>（六）绩效评价工作过程</w:t>
      </w:r>
      <w:r>
        <w:tab/>
      </w:r>
      <w:r>
        <w:fldChar w:fldCharType="begin"/>
      </w:r>
      <w:r>
        <w:instrText xml:space="preserve"> PAGEREF _Toc2702 \h </w:instrText>
      </w:r>
      <w:r>
        <w:fldChar w:fldCharType="separate"/>
      </w:r>
      <w:r>
        <w:t>6</w:t>
      </w:r>
      <w:r>
        <w:fldChar w:fldCharType="end"/>
      </w:r>
      <w:r>
        <w:fldChar w:fldCharType="end"/>
      </w:r>
    </w:p>
    <w:p w14:paraId="0354D145">
      <w:pPr>
        <w:pStyle w:val="7"/>
        <w:tabs>
          <w:tab w:val="right" w:leader="dot" w:pos="8788"/>
          <w:tab w:val="clear" w:pos="8778"/>
        </w:tabs>
      </w:pPr>
      <w:r>
        <w:fldChar w:fldCharType="begin"/>
      </w:r>
      <w:r>
        <w:instrText xml:space="preserve"> HYPERLINK \l "_Toc25237" </w:instrText>
      </w:r>
      <w:r>
        <w:fldChar w:fldCharType="separate"/>
      </w:r>
      <w:r>
        <w:t>三、</w:t>
      </w:r>
      <w:r>
        <w:rPr>
          <w:rFonts w:hint="eastAsia"/>
        </w:rPr>
        <w:t>项目</w:t>
      </w:r>
      <w:r>
        <w:t>评价结论</w:t>
      </w:r>
      <w:r>
        <w:tab/>
      </w:r>
      <w:r>
        <w:fldChar w:fldCharType="begin"/>
      </w:r>
      <w:r>
        <w:instrText xml:space="preserve"> PAGEREF _Toc25237 \h </w:instrText>
      </w:r>
      <w:r>
        <w:fldChar w:fldCharType="separate"/>
      </w:r>
      <w:r>
        <w:t>6</w:t>
      </w:r>
      <w:r>
        <w:fldChar w:fldCharType="end"/>
      </w:r>
      <w:r>
        <w:fldChar w:fldCharType="end"/>
      </w:r>
    </w:p>
    <w:p w14:paraId="7BC0CCB1">
      <w:pPr>
        <w:pStyle w:val="7"/>
        <w:tabs>
          <w:tab w:val="right" w:leader="dot" w:pos="8788"/>
          <w:tab w:val="clear" w:pos="8778"/>
        </w:tabs>
      </w:pPr>
      <w:r>
        <w:fldChar w:fldCharType="begin"/>
      </w:r>
      <w:r>
        <w:instrText xml:space="preserve"> HYPERLINK \l "_Toc3263" </w:instrText>
      </w:r>
      <w:r>
        <w:fldChar w:fldCharType="separate"/>
      </w:r>
      <w:r>
        <w:rPr>
          <w:rFonts w:hint="eastAsia"/>
        </w:rPr>
        <w:t>四、</w:t>
      </w:r>
      <w:r>
        <w:t>综合评价情况</w:t>
      </w:r>
      <w:r>
        <w:tab/>
      </w:r>
      <w:r>
        <w:fldChar w:fldCharType="begin"/>
      </w:r>
      <w:r>
        <w:instrText xml:space="preserve"> PAGEREF _Toc3263 \h </w:instrText>
      </w:r>
      <w:r>
        <w:fldChar w:fldCharType="separate"/>
      </w:r>
      <w:r>
        <w:t>6</w:t>
      </w:r>
      <w:r>
        <w:fldChar w:fldCharType="end"/>
      </w:r>
      <w:r>
        <w:fldChar w:fldCharType="end"/>
      </w:r>
    </w:p>
    <w:p w14:paraId="1766B767">
      <w:pPr>
        <w:pStyle w:val="7"/>
        <w:tabs>
          <w:tab w:val="right" w:leader="dot" w:pos="8788"/>
          <w:tab w:val="clear" w:pos="8778"/>
        </w:tabs>
      </w:pPr>
      <w:r>
        <w:fldChar w:fldCharType="begin"/>
      </w:r>
      <w:r>
        <w:instrText xml:space="preserve"> HYPERLINK \l "_Toc12528" </w:instrText>
      </w:r>
      <w:r>
        <w:fldChar w:fldCharType="separate"/>
      </w:r>
      <w:r>
        <w:rPr>
          <w:rFonts w:hint="eastAsia" w:ascii="仿宋_GB2312"/>
        </w:rPr>
        <w:t>（一）资金管理</w:t>
      </w:r>
      <w:r>
        <w:tab/>
      </w:r>
      <w:r>
        <w:fldChar w:fldCharType="begin"/>
      </w:r>
      <w:r>
        <w:instrText xml:space="preserve"> PAGEREF _Toc12528 \h </w:instrText>
      </w:r>
      <w:r>
        <w:fldChar w:fldCharType="separate"/>
      </w:r>
      <w:r>
        <w:t>7</w:t>
      </w:r>
      <w:r>
        <w:fldChar w:fldCharType="end"/>
      </w:r>
      <w:r>
        <w:fldChar w:fldCharType="end"/>
      </w:r>
    </w:p>
    <w:p w14:paraId="1509599E">
      <w:pPr>
        <w:pStyle w:val="7"/>
        <w:tabs>
          <w:tab w:val="right" w:leader="dot" w:pos="8788"/>
          <w:tab w:val="clear" w:pos="8778"/>
        </w:tabs>
      </w:pPr>
      <w:r>
        <w:fldChar w:fldCharType="begin"/>
      </w:r>
      <w:r>
        <w:instrText xml:space="preserve"> HYPERLINK \l "_Toc28666" </w:instrText>
      </w:r>
      <w:r>
        <w:fldChar w:fldCharType="separate"/>
      </w:r>
      <w:r>
        <w:rPr>
          <w:rFonts w:hint="eastAsia" w:ascii="仿宋_GB2312"/>
        </w:rPr>
        <w:t>（二）项目管理</w:t>
      </w:r>
      <w:r>
        <w:tab/>
      </w:r>
      <w:r>
        <w:fldChar w:fldCharType="begin"/>
      </w:r>
      <w:r>
        <w:instrText xml:space="preserve"> PAGEREF _Toc28666 \h </w:instrText>
      </w:r>
      <w:r>
        <w:fldChar w:fldCharType="separate"/>
      </w:r>
      <w:r>
        <w:t>7</w:t>
      </w:r>
      <w:r>
        <w:fldChar w:fldCharType="end"/>
      </w:r>
      <w:r>
        <w:fldChar w:fldCharType="end"/>
      </w:r>
    </w:p>
    <w:p w14:paraId="45513580">
      <w:pPr>
        <w:pStyle w:val="7"/>
        <w:tabs>
          <w:tab w:val="right" w:leader="dot" w:pos="8788"/>
          <w:tab w:val="clear" w:pos="8778"/>
        </w:tabs>
      </w:pPr>
      <w:r>
        <w:fldChar w:fldCharType="begin"/>
      </w:r>
      <w:r>
        <w:instrText xml:space="preserve"> HYPERLINK \l "_Toc13559" </w:instrText>
      </w:r>
      <w:r>
        <w:fldChar w:fldCharType="separate"/>
      </w:r>
      <w:r>
        <w:rPr>
          <w:rFonts w:hint="eastAsia" w:ascii="仿宋_GB2312"/>
        </w:rPr>
        <w:t>（三）使用成效及通报情况</w:t>
      </w:r>
      <w:r>
        <w:tab/>
      </w:r>
      <w:r>
        <w:fldChar w:fldCharType="begin"/>
      </w:r>
      <w:r>
        <w:instrText xml:space="preserve"> PAGEREF _Toc13559 \h </w:instrText>
      </w:r>
      <w:r>
        <w:fldChar w:fldCharType="separate"/>
      </w:r>
      <w:r>
        <w:t>8</w:t>
      </w:r>
      <w:r>
        <w:fldChar w:fldCharType="end"/>
      </w:r>
      <w:r>
        <w:fldChar w:fldCharType="end"/>
      </w:r>
    </w:p>
    <w:p w14:paraId="594DEADE">
      <w:pPr>
        <w:pStyle w:val="7"/>
        <w:tabs>
          <w:tab w:val="right" w:leader="dot" w:pos="8788"/>
          <w:tab w:val="clear" w:pos="8778"/>
        </w:tabs>
      </w:pPr>
      <w:r>
        <w:fldChar w:fldCharType="begin"/>
      </w:r>
      <w:r>
        <w:instrText xml:space="preserve"> HYPERLINK \l "_Toc4320" </w:instrText>
      </w:r>
      <w:r>
        <w:fldChar w:fldCharType="separate"/>
      </w:r>
      <w:r>
        <w:rPr>
          <w:rFonts w:hint="eastAsia"/>
        </w:rPr>
        <w:t>五</w:t>
      </w:r>
      <w:r>
        <w:t>、存在的问题和建议</w:t>
      </w:r>
      <w:r>
        <w:tab/>
      </w:r>
      <w:r>
        <w:fldChar w:fldCharType="begin"/>
      </w:r>
      <w:r>
        <w:instrText xml:space="preserve"> PAGEREF _Toc4320 \h </w:instrText>
      </w:r>
      <w:r>
        <w:fldChar w:fldCharType="separate"/>
      </w:r>
      <w:r>
        <w:t>8</w:t>
      </w:r>
      <w:r>
        <w:fldChar w:fldCharType="end"/>
      </w:r>
      <w:r>
        <w:fldChar w:fldCharType="end"/>
      </w:r>
    </w:p>
    <w:p w14:paraId="3901D9AD">
      <w:pPr>
        <w:pStyle w:val="7"/>
        <w:tabs>
          <w:tab w:val="right" w:leader="dot" w:pos="8788"/>
          <w:tab w:val="clear" w:pos="8778"/>
        </w:tabs>
      </w:pPr>
      <w:r>
        <w:fldChar w:fldCharType="begin"/>
      </w:r>
      <w:r>
        <w:instrText xml:space="preserve"> HYPERLINK \l "_Toc10484" </w:instrText>
      </w:r>
      <w:r>
        <w:fldChar w:fldCharType="separate"/>
      </w:r>
      <w:r>
        <w:rPr>
          <w:rFonts w:hint="eastAsia" w:ascii="仿宋_GB2312"/>
        </w:rPr>
        <w:t>（一）存在问题</w:t>
      </w:r>
      <w:r>
        <w:tab/>
      </w:r>
      <w:r>
        <w:fldChar w:fldCharType="begin"/>
      </w:r>
      <w:r>
        <w:instrText xml:space="preserve"> PAGEREF _Toc10484 \h </w:instrText>
      </w:r>
      <w:r>
        <w:fldChar w:fldCharType="separate"/>
      </w:r>
      <w:r>
        <w:t>8</w:t>
      </w:r>
      <w:r>
        <w:fldChar w:fldCharType="end"/>
      </w:r>
      <w:r>
        <w:fldChar w:fldCharType="end"/>
      </w:r>
    </w:p>
    <w:p w14:paraId="5BD866F7">
      <w:pPr>
        <w:pStyle w:val="7"/>
        <w:tabs>
          <w:tab w:val="right" w:leader="dot" w:pos="8788"/>
          <w:tab w:val="clear" w:pos="8778"/>
        </w:tabs>
      </w:pPr>
      <w:r>
        <w:fldChar w:fldCharType="begin"/>
      </w:r>
      <w:r>
        <w:instrText xml:space="preserve"> HYPERLINK \l "_Toc6139" </w:instrText>
      </w:r>
      <w:r>
        <w:fldChar w:fldCharType="separate"/>
      </w:r>
      <w:r>
        <w:rPr>
          <w:rFonts w:hint="eastAsia" w:ascii="仿宋_GB2312"/>
        </w:rPr>
        <w:t>（二）建议</w:t>
      </w:r>
      <w:r>
        <w:tab/>
      </w:r>
      <w:r>
        <w:fldChar w:fldCharType="begin"/>
      </w:r>
      <w:r>
        <w:instrText xml:space="preserve"> PAGEREF _Toc6139 \h </w:instrText>
      </w:r>
      <w:r>
        <w:fldChar w:fldCharType="separate"/>
      </w:r>
      <w:r>
        <w:t>8</w:t>
      </w:r>
      <w:r>
        <w:fldChar w:fldCharType="end"/>
      </w:r>
      <w:r>
        <w:fldChar w:fldCharType="end"/>
      </w:r>
    </w:p>
    <w:p w14:paraId="55EA18AB">
      <w:pPr>
        <w:pStyle w:val="13"/>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szCs w:val="21"/>
        </w:rPr>
        <w:fldChar w:fldCharType="end"/>
      </w:r>
    </w:p>
    <w:p w14:paraId="3874341E">
      <w:pPr>
        <w:spacing w:line="360" w:lineRule="auto"/>
        <w:jc w:val="right"/>
        <w:rPr>
          <w:rFonts w:ascii="Arial Narrow" w:hAnsi="Arial Narrow"/>
          <w:bCs/>
          <w:w w:val="80"/>
          <w:sz w:val="28"/>
          <w:szCs w:val="28"/>
        </w:rPr>
      </w:pPr>
    </w:p>
    <w:p w14:paraId="2920D292">
      <w:pPr>
        <w:spacing w:line="360" w:lineRule="auto"/>
        <w:jc w:val="right"/>
        <w:rPr>
          <w:rFonts w:ascii="Arial Narrow" w:hAnsi="Arial Narrow"/>
          <w:bCs/>
          <w:w w:val="80"/>
          <w:sz w:val="28"/>
          <w:szCs w:val="28"/>
        </w:rPr>
      </w:pPr>
    </w:p>
    <w:p w14:paraId="40724FBA">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74C396E0">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2FA2468F">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ascii="Arial Narrow" w:hAnsi="Arial Narrow" w:eastAsia="仿宋_GB2312"/>
          <w:sz w:val="28"/>
          <w:szCs w:val="28"/>
        </w:rPr>
        <w:t>0</w:t>
      </w:r>
      <w:r>
        <w:rPr>
          <w:rFonts w:hint="eastAsia" w:ascii="Arial Narrow" w:hAnsi="Arial Narrow" w:eastAsia="仿宋_GB2312"/>
          <w:sz w:val="28"/>
          <w:szCs w:val="28"/>
        </w:rPr>
        <w:t>51号</w:t>
      </w:r>
    </w:p>
    <w:p w14:paraId="14CD4A30">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34330FC1">
      <w:pPr>
        <w:adjustRightInd w:val="0"/>
        <w:snapToGrid w:val="0"/>
        <w:spacing w:line="360" w:lineRule="auto"/>
        <w:jc w:val="center"/>
        <w:rPr>
          <w:rStyle w:val="11"/>
          <w:rFonts w:ascii="Arial Narrow" w:hAnsi="Arial Narrow" w:eastAsia="仿宋_GB2312"/>
          <w:b/>
          <w:color w:val="auto"/>
          <w:sz w:val="36"/>
          <w:szCs w:val="36"/>
          <w:u w:val="none"/>
        </w:rPr>
      </w:pPr>
      <w:r>
        <w:rPr>
          <w:rStyle w:val="11"/>
          <w:rFonts w:hint="eastAsia" w:ascii="Arial Narrow" w:hAnsi="Arial Narrow" w:eastAsia="仿宋_GB2312"/>
          <w:b/>
          <w:color w:val="auto"/>
          <w:sz w:val="36"/>
          <w:szCs w:val="36"/>
          <w:u w:val="none"/>
        </w:rPr>
        <w:t>重庆市铜梁区林业局公益性岗位项目</w:t>
      </w:r>
    </w:p>
    <w:p w14:paraId="4D643A74">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4C5DF5BF">
      <w:pPr>
        <w:pStyle w:val="14"/>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rPr>
        <w:t>“</w:t>
      </w:r>
      <w:r>
        <w:rPr>
          <w:rFonts w:ascii="Arial Narrow" w:hAnsi="Arial Narrow" w:eastAsia="仿宋_GB2312"/>
          <w:color w:val="auto"/>
        </w:rPr>
        <w:t>全面实施绩效管理</w:t>
      </w:r>
      <w:r>
        <w:rPr>
          <w:rFonts w:hint="eastAsia" w:ascii="Arial Narrow" w:hAnsi="Arial Narrow" w:eastAsia="仿宋_GB2312"/>
          <w:color w:val="auto"/>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重庆市铜梁区林业局（</w:t>
      </w:r>
      <w:r>
        <w:rPr>
          <w:rFonts w:ascii="Arial Narrow" w:hAnsi="Arial Narrow" w:eastAsia="仿宋_GB2312"/>
          <w:color w:val="auto"/>
        </w:rPr>
        <w:t>以下简称</w:t>
      </w:r>
      <w:r>
        <w:rPr>
          <w:rFonts w:hint="eastAsia" w:ascii="Arial Narrow" w:hAnsi="Arial Narrow" w:eastAsia="仿宋_GB2312"/>
          <w:color w:val="auto"/>
        </w:rPr>
        <w:t>“林业局”）</w:t>
      </w:r>
      <w:r>
        <w:rPr>
          <w:rFonts w:hint="eastAsia"/>
        </w:rPr>
        <w:t xml:space="preserve"> </w:t>
      </w:r>
      <w:r>
        <w:rPr>
          <w:rFonts w:hint="eastAsia" w:ascii="Arial Narrow" w:hAnsi="Arial Narrow" w:eastAsia="仿宋_GB2312"/>
          <w:color w:val="auto"/>
        </w:rPr>
        <w:t>公益性岗位项目</w:t>
      </w:r>
      <w:r>
        <w:rPr>
          <w:rFonts w:ascii="Arial Narrow" w:hAnsi="Arial Narrow" w:eastAsia="仿宋_GB2312"/>
          <w:color w:val="auto"/>
        </w:rPr>
        <w:t>进行绩效评价，现将评价情况报告如下：</w:t>
      </w:r>
    </w:p>
    <w:p w14:paraId="412763D6">
      <w:pPr>
        <w:spacing w:line="360" w:lineRule="auto"/>
        <w:ind w:firstLine="482" w:firstLineChars="200"/>
        <w:jc w:val="left"/>
        <w:outlineLvl w:val="0"/>
        <w:rPr>
          <w:rFonts w:ascii="Arial Narrow" w:hAnsi="Arial Narrow" w:eastAsia="仿宋_GB2312"/>
          <w:b/>
          <w:sz w:val="24"/>
        </w:rPr>
      </w:pPr>
      <w:bookmarkStart w:id="3" w:name="_Toc0"/>
      <w:r>
        <w:rPr>
          <w:rFonts w:ascii="Arial Narrow" w:hAnsi="Arial Narrow" w:eastAsia="仿宋_GB2312"/>
          <w:b/>
          <w:sz w:val="24"/>
        </w:rPr>
        <w:t>一、基本情况</w:t>
      </w:r>
      <w:bookmarkEnd w:id="3"/>
    </w:p>
    <w:p w14:paraId="6CB22AB6">
      <w:pPr>
        <w:spacing w:line="360" w:lineRule="auto"/>
        <w:ind w:firstLine="482" w:firstLineChars="200"/>
        <w:jc w:val="left"/>
        <w:outlineLvl w:val="0"/>
        <w:rPr>
          <w:rFonts w:ascii="Arial Narrow" w:hAnsi="Arial Narrow" w:eastAsia="仿宋_GB2312"/>
          <w:b/>
          <w:sz w:val="24"/>
        </w:rPr>
      </w:pPr>
      <w:bookmarkStart w:id="4" w:name="_Toc7426"/>
      <w:r>
        <w:rPr>
          <w:rFonts w:hint="eastAsia" w:ascii="Arial Narrow" w:hAnsi="Arial Narrow" w:eastAsia="仿宋_GB2312"/>
          <w:b/>
          <w:sz w:val="24"/>
        </w:rPr>
        <w:t>（一）项目情况</w:t>
      </w:r>
      <w:bookmarkEnd w:id="4"/>
    </w:p>
    <w:p w14:paraId="72299CF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公益性岗位项目</w:t>
      </w:r>
    </w:p>
    <w:p w14:paraId="3720FF0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实施单位：重庆市铜梁区林业局</w:t>
      </w:r>
    </w:p>
    <w:p w14:paraId="60047FA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项目内容：聘请公益性护林信息员9人，解决贫困群众就近就业难题；有效保障森林资源安全，保障森林管护公益性护林信息员补助及时发放，有效助力脱贫人口发展，管护村社个数66个，受益脱贫人口数66人。</w:t>
      </w:r>
    </w:p>
    <w:p w14:paraId="38A3DA3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项目资金安排情况：该项目2023年原安排项目资金45.00万元，调增1.50万元，年终区财政收回指标0.358268万元，实际投入46.141732万元，均为上级补助资金。</w:t>
      </w:r>
    </w:p>
    <w:p w14:paraId="4880CF58">
      <w:pPr>
        <w:spacing w:line="360" w:lineRule="auto"/>
        <w:ind w:firstLine="482" w:firstLineChars="200"/>
        <w:jc w:val="left"/>
        <w:outlineLvl w:val="0"/>
        <w:rPr>
          <w:rFonts w:ascii="Arial Narrow" w:hAnsi="Arial Narrow" w:eastAsia="仿宋_GB2312"/>
          <w:b/>
          <w:sz w:val="24"/>
        </w:rPr>
      </w:pPr>
      <w:bookmarkStart w:id="5" w:name="_Toc4782"/>
      <w:r>
        <w:rPr>
          <w:rFonts w:ascii="Arial Narrow" w:hAnsi="Arial Narrow" w:eastAsia="仿宋_GB2312"/>
          <w:b/>
          <w:sz w:val="24"/>
        </w:rPr>
        <w:t>二、绩效评价工作情况</w:t>
      </w:r>
      <w:bookmarkEnd w:id="5"/>
    </w:p>
    <w:p w14:paraId="08F29C31">
      <w:pPr>
        <w:spacing w:line="360" w:lineRule="auto"/>
        <w:ind w:firstLine="482" w:firstLineChars="200"/>
        <w:jc w:val="left"/>
        <w:outlineLvl w:val="0"/>
        <w:rPr>
          <w:rFonts w:ascii="Arial Narrow" w:hAnsi="Arial Narrow" w:eastAsia="仿宋_GB2312"/>
          <w:b/>
          <w:sz w:val="24"/>
        </w:rPr>
      </w:pPr>
      <w:bookmarkStart w:id="6" w:name="_Toc513775099"/>
      <w:bookmarkStart w:id="7" w:name="_Toc28419"/>
      <w:r>
        <w:rPr>
          <w:rFonts w:ascii="Arial Narrow" w:hAnsi="Arial Narrow" w:eastAsia="仿宋_GB2312"/>
          <w:b/>
          <w:sz w:val="24"/>
        </w:rPr>
        <w:t>（一）绩效评价目的</w:t>
      </w:r>
      <w:bookmarkEnd w:id="6"/>
      <w:bookmarkEnd w:id="7"/>
    </w:p>
    <w:p w14:paraId="4FDBC8E5">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6CFC969C">
      <w:pPr>
        <w:spacing w:line="360" w:lineRule="auto"/>
        <w:ind w:firstLine="482" w:firstLineChars="200"/>
        <w:jc w:val="left"/>
        <w:outlineLvl w:val="0"/>
        <w:rPr>
          <w:rFonts w:ascii="Arial Narrow" w:hAnsi="Arial Narrow" w:eastAsia="仿宋_GB2312"/>
          <w:b/>
          <w:sz w:val="24"/>
        </w:rPr>
      </w:pPr>
      <w:bookmarkStart w:id="8" w:name="_Toc30632"/>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784E7F1A">
      <w:pPr>
        <w:pStyle w:val="14"/>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eastAsia="zh-CN"/>
        </w:rPr>
        <w:t>.</w:t>
      </w:r>
      <w:r>
        <w:rPr>
          <w:rFonts w:hint="eastAsia" w:ascii="Arial Narrow" w:hAnsi="Arial Narrow" w:eastAsia="仿宋_GB2312"/>
          <w:color w:val="auto"/>
        </w:rPr>
        <w:t>绩效目标的设定情况；</w:t>
      </w:r>
    </w:p>
    <w:p w14:paraId="4BDF18E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资金投入和使用情况；</w:t>
      </w:r>
    </w:p>
    <w:p w14:paraId="3DD9F1F5">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eastAsia="zh-CN"/>
        </w:rPr>
        <w:t>.</w:t>
      </w:r>
      <w:r>
        <w:rPr>
          <w:rFonts w:hint="eastAsia" w:ascii="Arial Narrow" w:hAnsi="Arial Narrow" w:eastAsia="仿宋_GB2312"/>
          <w:color w:val="auto"/>
        </w:rPr>
        <w:t>为实现绩效目标制定的制度、采取的措施等；</w:t>
      </w:r>
    </w:p>
    <w:p w14:paraId="48C3445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eastAsia="zh-CN"/>
        </w:rPr>
        <w:t>.</w:t>
      </w:r>
      <w:r>
        <w:rPr>
          <w:rFonts w:hint="eastAsia" w:ascii="Arial Narrow" w:hAnsi="Arial Narrow" w:eastAsia="仿宋_GB2312"/>
          <w:color w:val="auto"/>
        </w:rPr>
        <w:t>绩效目标的实现程度及效果；</w:t>
      </w:r>
    </w:p>
    <w:p w14:paraId="420EB38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eastAsia="zh-CN"/>
        </w:rPr>
        <w:t>.</w:t>
      </w:r>
      <w:r>
        <w:rPr>
          <w:rFonts w:hint="eastAsia" w:ascii="Arial Narrow" w:hAnsi="Arial Narrow" w:eastAsia="仿宋_GB2312"/>
          <w:color w:val="auto"/>
        </w:rPr>
        <w:t>根据实际情况需要评价的其他内容。</w:t>
      </w:r>
    </w:p>
    <w:p w14:paraId="46311F81">
      <w:pPr>
        <w:spacing w:line="360" w:lineRule="auto"/>
        <w:ind w:firstLine="482" w:firstLineChars="200"/>
        <w:jc w:val="left"/>
        <w:outlineLvl w:val="0"/>
        <w:rPr>
          <w:rFonts w:ascii="Arial Narrow" w:hAnsi="Arial Narrow" w:eastAsia="仿宋_GB2312"/>
          <w:b/>
          <w:sz w:val="24"/>
        </w:rPr>
      </w:pPr>
      <w:bookmarkStart w:id="11" w:name="_Toc17344"/>
      <w:r>
        <w:rPr>
          <w:rFonts w:ascii="Arial Narrow" w:hAnsi="Arial Narrow" w:eastAsia="仿宋_GB2312"/>
          <w:b/>
          <w:sz w:val="24"/>
        </w:rPr>
        <w:t>（三）绩效评价依据</w:t>
      </w:r>
      <w:bookmarkEnd w:id="9"/>
      <w:bookmarkEnd w:id="10"/>
      <w:bookmarkEnd w:id="11"/>
      <w:bookmarkStart w:id="12" w:name="_Toc335040595"/>
    </w:p>
    <w:bookmarkEnd w:id="12"/>
    <w:p w14:paraId="5F237CF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eastAsia="zh-CN"/>
        </w:rPr>
        <w:t>.</w:t>
      </w:r>
      <w:r>
        <w:rPr>
          <w:rFonts w:hint="eastAsia" w:ascii="Arial Narrow" w:hAnsi="Arial Narrow" w:eastAsia="仿宋_GB2312"/>
          <w:color w:val="auto"/>
        </w:rPr>
        <w:t>《重庆市铜梁区财政衔接推进乡村振兴补助资金绩效评价及考核办法》的通知（铜财〔2022〕678号）</w:t>
      </w:r>
      <w:r>
        <w:rPr>
          <w:rFonts w:hint="eastAsia" w:ascii="Arial Narrow" w:hAnsi="Arial Narrow" w:eastAsia="仿宋_GB2312" w:cs="Arial Narrow"/>
          <w:color w:val="auto"/>
        </w:rPr>
        <w:t>；</w:t>
      </w:r>
    </w:p>
    <w:p w14:paraId="1BB771F8">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《重庆市铜梁区财政局关于开展2023年度项目财政重点绩效评价的通知》（铜财〔2024〕237号）</w:t>
      </w:r>
      <w:r>
        <w:rPr>
          <w:rFonts w:hint="eastAsia" w:ascii="Arial Narrow" w:hAnsi="Arial Narrow" w:eastAsia="仿宋_GB2312" w:cs="Arial Narrow"/>
          <w:color w:val="auto"/>
        </w:rPr>
        <w:t>；</w:t>
      </w:r>
    </w:p>
    <w:p w14:paraId="6A278E84">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eastAsia="zh-CN"/>
        </w:rPr>
        <w:t>.</w:t>
      </w:r>
      <w:r>
        <w:rPr>
          <w:rFonts w:hint="eastAsia" w:ascii="Arial Narrow" w:hAnsi="Arial Narrow" w:eastAsia="仿宋_GB2312"/>
          <w:color w:val="auto"/>
        </w:rPr>
        <w:t>《重庆市财政衔接推进乡村振兴补助资金绩效评价及考核办法》（渝财农〔2022〕2号）</w:t>
      </w:r>
      <w:r>
        <w:rPr>
          <w:rFonts w:hint="eastAsia" w:ascii="Arial Narrow" w:hAnsi="Arial Narrow" w:eastAsia="仿宋_GB2312" w:cs="Arial Narrow"/>
          <w:color w:val="auto"/>
        </w:rPr>
        <w:t>；</w:t>
      </w:r>
    </w:p>
    <w:p w14:paraId="522EC9F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eastAsia="zh-CN"/>
        </w:rPr>
        <w:t>.</w:t>
      </w:r>
      <w:r>
        <w:rPr>
          <w:rFonts w:hint="eastAsia" w:ascii="Arial Narrow" w:hAnsi="Arial Narrow" w:eastAsia="仿宋_GB2312"/>
          <w:color w:val="auto"/>
        </w:rPr>
        <w:t>《铜梁区区级政策和项目预算绩效管理办法（试行）》（铜财〔2022〕41号）</w:t>
      </w:r>
      <w:r>
        <w:rPr>
          <w:rFonts w:hint="eastAsia" w:ascii="Arial Narrow" w:hAnsi="Arial Narrow" w:eastAsia="仿宋_GB2312" w:cs="Arial Narrow"/>
          <w:color w:val="auto"/>
        </w:rPr>
        <w:t>；</w:t>
      </w:r>
    </w:p>
    <w:p w14:paraId="72D3E7E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eastAsia="zh-CN"/>
        </w:rPr>
        <w:t>.</w:t>
      </w:r>
      <w:r>
        <w:rPr>
          <w:rFonts w:hint="eastAsia" w:ascii="Arial Narrow" w:hAnsi="Arial Narrow" w:eastAsia="仿宋_GB2312"/>
          <w:color w:val="auto"/>
        </w:rPr>
        <w:t>《重庆市财政局等6部门关于加强财政衔接推进乡村振兴补助资金使用管理的实施意见》（渝财农〔2022〕73号）</w:t>
      </w:r>
      <w:r>
        <w:rPr>
          <w:rFonts w:hint="eastAsia" w:ascii="Arial Narrow" w:hAnsi="Arial Narrow" w:eastAsia="仿宋_GB2312" w:cs="Arial Narrow"/>
          <w:color w:val="auto"/>
        </w:rPr>
        <w:t>；</w:t>
      </w:r>
    </w:p>
    <w:p w14:paraId="3EBF0C5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w:t>
      </w:r>
      <w:r>
        <w:rPr>
          <w:rFonts w:hint="eastAsia" w:ascii="Arial Narrow" w:hAnsi="Arial Narrow" w:eastAsia="仿宋_GB2312"/>
          <w:color w:val="auto"/>
          <w:lang w:eastAsia="zh-CN"/>
        </w:rPr>
        <w:t>.</w:t>
      </w:r>
      <w:r>
        <w:rPr>
          <w:rFonts w:hint="eastAsia" w:ascii="Arial Narrow" w:hAnsi="Arial Narrow" w:eastAsia="仿宋_GB2312"/>
          <w:color w:val="auto"/>
        </w:rPr>
        <w:t>《铜梁区巩固拓展脱贫攻坚成果和衔接乡村振兴项目库建设管理实施细则》（铜乡振〔2021〕7号）</w:t>
      </w:r>
      <w:r>
        <w:rPr>
          <w:rFonts w:hint="eastAsia" w:ascii="Arial Narrow" w:hAnsi="Arial Narrow" w:eastAsia="仿宋_GB2312" w:cs="Arial Narrow"/>
          <w:color w:val="auto"/>
        </w:rPr>
        <w:t>；</w:t>
      </w:r>
    </w:p>
    <w:p w14:paraId="622EAEA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w:t>
      </w:r>
      <w:r>
        <w:rPr>
          <w:rFonts w:hint="eastAsia" w:ascii="Arial Narrow" w:hAnsi="Arial Narrow" w:eastAsia="仿宋_GB2312"/>
          <w:color w:val="auto"/>
          <w:lang w:eastAsia="zh-CN"/>
        </w:rPr>
        <w:t>.</w:t>
      </w:r>
      <w:r>
        <w:rPr>
          <w:rFonts w:hint="eastAsia" w:ascii="Arial Narrow" w:hAnsi="Arial Narrow" w:eastAsia="仿宋_GB2312"/>
          <w:color w:val="auto"/>
        </w:rPr>
        <w:t>《铜梁区财政衔接推进乡村振兴补助资金项目公告公示实施办法》（铜委农办〔2021〕19号）</w:t>
      </w:r>
      <w:r>
        <w:rPr>
          <w:rFonts w:hint="eastAsia" w:ascii="Arial Narrow" w:hAnsi="Arial Narrow" w:eastAsia="仿宋_GB2312" w:cs="Arial Narrow"/>
          <w:color w:val="auto"/>
        </w:rPr>
        <w:t>；</w:t>
      </w:r>
    </w:p>
    <w:p w14:paraId="511C731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hint="eastAsia" w:ascii="Arial Narrow" w:hAnsi="Arial Narrow" w:eastAsia="仿宋_GB2312"/>
          <w:color w:val="auto"/>
          <w:lang w:eastAsia="zh-CN"/>
        </w:rPr>
        <w:t>.</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s="Arial Narrow"/>
          <w:color w:val="auto"/>
        </w:rPr>
        <w:t>；</w:t>
      </w:r>
    </w:p>
    <w:p w14:paraId="0F0910F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s="Arial Narrow"/>
          <w:color w:val="auto"/>
        </w:rPr>
        <w:t>；</w:t>
      </w:r>
    </w:p>
    <w:p w14:paraId="4665B59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hint="eastAsia" w:ascii="Arial Narrow" w:hAnsi="Arial Narrow" w:eastAsia="仿宋_GB2312"/>
          <w:color w:val="auto"/>
          <w:lang w:eastAsia="zh-CN"/>
        </w:rPr>
        <w:t>.</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r>
        <w:rPr>
          <w:rFonts w:hint="eastAsia" w:ascii="Arial Narrow" w:hAnsi="Arial Narrow" w:eastAsia="仿宋_GB2312" w:cs="Arial Narrow"/>
          <w:color w:val="auto"/>
        </w:rPr>
        <w:t>；</w:t>
      </w:r>
    </w:p>
    <w:p w14:paraId="0FDAA47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hint="eastAsia" w:ascii="Arial Narrow" w:hAnsi="Arial Narrow" w:eastAsia="仿宋_GB2312"/>
          <w:color w:val="auto"/>
          <w:lang w:eastAsia="zh-CN"/>
        </w:rPr>
        <w:t>.</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1982EE3D">
      <w:pPr>
        <w:spacing w:line="360" w:lineRule="auto"/>
        <w:ind w:firstLine="482" w:firstLineChars="200"/>
        <w:jc w:val="left"/>
        <w:outlineLvl w:val="0"/>
        <w:rPr>
          <w:rFonts w:ascii="Arial Narrow" w:hAnsi="Arial Narrow" w:eastAsia="仿宋_GB2312"/>
          <w:b/>
          <w:sz w:val="24"/>
        </w:rPr>
      </w:pPr>
      <w:bookmarkStart w:id="14" w:name="_Toc12434"/>
      <w:r>
        <w:rPr>
          <w:rFonts w:ascii="Arial Narrow" w:hAnsi="Arial Narrow" w:eastAsia="仿宋_GB2312"/>
          <w:b/>
          <w:sz w:val="24"/>
        </w:rPr>
        <w:t>（四）绩效评价原则和指标体系</w:t>
      </w:r>
      <w:bookmarkEnd w:id="14"/>
    </w:p>
    <w:p w14:paraId="016AF8C6">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eastAsia="zh-CN"/>
        </w:rPr>
        <w:t>.</w:t>
      </w:r>
      <w:r>
        <w:rPr>
          <w:rFonts w:ascii="Arial Narrow" w:hAnsi="Arial Narrow" w:eastAsia="仿宋_GB2312"/>
          <w:color w:val="auto"/>
        </w:rPr>
        <w:t>绩效评价主要遵循以下原则：</w:t>
      </w:r>
    </w:p>
    <w:p w14:paraId="0BD811EB">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57E39352">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w:t>
      </w: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重要性原则。应当优先使用最具评价对象代表性、最能反映评价要求的核心指标。</w:t>
      </w:r>
    </w:p>
    <w:p w14:paraId="4F4F5A05">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1B4A85C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2D921542">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7BCF8E3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eastAsia="zh-CN"/>
        </w:rPr>
        <w:t>.</w:t>
      </w:r>
      <w:r>
        <w:rPr>
          <w:rFonts w:ascii="Arial Narrow" w:hAnsi="Arial Narrow" w:eastAsia="仿宋_GB2312"/>
          <w:color w:val="auto"/>
        </w:rPr>
        <w:t>绩效评价指标体系</w:t>
      </w:r>
    </w:p>
    <w:p w14:paraId="5536BA22">
      <w:pPr>
        <w:pStyle w:val="14"/>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根据《重庆市铜梁区财政衔接推进乡村振兴补助资金绩效评价及考核办法》的通知（铜财〔2022〕678号），本次绩效评价及考核指标体系如下：</w:t>
      </w:r>
    </w:p>
    <w:p w14:paraId="09D41466">
      <w:pPr>
        <w:pStyle w:val="14"/>
        <w:spacing w:line="360" w:lineRule="auto"/>
        <w:ind w:firstLine="480" w:firstLineChars="200"/>
        <w:jc w:val="both"/>
        <w:rPr>
          <w:rFonts w:ascii="Arial Narrow" w:hAnsi="Arial Narrow" w:eastAsia="仿宋_GB2312"/>
          <w:color w:val="auto"/>
        </w:rPr>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pPr>
    </w:p>
    <w:tbl>
      <w:tblPr>
        <w:tblStyle w:val="9"/>
        <w:tblW w:w="14504" w:type="dxa"/>
        <w:tblInd w:w="0" w:type="dxa"/>
        <w:tblLayout w:type="fixed"/>
        <w:tblCellMar>
          <w:top w:w="0" w:type="dxa"/>
          <w:left w:w="108" w:type="dxa"/>
          <w:bottom w:w="0" w:type="dxa"/>
          <w:right w:w="108" w:type="dxa"/>
        </w:tblCellMar>
      </w:tblPr>
      <w:tblGrid>
        <w:gridCol w:w="812"/>
        <w:gridCol w:w="995"/>
        <w:gridCol w:w="995"/>
        <w:gridCol w:w="566"/>
        <w:gridCol w:w="3971"/>
        <w:gridCol w:w="7165"/>
      </w:tblGrid>
      <w:tr w14:paraId="4CB492F9">
        <w:tblPrEx>
          <w:tblCellMar>
            <w:top w:w="0" w:type="dxa"/>
            <w:left w:w="108" w:type="dxa"/>
            <w:bottom w:w="0" w:type="dxa"/>
            <w:right w:w="108" w:type="dxa"/>
          </w:tblCellMar>
        </w:tblPrEx>
        <w:trPr>
          <w:cantSplit/>
          <w:trHeight w:val="516" w:hRule="atLeast"/>
          <w:tblHeader/>
        </w:trPr>
        <w:tc>
          <w:tcPr>
            <w:tcW w:w="14504" w:type="dxa"/>
            <w:gridSpan w:val="6"/>
            <w:tcBorders>
              <w:bottom w:val="single" w:color="auto" w:sz="4" w:space="0"/>
            </w:tcBorders>
            <w:shd w:val="clear" w:color="auto" w:fill="auto"/>
            <w:noWrap/>
            <w:vAlign w:val="center"/>
          </w:tcPr>
          <w:p w14:paraId="11C177DF">
            <w:pPr>
              <w:pStyle w:val="14"/>
              <w:spacing w:line="360" w:lineRule="auto"/>
              <w:ind w:firstLine="482" w:firstLineChars="200"/>
              <w:jc w:val="center"/>
              <w:rPr>
                <w:rFonts w:hint="default" w:ascii="Arial Narrow" w:hAnsi="Arial Narrow" w:eastAsia="仿宋_GB2312" w:cs="Arial Narrow"/>
                <w:b/>
                <w:bCs/>
                <w:color w:val="auto"/>
              </w:rPr>
            </w:pPr>
            <w:r>
              <w:rPr>
                <w:rFonts w:hint="default" w:ascii="Arial Narrow" w:hAnsi="Arial Narrow" w:eastAsia="仿宋_GB2312" w:cs="Arial Narrow"/>
                <w:b/>
                <w:bCs/>
                <w:color w:val="auto"/>
              </w:rPr>
              <w:t>铜梁区衔接资金项目绩效评价及考核指标评分表</w:t>
            </w:r>
          </w:p>
        </w:tc>
      </w:tr>
      <w:tr w14:paraId="6450695C">
        <w:tblPrEx>
          <w:tblCellMar>
            <w:top w:w="0" w:type="dxa"/>
            <w:left w:w="108" w:type="dxa"/>
            <w:bottom w:w="0" w:type="dxa"/>
            <w:right w:w="108" w:type="dxa"/>
          </w:tblCellMar>
        </w:tblPrEx>
        <w:trPr>
          <w:cantSplit/>
          <w:trHeight w:val="516" w:hRule="atLeast"/>
          <w:tblHeader/>
        </w:trPr>
        <w:tc>
          <w:tcPr>
            <w:tcW w:w="8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2094B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序号</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72B557D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一级指标</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317BA0C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二级指标</w:t>
            </w:r>
          </w:p>
        </w:tc>
        <w:tc>
          <w:tcPr>
            <w:tcW w:w="566" w:type="dxa"/>
            <w:tcBorders>
              <w:top w:val="single" w:color="auto" w:sz="4" w:space="0"/>
              <w:left w:val="nil"/>
              <w:bottom w:val="single" w:color="auto" w:sz="4" w:space="0"/>
              <w:right w:val="single" w:color="auto" w:sz="4" w:space="0"/>
            </w:tcBorders>
            <w:shd w:val="clear" w:color="auto" w:fill="auto"/>
            <w:noWrap/>
            <w:vAlign w:val="center"/>
          </w:tcPr>
          <w:p w14:paraId="329EE1B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分值</w:t>
            </w:r>
          </w:p>
        </w:tc>
        <w:tc>
          <w:tcPr>
            <w:tcW w:w="3971" w:type="dxa"/>
            <w:tcBorders>
              <w:top w:val="single" w:color="auto" w:sz="4" w:space="0"/>
              <w:left w:val="nil"/>
              <w:bottom w:val="single" w:color="auto" w:sz="4" w:space="0"/>
              <w:right w:val="single" w:color="auto" w:sz="4" w:space="0"/>
            </w:tcBorders>
            <w:shd w:val="clear" w:color="auto" w:fill="auto"/>
            <w:noWrap/>
            <w:vAlign w:val="center"/>
          </w:tcPr>
          <w:p w14:paraId="532861B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指标释义</w:t>
            </w:r>
          </w:p>
        </w:tc>
        <w:tc>
          <w:tcPr>
            <w:tcW w:w="7165" w:type="dxa"/>
            <w:tcBorders>
              <w:top w:val="single" w:color="auto" w:sz="4" w:space="0"/>
              <w:left w:val="nil"/>
              <w:bottom w:val="single" w:color="auto" w:sz="4" w:space="0"/>
              <w:right w:val="single" w:color="auto" w:sz="4" w:space="0"/>
            </w:tcBorders>
            <w:shd w:val="clear" w:color="auto" w:fill="auto"/>
            <w:noWrap/>
            <w:vAlign w:val="center"/>
          </w:tcPr>
          <w:p w14:paraId="4237133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评价标准</w:t>
            </w:r>
          </w:p>
        </w:tc>
      </w:tr>
      <w:tr w14:paraId="4C776F79">
        <w:tblPrEx>
          <w:tblCellMar>
            <w:top w:w="0" w:type="dxa"/>
            <w:left w:w="108" w:type="dxa"/>
            <w:bottom w:w="0" w:type="dxa"/>
            <w:right w:w="108" w:type="dxa"/>
          </w:tblCellMar>
        </w:tblPrEx>
        <w:trPr>
          <w:cantSplit/>
          <w:trHeight w:val="116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E48CDC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14CF575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资金管理（5分）</w:t>
            </w:r>
          </w:p>
        </w:tc>
        <w:tc>
          <w:tcPr>
            <w:tcW w:w="995" w:type="dxa"/>
            <w:tcBorders>
              <w:top w:val="nil"/>
              <w:left w:val="nil"/>
              <w:bottom w:val="single" w:color="auto" w:sz="4" w:space="0"/>
              <w:right w:val="single" w:color="auto" w:sz="4" w:space="0"/>
            </w:tcBorders>
            <w:shd w:val="clear" w:color="auto" w:fill="auto"/>
            <w:vAlign w:val="center"/>
          </w:tcPr>
          <w:p w14:paraId="6B7A9EB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财政衔接资金安排情况</w:t>
            </w:r>
          </w:p>
        </w:tc>
        <w:tc>
          <w:tcPr>
            <w:tcW w:w="566" w:type="dxa"/>
            <w:tcBorders>
              <w:top w:val="nil"/>
              <w:left w:val="nil"/>
              <w:bottom w:val="single" w:color="auto" w:sz="4" w:space="0"/>
              <w:right w:val="single" w:color="auto" w:sz="4" w:space="0"/>
            </w:tcBorders>
            <w:shd w:val="clear" w:color="auto" w:fill="auto"/>
            <w:vAlign w:val="center"/>
          </w:tcPr>
          <w:p w14:paraId="671F837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3971" w:type="dxa"/>
            <w:tcBorders>
              <w:top w:val="nil"/>
              <w:left w:val="nil"/>
              <w:bottom w:val="single" w:color="auto" w:sz="4" w:space="0"/>
              <w:right w:val="single" w:color="auto" w:sz="4" w:space="0"/>
            </w:tcBorders>
            <w:shd w:val="clear" w:color="auto" w:fill="auto"/>
            <w:vAlign w:val="center"/>
          </w:tcPr>
          <w:p w14:paraId="187BF51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7165" w:type="dxa"/>
            <w:tcBorders>
              <w:top w:val="nil"/>
              <w:left w:val="nil"/>
              <w:bottom w:val="single" w:color="auto" w:sz="4" w:space="0"/>
              <w:right w:val="single" w:color="auto" w:sz="4" w:space="0"/>
            </w:tcBorders>
            <w:shd w:val="clear" w:color="auto" w:fill="auto"/>
            <w:vAlign w:val="center"/>
          </w:tcPr>
          <w:p w14:paraId="6830C40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资金使用方向符合文件规定（2分）。</w:t>
            </w:r>
          </w:p>
        </w:tc>
      </w:tr>
      <w:tr w14:paraId="167CA157">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2F4788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995" w:type="dxa"/>
            <w:vMerge w:val="continue"/>
            <w:tcBorders>
              <w:top w:val="nil"/>
              <w:left w:val="single" w:color="auto" w:sz="4" w:space="0"/>
              <w:bottom w:val="single" w:color="auto" w:sz="4" w:space="0"/>
              <w:right w:val="single" w:color="auto" w:sz="4" w:space="0"/>
            </w:tcBorders>
            <w:vAlign w:val="center"/>
          </w:tcPr>
          <w:p w14:paraId="4D506471">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668F1F1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资金分解下达进度</w:t>
            </w:r>
          </w:p>
        </w:tc>
        <w:tc>
          <w:tcPr>
            <w:tcW w:w="566" w:type="dxa"/>
            <w:tcBorders>
              <w:top w:val="nil"/>
              <w:left w:val="nil"/>
              <w:bottom w:val="single" w:color="auto" w:sz="4" w:space="0"/>
              <w:right w:val="single" w:color="auto" w:sz="4" w:space="0"/>
            </w:tcBorders>
            <w:shd w:val="clear" w:color="auto" w:fill="auto"/>
            <w:noWrap/>
            <w:vAlign w:val="center"/>
          </w:tcPr>
          <w:p w14:paraId="687AEF3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3971" w:type="dxa"/>
            <w:tcBorders>
              <w:top w:val="nil"/>
              <w:left w:val="nil"/>
              <w:bottom w:val="single" w:color="auto" w:sz="4" w:space="0"/>
              <w:right w:val="single" w:color="auto" w:sz="4" w:space="0"/>
            </w:tcBorders>
            <w:shd w:val="clear" w:color="auto" w:fill="auto"/>
            <w:vAlign w:val="center"/>
          </w:tcPr>
          <w:p w14:paraId="715F6AC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评价区级业务主管部门分解下达当年资金及次年提前批资金进度情况。</w:t>
            </w:r>
          </w:p>
        </w:tc>
        <w:tc>
          <w:tcPr>
            <w:tcW w:w="7165" w:type="dxa"/>
            <w:tcBorders>
              <w:top w:val="nil"/>
              <w:left w:val="nil"/>
              <w:bottom w:val="single" w:color="auto" w:sz="4" w:space="0"/>
              <w:right w:val="single" w:color="auto" w:sz="4" w:space="0"/>
            </w:tcBorders>
            <w:shd w:val="clear" w:color="auto" w:fill="auto"/>
            <w:vAlign w:val="center"/>
          </w:tcPr>
          <w:p w14:paraId="1E5B814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区财政局下达资金文件时间到区级业务主管部门下达项目及资金计划文件时间间隔≤30日（3分）。</w:t>
            </w:r>
          </w:p>
        </w:tc>
      </w:tr>
      <w:tr w14:paraId="5ABDF2BB">
        <w:tblPrEx>
          <w:tblCellMar>
            <w:top w:w="0" w:type="dxa"/>
            <w:left w:w="108" w:type="dxa"/>
            <w:bottom w:w="0" w:type="dxa"/>
            <w:right w:w="108" w:type="dxa"/>
          </w:tblCellMar>
        </w:tblPrEx>
        <w:trPr>
          <w:cantSplit/>
          <w:trHeight w:val="101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1515BB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2DE77D1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项目管理（55分）</w:t>
            </w:r>
          </w:p>
        </w:tc>
        <w:tc>
          <w:tcPr>
            <w:tcW w:w="995" w:type="dxa"/>
            <w:tcBorders>
              <w:top w:val="nil"/>
              <w:left w:val="nil"/>
              <w:bottom w:val="single" w:color="auto" w:sz="4" w:space="0"/>
              <w:right w:val="single" w:color="auto" w:sz="4" w:space="0"/>
            </w:tcBorders>
            <w:shd w:val="clear" w:color="auto" w:fill="auto"/>
            <w:vAlign w:val="center"/>
          </w:tcPr>
          <w:p w14:paraId="3AE04B7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项目库建设管理情况</w:t>
            </w:r>
          </w:p>
        </w:tc>
        <w:tc>
          <w:tcPr>
            <w:tcW w:w="566" w:type="dxa"/>
            <w:tcBorders>
              <w:top w:val="nil"/>
              <w:left w:val="nil"/>
              <w:bottom w:val="single" w:color="auto" w:sz="4" w:space="0"/>
              <w:right w:val="single" w:color="auto" w:sz="4" w:space="0"/>
            </w:tcBorders>
            <w:shd w:val="clear" w:color="auto" w:fill="auto"/>
            <w:noWrap/>
            <w:vAlign w:val="center"/>
          </w:tcPr>
          <w:p w14:paraId="0516790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nil"/>
              <w:right w:val="nil"/>
            </w:tcBorders>
            <w:shd w:val="clear" w:color="auto" w:fill="auto"/>
            <w:vAlign w:val="center"/>
          </w:tcPr>
          <w:p w14:paraId="351C989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评价落实《铜梁区巩固拓展脱贫攻坚成果和衔接乡村振兴项目库建设管理实施细则》（铜乡振〔2021〕7号）落实情况。根据抽查情况赋分。</w:t>
            </w:r>
          </w:p>
        </w:tc>
        <w:tc>
          <w:tcPr>
            <w:tcW w:w="7165" w:type="dxa"/>
            <w:tcBorders>
              <w:top w:val="nil"/>
              <w:left w:val="single" w:color="auto" w:sz="4" w:space="0"/>
              <w:bottom w:val="single" w:color="auto" w:sz="4" w:space="0"/>
              <w:right w:val="single" w:color="auto" w:sz="4" w:space="0"/>
            </w:tcBorders>
            <w:shd w:val="clear" w:color="auto" w:fill="auto"/>
            <w:vAlign w:val="center"/>
          </w:tcPr>
          <w:p w14:paraId="423875F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1.项目入库及时充分、程序规范、内容完整（3分）；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2.入库项目具备实施条件（2分）；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3.衔接资金用于项目库之外的项目（-5分）。</w:t>
            </w:r>
          </w:p>
        </w:tc>
      </w:tr>
      <w:tr w14:paraId="5CD75AD9">
        <w:tblPrEx>
          <w:tblCellMar>
            <w:top w:w="0" w:type="dxa"/>
            <w:left w:w="108" w:type="dxa"/>
            <w:bottom w:w="0" w:type="dxa"/>
            <w:right w:w="108" w:type="dxa"/>
          </w:tblCellMar>
        </w:tblPrEx>
        <w:trPr>
          <w:cantSplit/>
          <w:trHeight w:val="1261"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E3E704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w:t>
            </w:r>
          </w:p>
        </w:tc>
        <w:tc>
          <w:tcPr>
            <w:tcW w:w="995" w:type="dxa"/>
            <w:vMerge w:val="continue"/>
            <w:tcBorders>
              <w:top w:val="nil"/>
              <w:left w:val="single" w:color="auto" w:sz="4" w:space="0"/>
              <w:bottom w:val="single" w:color="auto" w:sz="4" w:space="0"/>
              <w:right w:val="single" w:color="auto" w:sz="4" w:space="0"/>
            </w:tcBorders>
            <w:vAlign w:val="center"/>
          </w:tcPr>
          <w:p w14:paraId="772C0C4D">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047C2DC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项目绩效管理情况</w:t>
            </w:r>
          </w:p>
        </w:tc>
        <w:tc>
          <w:tcPr>
            <w:tcW w:w="566" w:type="dxa"/>
            <w:tcBorders>
              <w:top w:val="nil"/>
              <w:left w:val="nil"/>
              <w:bottom w:val="single" w:color="auto" w:sz="4" w:space="0"/>
              <w:right w:val="single" w:color="auto" w:sz="4" w:space="0"/>
            </w:tcBorders>
            <w:shd w:val="clear" w:color="auto" w:fill="auto"/>
            <w:noWrap/>
            <w:vAlign w:val="center"/>
          </w:tcPr>
          <w:p w14:paraId="02BFF4C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single" w:color="auto" w:sz="4" w:space="0"/>
              <w:left w:val="nil"/>
              <w:bottom w:val="single" w:color="auto" w:sz="4" w:space="0"/>
              <w:right w:val="single" w:color="auto" w:sz="4" w:space="0"/>
            </w:tcBorders>
            <w:shd w:val="clear" w:color="auto" w:fill="auto"/>
            <w:vAlign w:val="center"/>
          </w:tcPr>
          <w:p w14:paraId="63E2186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评价具体项目实施方案明确绩效目标情况、开展跟踪监督绩效监控情况、事后评价情况等。根据抽抽情况赋分。</w:t>
            </w:r>
          </w:p>
        </w:tc>
        <w:tc>
          <w:tcPr>
            <w:tcW w:w="7165" w:type="dxa"/>
            <w:tcBorders>
              <w:top w:val="nil"/>
              <w:left w:val="nil"/>
              <w:bottom w:val="single" w:color="auto" w:sz="4" w:space="0"/>
              <w:right w:val="single" w:color="auto" w:sz="4" w:space="0"/>
            </w:tcBorders>
            <w:shd w:val="clear" w:color="auto" w:fill="auto"/>
            <w:vAlign w:val="center"/>
          </w:tcPr>
          <w:p w14:paraId="19FA1A6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1.及时制定绩效目标、审核绩效目标（2分）；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2.开展绩效监控不少于1次（2分）；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3.对绩效目标偏离项目采取纠偏措施（2分）；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4.项目实施完毕后立即开展绩效自评，并形成绩效自评报告及绩效自评表。（2分）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5.项目绩效是否达到预期。（2分）</w:t>
            </w:r>
          </w:p>
        </w:tc>
      </w:tr>
      <w:tr w14:paraId="399FEB62">
        <w:tblPrEx>
          <w:tblCellMar>
            <w:top w:w="0" w:type="dxa"/>
            <w:left w:w="108" w:type="dxa"/>
            <w:bottom w:w="0" w:type="dxa"/>
            <w:right w:w="108" w:type="dxa"/>
          </w:tblCellMar>
        </w:tblPrEx>
        <w:trPr>
          <w:cantSplit/>
          <w:trHeight w:val="12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3530BA6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995" w:type="dxa"/>
            <w:vMerge w:val="continue"/>
            <w:tcBorders>
              <w:top w:val="nil"/>
              <w:left w:val="single" w:color="auto" w:sz="4" w:space="0"/>
              <w:bottom w:val="single" w:color="auto" w:sz="4" w:space="0"/>
              <w:right w:val="single" w:color="auto" w:sz="4" w:space="0"/>
            </w:tcBorders>
            <w:vAlign w:val="center"/>
          </w:tcPr>
          <w:p w14:paraId="4FBD9EE6">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45A6374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项目建设管理情况</w:t>
            </w:r>
          </w:p>
        </w:tc>
        <w:tc>
          <w:tcPr>
            <w:tcW w:w="566" w:type="dxa"/>
            <w:tcBorders>
              <w:top w:val="nil"/>
              <w:left w:val="nil"/>
              <w:bottom w:val="single" w:color="auto" w:sz="4" w:space="0"/>
              <w:right w:val="single" w:color="auto" w:sz="4" w:space="0"/>
            </w:tcBorders>
            <w:shd w:val="clear" w:color="auto" w:fill="auto"/>
            <w:vAlign w:val="center"/>
          </w:tcPr>
          <w:p w14:paraId="6C49304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3971" w:type="dxa"/>
            <w:tcBorders>
              <w:top w:val="nil"/>
              <w:left w:val="nil"/>
              <w:bottom w:val="single" w:color="auto" w:sz="4" w:space="0"/>
              <w:right w:val="single" w:color="auto" w:sz="4" w:space="0"/>
            </w:tcBorders>
            <w:shd w:val="clear" w:color="auto" w:fill="auto"/>
            <w:vAlign w:val="center"/>
          </w:tcPr>
          <w:p w14:paraId="16CA5F0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评价有序推进项目前期工作、组织实施、项目验收、资料报送等情况。根据抽抽情况赋分。</w:t>
            </w:r>
          </w:p>
        </w:tc>
        <w:tc>
          <w:tcPr>
            <w:tcW w:w="7165" w:type="dxa"/>
            <w:tcBorders>
              <w:top w:val="nil"/>
              <w:left w:val="nil"/>
              <w:bottom w:val="single" w:color="auto" w:sz="4" w:space="0"/>
              <w:right w:val="single" w:color="auto" w:sz="4" w:space="0"/>
            </w:tcBorders>
            <w:shd w:val="clear" w:color="auto" w:fill="auto"/>
            <w:vAlign w:val="center"/>
          </w:tcPr>
          <w:p w14:paraId="421ABA6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1.项目实施方法存在变更是否按规定报批；（1分）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2.是否定期对项目实施情况进行监督检查，对检查中发现的问题进行整改；（2分）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3.是否按照项目实施节点按时提交项目报账资料；（1分）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4.日常管理资料是否及时归档整理；（1分）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5.项目完工后是否在规定时间内进行验收。（1分）</w:t>
            </w:r>
          </w:p>
        </w:tc>
      </w:tr>
      <w:tr w14:paraId="381F92B9">
        <w:tblPrEx>
          <w:tblCellMar>
            <w:top w:w="0" w:type="dxa"/>
            <w:left w:w="108" w:type="dxa"/>
            <w:bottom w:w="0" w:type="dxa"/>
            <w:right w:w="108" w:type="dxa"/>
          </w:tblCellMar>
        </w:tblPrEx>
        <w:trPr>
          <w:cantSplit/>
          <w:trHeight w:val="218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48427F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995" w:type="dxa"/>
            <w:vMerge w:val="continue"/>
            <w:tcBorders>
              <w:top w:val="nil"/>
              <w:left w:val="single" w:color="auto" w:sz="4" w:space="0"/>
              <w:bottom w:val="single" w:color="auto" w:sz="4" w:space="0"/>
              <w:right w:val="single" w:color="auto" w:sz="4" w:space="0"/>
            </w:tcBorders>
            <w:vAlign w:val="center"/>
          </w:tcPr>
          <w:p w14:paraId="4E1B913B">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872B55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预算执行率情况</w:t>
            </w:r>
          </w:p>
        </w:tc>
        <w:tc>
          <w:tcPr>
            <w:tcW w:w="566" w:type="dxa"/>
            <w:tcBorders>
              <w:top w:val="nil"/>
              <w:left w:val="nil"/>
              <w:bottom w:val="single" w:color="auto" w:sz="4" w:space="0"/>
              <w:right w:val="single" w:color="auto" w:sz="4" w:space="0"/>
            </w:tcBorders>
            <w:shd w:val="clear" w:color="auto" w:fill="auto"/>
            <w:noWrap/>
            <w:vAlign w:val="center"/>
          </w:tcPr>
          <w:p w14:paraId="09BC19E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3971" w:type="dxa"/>
            <w:tcBorders>
              <w:top w:val="nil"/>
              <w:left w:val="nil"/>
              <w:bottom w:val="single" w:color="auto" w:sz="4" w:space="0"/>
              <w:right w:val="single" w:color="auto" w:sz="4" w:space="0"/>
            </w:tcBorders>
            <w:shd w:val="clear" w:color="auto" w:fill="auto"/>
            <w:vAlign w:val="center"/>
          </w:tcPr>
          <w:p w14:paraId="04D34C9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评价有序推进项目工作和资金支付情况。根据抽查情况赋分。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1247C9A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主要通过支出进度评价有序推进项目工作和资金支付情况，于7月末、10月中旬定期调度。</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1</w:t>
            </w:r>
            <w:r>
              <w:rPr>
                <w:rFonts w:hint="default" w:ascii="Arial Narrow" w:hAnsi="Arial Narrow" w:eastAsia="仿宋_GB2312" w:cs="Arial Narrow"/>
                <w:kern w:val="0"/>
                <w:sz w:val="16"/>
                <w:szCs w:val="16"/>
              </w:rPr>
              <w:t>.7月末支出进度评分4分。资金支出进度达到全区平均进度或者序时进度的，得满分；未达到的按照与序时进度的比例扣分；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2</w:t>
            </w:r>
            <w:r>
              <w:rPr>
                <w:rFonts w:hint="default" w:ascii="Arial Narrow" w:hAnsi="Arial Narrow" w:eastAsia="仿宋_GB2312" w:cs="Arial Narrow"/>
                <w:kern w:val="0"/>
                <w:sz w:val="16"/>
                <w:szCs w:val="16"/>
              </w:rPr>
              <w:t>.10月中旬支出进度评分4分。资金支出进度达到全区平均进度或者序时进度的，得满分；未达到的按照与序时进度的比例扣分；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3</w:t>
            </w:r>
            <w:r>
              <w:rPr>
                <w:rFonts w:hint="default" w:ascii="Arial Narrow" w:hAnsi="Arial Narrow" w:eastAsia="仿宋_GB2312" w:cs="Arial Narrow"/>
                <w:kern w:val="0"/>
                <w:sz w:val="16"/>
                <w:szCs w:val="16"/>
              </w:rPr>
              <w:t>.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0805C0D0">
        <w:tblPrEx>
          <w:tblCellMar>
            <w:top w:w="0" w:type="dxa"/>
            <w:left w:w="108" w:type="dxa"/>
            <w:bottom w:w="0" w:type="dxa"/>
            <w:right w:w="108" w:type="dxa"/>
          </w:tblCellMar>
        </w:tblPrEx>
        <w:trPr>
          <w:cantSplit/>
          <w:trHeight w:val="112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6DF6BBD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7</w:t>
            </w:r>
          </w:p>
        </w:tc>
        <w:tc>
          <w:tcPr>
            <w:tcW w:w="995" w:type="dxa"/>
            <w:vMerge w:val="continue"/>
            <w:tcBorders>
              <w:top w:val="nil"/>
              <w:left w:val="single" w:color="auto" w:sz="4" w:space="0"/>
              <w:bottom w:val="single" w:color="auto" w:sz="4" w:space="0"/>
              <w:right w:val="single" w:color="auto" w:sz="4" w:space="0"/>
            </w:tcBorders>
            <w:vAlign w:val="center"/>
          </w:tcPr>
          <w:p w14:paraId="7FA814CA">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65AF24A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跟踪督促及发现问题整改情况</w:t>
            </w:r>
          </w:p>
        </w:tc>
        <w:tc>
          <w:tcPr>
            <w:tcW w:w="566" w:type="dxa"/>
            <w:tcBorders>
              <w:top w:val="nil"/>
              <w:left w:val="nil"/>
              <w:bottom w:val="single" w:color="auto" w:sz="4" w:space="0"/>
              <w:right w:val="single" w:color="auto" w:sz="4" w:space="0"/>
            </w:tcBorders>
            <w:shd w:val="clear" w:color="auto" w:fill="auto"/>
            <w:noWrap/>
            <w:vAlign w:val="center"/>
          </w:tcPr>
          <w:p w14:paraId="2819FA7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3971" w:type="dxa"/>
            <w:tcBorders>
              <w:top w:val="nil"/>
              <w:left w:val="nil"/>
              <w:bottom w:val="single" w:color="auto" w:sz="4" w:space="0"/>
              <w:right w:val="single" w:color="auto" w:sz="4" w:space="0"/>
            </w:tcBorders>
            <w:shd w:val="clear" w:color="auto" w:fill="auto"/>
            <w:vAlign w:val="center"/>
          </w:tcPr>
          <w:p w14:paraId="7A6AE80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评价定期开展监督检查情况、发现问题整改情况。根据未处理问题比例扣减。根据抽查情况赋分。</w:t>
            </w:r>
          </w:p>
        </w:tc>
        <w:tc>
          <w:tcPr>
            <w:tcW w:w="7165" w:type="dxa"/>
            <w:tcBorders>
              <w:top w:val="nil"/>
              <w:left w:val="nil"/>
              <w:bottom w:val="single" w:color="auto" w:sz="4" w:space="0"/>
              <w:right w:val="single" w:color="auto" w:sz="4" w:space="0"/>
            </w:tcBorders>
            <w:shd w:val="clear" w:color="auto" w:fill="auto"/>
            <w:vAlign w:val="center"/>
          </w:tcPr>
          <w:p w14:paraId="20C0A6A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1.定期开展项目实施和资金支出进度等跟踪督促情况，落实到位的得2分，未完全落实到位的酌情扣分；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2.跟踪督促及各类检查发现问题整改到位情况，满分5分，根据未整改问题比例扣减；</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3.全国12317防止返贫监测和乡村振兴咨询服务平台（简称12317平台）反馈问题处理情况，满分1分。</w:t>
            </w:r>
          </w:p>
        </w:tc>
      </w:tr>
      <w:tr w14:paraId="105F081C">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C1A503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995" w:type="dxa"/>
            <w:vMerge w:val="continue"/>
            <w:tcBorders>
              <w:top w:val="nil"/>
              <w:left w:val="single" w:color="auto" w:sz="4" w:space="0"/>
              <w:bottom w:val="single" w:color="auto" w:sz="4" w:space="0"/>
              <w:right w:val="single" w:color="auto" w:sz="4" w:space="0"/>
            </w:tcBorders>
            <w:vAlign w:val="center"/>
          </w:tcPr>
          <w:p w14:paraId="52B70691">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699E115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账务处理及档案管理等情况</w:t>
            </w:r>
          </w:p>
        </w:tc>
        <w:tc>
          <w:tcPr>
            <w:tcW w:w="566" w:type="dxa"/>
            <w:tcBorders>
              <w:top w:val="nil"/>
              <w:left w:val="nil"/>
              <w:bottom w:val="single" w:color="auto" w:sz="4" w:space="0"/>
              <w:right w:val="single" w:color="auto" w:sz="4" w:space="0"/>
            </w:tcBorders>
            <w:shd w:val="clear" w:color="auto" w:fill="auto"/>
            <w:noWrap/>
            <w:vAlign w:val="center"/>
          </w:tcPr>
          <w:p w14:paraId="5511A6C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7F6D650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评价账务处理，资产转固，收益管理、档案管理等情况。根据抽查情况赋分。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71C6F74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1.财务处理是否规范，原始凭证是否齐全，建成资产是否及时转固、收益管理是否合规；（4分）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2.档案管理是否完整、合规、真实。（1分）</w:t>
            </w:r>
          </w:p>
        </w:tc>
      </w:tr>
      <w:tr w14:paraId="1B59F70D">
        <w:tblPrEx>
          <w:tblCellMar>
            <w:top w:w="0" w:type="dxa"/>
            <w:left w:w="108" w:type="dxa"/>
            <w:bottom w:w="0" w:type="dxa"/>
            <w:right w:w="108" w:type="dxa"/>
          </w:tblCellMar>
        </w:tblPrEx>
        <w:trPr>
          <w:cantSplit/>
          <w:trHeight w:val="115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692323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995" w:type="dxa"/>
            <w:vMerge w:val="continue"/>
            <w:tcBorders>
              <w:top w:val="nil"/>
              <w:left w:val="single" w:color="auto" w:sz="4" w:space="0"/>
              <w:bottom w:val="single" w:color="auto" w:sz="4" w:space="0"/>
              <w:right w:val="single" w:color="auto" w:sz="4" w:space="0"/>
            </w:tcBorders>
            <w:vAlign w:val="center"/>
          </w:tcPr>
          <w:p w14:paraId="01CAB5A3">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7B87C35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信息公开和公告公示制度落实情况</w:t>
            </w:r>
          </w:p>
        </w:tc>
        <w:tc>
          <w:tcPr>
            <w:tcW w:w="566" w:type="dxa"/>
            <w:tcBorders>
              <w:top w:val="nil"/>
              <w:left w:val="nil"/>
              <w:bottom w:val="single" w:color="auto" w:sz="4" w:space="0"/>
              <w:right w:val="single" w:color="auto" w:sz="4" w:space="0"/>
            </w:tcBorders>
            <w:shd w:val="clear" w:color="auto" w:fill="auto"/>
            <w:noWrap/>
            <w:vAlign w:val="center"/>
          </w:tcPr>
          <w:p w14:paraId="4B7C89B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3971" w:type="dxa"/>
            <w:tcBorders>
              <w:top w:val="nil"/>
              <w:left w:val="nil"/>
              <w:bottom w:val="single" w:color="auto" w:sz="4" w:space="0"/>
              <w:right w:val="single" w:color="auto" w:sz="4" w:space="0"/>
            </w:tcBorders>
            <w:shd w:val="clear" w:color="auto" w:fill="auto"/>
            <w:vAlign w:val="center"/>
          </w:tcPr>
          <w:p w14:paraId="30104C8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4D794DC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分区级、镇级、村级进行评价。</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1.抽查区级公示公开情况，满分3分，未完整公开酌情扣分；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2.抽查镇级公示公开情况，满分3分，未完整公开酌情扣分；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3.抽查村级公示公开情况，满分3分，未完整公开酌情扣分。</w:t>
            </w:r>
          </w:p>
        </w:tc>
      </w:tr>
      <w:tr w14:paraId="3FCF090E">
        <w:tblPrEx>
          <w:tblCellMar>
            <w:top w:w="0" w:type="dxa"/>
            <w:left w:w="108" w:type="dxa"/>
            <w:bottom w:w="0" w:type="dxa"/>
            <w:right w:w="108" w:type="dxa"/>
          </w:tblCellMar>
        </w:tblPrEx>
        <w:trPr>
          <w:cantSplit/>
          <w:trHeight w:val="16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31EE74D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0E694A9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使用成效及通报情况（40分）</w:t>
            </w:r>
          </w:p>
        </w:tc>
        <w:tc>
          <w:tcPr>
            <w:tcW w:w="995" w:type="dxa"/>
            <w:tcBorders>
              <w:top w:val="nil"/>
              <w:left w:val="nil"/>
              <w:bottom w:val="single" w:color="auto" w:sz="4" w:space="0"/>
              <w:right w:val="single" w:color="auto" w:sz="4" w:space="0"/>
            </w:tcBorders>
            <w:shd w:val="clear" w:color="auto" w:fill="auto"/>
            <w:vAlign w:val="center"/>
          </w:tcPr>
          <w:p w14:paraId="4C2B634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资金使用效益</w:t>
            </w:r>
          </w:p>
        </w:tc>
        <w:tc>
          <w:tcPr>
            <w:tcW w:w="566" w:type="dxa"/>
            <w:tcBorders>
              <w:top w:val="nil"/>
              <w:left w:val="nil"/>
              <w:bottom w:val="single" w:color="auto" w:sz="4" w:space="0"/>
              <w:right w:val="single" w:color="auto" w:sz="4" w:space="0"/>
            </w:tcBorders>
            <w:shd w:val="clear" w:color="auto" w:fill="auto"/>
            <w:noWrap/>
            <w:vAlign w:val="center"/>
          </w:tcPr>
          <w:p w14:paraId="7F90B8C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35</w:t>
            </w:r>
          </w:p>
        </w:tc>
        <w:tc>
          <w:tcPr>
            <w:tcW w:w="3971" w:type="dxa"/>
            <w:tcBorders>
              <w:top w:val="nil"/>
              <w:left w:val="nil"/>
              <w:bottom w:val="single" w:color="auto" w:sz="4" w:space="0"/>
              <w:right w:val="single" w:color="auto" w:sz="4" w:space="0"/>
            </w:tcBorders>
            <w:shd w:val="clear" w:color="auto" w:fill="auto"/>
            <w:vAlign w:val="center"/>
          </w:tcPr>
          <w:p w14:paraId="6FE0ED2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评价项目是否达到预期成效，后续管护是否存在问题等。根据抽查情况赋分。</w:t>
            </w:r>
          </w:p>
        </w:tc>
        <w:tc>
          <w:tcPr>
            <w:tcW w:w="7165" w:type="dxa"/>
            <w:tcBorders>
              <w:top w:val="nil"/>
              <w:left w:val="nil"/>
              <w:bottom w:val="single" w:color="auto" w:sz="4" w:space="0"/>
              <w:right w:val="single" w:color="auto" w:sz="4" w:space="0"/>
            </w:tcBorders>
            <w:shd w:val="clear" w:color="auto" w:fill="auto"/>
            <w:vAlign w:val="center"/>
          </w:tcPr>
          <w:p w14:paraId="2DB897F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满分35分，根据抽查项目情况赋分。项目管理各环节，每存在一例不符合相关规定的，扣0.5分，扣完为止。</w:t>
            </w:r>
          </w:p>
        </w:tc>
      </w:tr>
      <w:tr w14:paraId="2D59BE73">
        <w:tblPrEx>
          <w:tblCellMar>
            <w:top w:w="0" w:type="dxa"/>
            <w:left w:w="108" w:type="dxa"/>
            <w:bottom w:w="0" w:type="dxa"/>
            <w:right w:w="108" w:type="dxa"/>
          </w:tblCellMar>
        </w:tblPrEx>
        <w:trPr>
          <w:cantSplit/>
          <w:trHeight w:val="767"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E1E61B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11</w:t>
            </w:r>
          </w:p>
        </w:tc>
        <w:tc>
          <w:tcPr>
            <w:tcW w:w="995" w:type="dxa"/>
            <w:vMerge w:val="continue"/>
            <w:tcBorders>
              <w:top w:val="nil"/>
              <w:left w:val="single" w:color="auto" w:sz="4" w:space="0"/>
              <w:bottom w:val="single" w:color="auto" w:sz="4" w:space="0"/>
              <w:right w:val="single" w:color="auto" w:sz="4" w:space="0"/>
            </w:tcBorders>
            <w:vAlign w:val="center"/>
          </w:tcPr>
          <w:p w14:paraId="5D9553FE">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565949A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通报情况</w:t>
            </w:r>
          </w:p>
        </w:tc>
        <w:tc>
          <w:tcPr>
            <w:tcW w:w="566" w:type="dxa"/>
            <w:tcBorders>
              <w:top w:val="nil"/>
              <w:left w:val="nil"/>
              <w:bottom w:val="single" w:color="auto" w:sz="4" w:space="0"/>
              <w:right w:val="single" w:color="auto" w:sz="4" w:space="0"/>
            </w:tcBorders>
            <w:shd w:val="clear" w:color="auto" w:fill="auto"/>
            <w:vAlign w:val="center"/>
          </w:tcPr>
          <w:p w14:paraId="1295B77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76B49E1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评价日常表现情况。</w:t>
            </w:r>
          </w:p>
        </w:tc>
        <w:tc>
          <w:tcPr>
            <w:tcW w:w="7165" w:type="dxa"/>
            <w:tcBorders>
              <w:top w:val="nil"/>
              <w:left w:val="nil"/>
              <w:bottom w:val="single" w:color="auto" w:sz="4" w:space="0"/>
              <w:right w:val="single" w:color="auto" w:sz="4" w:space="0"/>
            </w:tcBorders>
            <w:shd w:val="clear" w:color="auto" w:fill="auto"/>
            <w:vAlign w:val="center"/>
          </w:tcPr>
          <w:p w14:paraId="48FFC3B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626E3EA0">
        <w:tblPrEx>
          <w:tblCellMar>
            <w:top w:w="0" w:type="dxa"/>
            <w:left w:w="108" w:type="dxa"/>
            <w:bottom w:w="0" w:type="dxa"/>
            <w:right w:w="108" w:type="dxa"/>
          </w:tblCellMar>
        </w:tblPrEx>
        <w:trPr>
          <w:cantSplit/>
          <w:trHeight w:val="90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90ECC8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995" w:type="dxa"/>
            <w:vMerge w:val="restart"/>
            <w:tcBorders>
              <w:top w:val="nil"/>
              <w:left w:val="single" w:color="auto" w:sz="4" w:space="0"/>
              <w:bottom w:val="single" w:color="000000" w:sz="4" w:space="0"/>
              <w:right w:val="single" w:color="auto" w:sz="4" w:space="0"/>
            </w:tcBorders>
            <w:shd w:val="clear" w:color="auto" w:fill="auto"/>
            <w:vAlign w:val="center"/>
          </w:tcPr>
          <w:p w14:paraId="0999FD2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加减分指标</w:t>
            </w:r>
          </w:p>
        </w:tc>
        <w:tc>
          <w:tcPr>
            <w:tcW w:w="995" w:type="dxa"/>
            <w:tcBorders>
              <w:top w:val="nil"/>
              <w:left w:val="nil"/>
              <w:bottom w:val="single" w:color="auto" w:sz="4" w:space="0"/>
              <w:right w:val="single" w:color="auto" w:sz="4" w:space="0"/>
            </w:tcBorders>
            <w:shd w:val="clear" w:color="auto" w:fill="auto"/>
            <w:vAlign w:val="center"/>
          </w:tcPr>
          <w:p w14:paraId="06D4E0F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加分项</w:t>
            </w:r>
          </w:p>
        </w:tc>
        <w:tc>
          <w:tcPr>
            <w:tcW w:w="566" w:type="dxa"/>
            <w:tcBorders>
              <w:top w:val="nil"/>
              <w:left w:val="nil"/>
              <w:bottom w:val="single" w:color="auto" w:sz="4" w:space="0"/>
              <w:right w:val="single" w:color="auto" w:sz="4" w:space="0"/>
            </w:tcBorders>
            <w:shd w:val="clear" w:color="auto" w:fill="auto"/>
            <w:vAlign w:val="center"/>
          </w:tcPr>
          <w:p w14:paraId="50B2D8B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3EAA05B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评价机制创新情况。最高加5分。</w:t>
            </w:r>
          </w:p>
        </w:tc>
        <w:tc>
          <w:tcPr>
            <w:tcW w:w="7165" w:type="dxa"/>
            <w:tcBorders>
              <w:top w:val="nil"/>
              <w:left w:val="nil"/>
              <w:bottom w:val="single" w:color="auto" w:sz="4" w:space="0"/>
              <w:right w:val="single" w:color="auto" w:sz="4" w:space="0"/>
            </w:tcBorders>
            <w:shd w:val="clear" w:color="auto" w:fill="auto"/>
            <w:vAlign w:val="center"/>
          </w:tcPr>
          <w:p w14:paraId="0FCAFB4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1.在财政衔接资金分配、使用、监管等方面存在机制创新；（2分）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6C834ECA">
        <w:tblPrEx>
          <w:tblCellMar>
            <w:top w:w="0" w:type="dxa"/>
            <w:left w:w="108" w:type="dxa"/>
            <w:bottom w:w="0" w:type="dxa"/>
            <w:right w:w="108" w:type="dxa"/>
          </w:tblCellMar>
        </w:tblPrEx>
        <w:trPr>
          <w:cantSplit/>
          <w:trHeight w:val="816"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347AE8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13</w:t>
            </w:r>
          </w:p>
        </w:tc>
        <w:tc>
          <w:tcPr>
            <w:tcW w:w="995" w:type="dxa"/>
            <w:vMerge w:val="continue"/>
            <w:tcBorders>
              <w:top w:val="nil"/>
              <w:left w:val="single" w:color="auto" w:sz="4" w:space="0"/>
              <w:bottom w:val="single" w:color="000000" w:sz="4" w:space="0"/>
              <w:right w:val="single" w:color="auto" w:sz="4" w:space="0"/>
            </w:tcBorders>
            <w:vAlign w:val="center"/>
          </w:tcPr>
          <w:p w14:paraId="75B01BD5">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5A5B42C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扣分项</w:t>
            </w:r>
          </w:p>
        </w:tc>
        <w:tc>
          <w:tcPr>
            <w:tcW w:w="566" w:type="dxa"/>
            <w:tcBorders>
              <w:top w:val="nil"/>
              <w:left w:val="nil"/>
              <w:bottom w:val="single" w:color="auto" w:sz="4" w:space="0"/>
              <w:right w:val="single" w:color="auto" w:sz="4" w:space="0"/>
            </w:tcBorders>
            <w:shd w:val="clear" w:color="auto" w:fill="auto"/>
            <w:vAlign w:val="center"/>
          </w:tcPr>
          <w:p w14:paraId="6E90786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nil"/>
              <w:left w:val="nil"/>
              <w:bottom w:val="single" w:color="auto" w:sz="4" w:space="0"/>
              <w:right w:val="single" w:color="auto" w:sz="4" w:space="0"/>
            </w:tcBorders>
            <w:shd w:val="clear" w:color="auto" w:fill="auto"/>
            <w:vAlign w:val="center"/>
          </w:tcPr>
          <w:p w14:paraId="5872817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反映提供材料的真实性，有效性以及相关工作合法合规情况。（用于负面清单事项）</w:t>
            </w:r>
          </w:p>
        </w:tc>
        <w:tc>
          <w:tcPr>
            <w:tcW w:w="7165" w:type="dxa"/>
            <w:tcBorders>
              <w:top w:val="nil"/>
              <w:left w:val="nil"/>
              <w:bottom w:val="single" w:color="auto" w:sz="4" w:space="0"/>
              <w:right w:val="single" w:color="auto" w:sz="4" w:space="0"/>
            </w:tcBorders>
            <w:shd w:val="clear" w:color="auto" w:fill="auto"/>
            <w:vAlign w:val="center"/>
          </w:tcPr>
          <w:p w14:paraId="2B8F87F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考核材料、数据中存在虚假信息的，或经有关部门监督检查发现问题的，视情节严重程度扣1-10分。</w:t>
            </w:r>
          </w:p>
        </w:tc>
      </w:tr>
    </w:tbl>
    <w:p w14:paraId="1EC150B1">
      <w:pPr>
        <w:rPr>
          <w:rFonts w:ascii="Arial Narrow" w:hAnsi="Arial Narrow" w:eastAsia="仿宋_GB2312" w:cs="宋体"/>
          <w:kern w:val="0"/>
          <w:sz w:val="24"/>
        </w:rPr>
      </w:pPr>
    </w:p>
    <w:p w14:paraId="7080F8D6">
      <w:pPr>
        <w:rPr>
          <w:rFonts w:ascii="Arial Narrow" w:hAnsi="Arial Narrow" w:eastAsia="仿宋_GB2312" w:cs="宋体"/>
          <w:kern w:val="0"/>
          <w:sz w:val="24"/>
        </w:rPr>
        <w:sectPr>
          <w:pgSz w:w="16840" w:h="11907" w:orient="landscape"/>
          <w:pgMar w:top="1418" w:right="1134" w:bottom="1134" w:left="1418" w:header="851" w:footer="851" w:gutter="0"/>
          <w:cols w:space="425" w:num="1"/>
          <w:docGrid w:linePitch="312" w:charSpace="0"/>
        </w:sectPr>
      </w:pPr>
    </w:p>
    <w:p w14:paraId="6E45EE23">
      <w:pPr>
        <w:spacing w:before="120" w:beforeLines="50" w:line="360" w:lineRule="auto"/>
        <w:ind w:firstLine="482" w:firstLineChars="200"/>
        <w:jc w:val="left"/>
        <w:outlineLvl w:val="0"/>
        <w:rPr>
          <w:rFonts w:ascii="Arial Narrow" w:hAnsi="Arial Narrow" w:eastAsia="仿宋_GB2312"/>
          <w:b/>
          <w:sz w:val="24"/>
        </w:rPr>
      </w:pPr>
      <w:bookmarkStart w:id="15" w:name="_Toc11580"/>
      <w:r>
        <w:rPr>
          <w:rFonts w:ascii="Arial Narrow" w:hAnsi="Arial Narrow" w:eastAsia="仿宋_GB2312"/>
          <w:b/>
          <w:sz w:val="24"/>
        </w:rPr>
        <w:t>（五）绩效评价标准和评价方法</w:t>
      </w:r>
      <w:bookmarkEnd w:id="15"/>
    </w:p>
    <w:p w14:paraId="2968CF99">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eastAsia="zh-CN"/>
        </w:rPr>
        <w:t>.</w:t>
      </w:r>
      <w:r>
        <w:rPr>
          <w:rFonts w:ascii="Arial Narrow" w:hAnsi="Arial Narrow" w:eastAsia="仿宋_GB2312"/>
          <w:color w:val="auto"/>
        </w:rPr>
        <w:t>绩效评价标准</w:t>
      </w:r>
    </w:p>
    <w:p w14:paraId="4993D26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30ABC14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349B0A0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eastAsia="zh-CN"/>
        </w:rPr>
        <w:t>.</w:t>
      </w:r>
      <w:r>
        <w:rPr>
          <w:rFonts w:ascii="Arial Narrow" w:hAnsi="Arial Narrow" w:eastAsia="仿宋_GB2312"/>
          <w:color w:val="auto"/>
        </w:rPr>
        <w:t>绩效评价方法</w:t>
      </w:r>
    </w:p>
    <w:p w14:paraId="1F097F7A">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5FD8D48B">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513152F5">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71684ABB">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5603B1DB">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7916B88E">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5123B1BB">
      <w:pPr>
        <w:spacing w:line="360" w:lineRule="auto"/>
        <w:ind w:firstLine="482" w:firstLineChars="200"/>
        <w:jc w:val="left"/>
        <w:outlineLvl w:val="0"/>
        <w:rPr>
          <w:rFonts w:ascii="Arial Narrow" w:hAnsi="Arial Narrow" w:eastAsia="仿宋_GB2312"/>
          <w:b/>
          <w:sz w:val="24"/>
        </w:rPr>
      </w:pPr>
      <w:bookmarkStart w:id="18" w:name="_Toc437528932"/>
      <w:bookmarkStart w:id="19" w:name="_Toc2702"/>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1473E7E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hint="eastAsia" w:ascii="Arial Narrow" w:hAnsi="Arial Narrow" w:eastAsia="仿宋_GB2312"/>
          <w:color w:val="auto"/>
          <w:lang w:eastAsia="zh-CN"/>
        </w:rPr>
        <w:t>.</w:t>
      </w:r>
      <w:r>
        <w:rPr>
          <w:rFonts w:hint="eastAsia" w:ascii="Arial Narrow" w:hAnsi="Arial Narrow" w:eastAsia="仿宋_GB2312"/>
          <w:color w:val="auto"/>
        </w:rPr>
        <w:t>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60ECB0F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根据项目实际情况收集项目基础资料及数据深入了解项目整体情况。</w:t>
      </w:r>
    </w:p>
    <w:p w14:paraId="5000BBC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eastAsia="zh-CN"/>
        </w:rPr>
        <w:t>.</w:t>
      </w:r>
      <w:r>
        <w:rPr>
          <w:rFonts w:hint="eastAsia" w:ascii="Arial Narrow" w:hAnsi="Arial Narrow" w:eastAsia="仿宋_GB2312"/>
          <w:color w:val="auto"/>
        </w:rPr>
        <w:t>组织实施现场调查、检查、走访等具体工作。</w:t>
      </w:r>
    </w:p>
    <w:p w14:paraId="0DB87247">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eastAsia="zh-CN"/>
        </w:rPr>
        <w:t>.</w:t>
      </w:r>
      <w:r>
        <w:rPr>
          <w:rFonts w:hint="eastAsia" w:ascii="Arial Narrow" w:hAnsi="Arial Narrow" w:eastAsia="仿宋_GB2312"/>
          <w:color w:val="auto"/>
        </w:rPr>
        <w:t>依据收集到的项目相关资料和数据，比照经贵单位审定的评价指标体系的评分标准，分别对项目评价打分，汇总后加权平均形成综合评价得分，并对该项目的绩效评价等级进行确认。</w:t>
      </w:r>
    </w:p>
    <w:p w14:paraId="013D4861">
      <w:pPr>
        <w:spacing w:line="360" w:lineRule="auto"/>
        <w:ind w:firstLine="482" w:firstLineChars="200"/>
        <w:jc w:val="left"/>
        <w:outlineLvl w:val="0"/>
        <w:rPr>
          <w:rFonts w:ascii="Arial Narrow" w:hAnsi="Arial Narrow" w:eastAsia="仿宋_GB2312"/>
          <w:b/>
          <w:sz w:val="24"/>
        </w:rPr>
      </w:pPr>
      <w:bookmarkStart w:id="20" w:name="_Toc437528933"/>
      <w:bookmarkStart w:id="21" w:name="_Toc25237"/>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0A1535B3">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公益性岗位项目</w:t>
      </w:r>
      <w:r>
        <w:rPr>
          <w:rFonts w:hint="eastAsia" w:ascii="Arial Narrow" w:hAnsi="Arial Narrow" w:eastAsia="仿宋_GB2312"/>
          <w:sz w:val="24"/>
        </w:rPr>
        <w:t>绩效评价得分</w:t>
      </w:r>
      <w:r>
        <w:rPr>
          <w:rFonts w:hint="eastAsia" w:ascii="Arial Narrow" w:hAnsi="Arial Narrow" w:eastAsia="仿宋_GB2312" w:cs="宋体"/>
          <w:kern w:val="0"/>
          <w:sz w:val="24"/>
        </w:rPr>
        <w:t>97.00</w:t>
      </w:r>
      <w:r>
        <w:rPr>
          <w:rFonts w:hint="eastAsia" w:ascii="Arial Narrow" w:hAnsi="Arial Narrow" w:eastAsia="仿宋_GB2312"/>
          <w:sz w:val="24"/>
        </w:rPr>
        <w:t>分，</w:t>
      </w:r>
      <w:r>
        <w:rPr>
          <w:rFonts w:ascii="Arial Narrow" w:hAnsi="Arial Narrow" w:eastAsia="仿宋_GB2312"/>
          <w:sz w:val="24"/>
        </w:rPr>
        <w:t>绩效评价等级为：</w:t>
      </w:r>
      <w:r>
        <w:rPr>
          <w:rFonts w:hint="eastAsia" w:ascii="Arial Narrow" w:hAnsi="Arial Narrow" w:eastAsia="仿宋_GB2312"/>
          <w:sz w:val="24"/>
        </w:rPr>
        <w:t>优。</w:t>
      </w:r>
    </w:p>
    <w:p w14:paraId="384BE2B9">
      <w:pPr>
        <w:spacing w:line="360" w:lineRule="auto"/>
        <w:ind w:firstLine="482" w:firstLineChars="200"/>
        <w:outlineLvl w:val="0"/>
        <w:rPr>
          <w:rFonts w:ascii="Arial Narrow" w:hAnsi="Arial Narrow" w:eastAsia="仿宋_GB2312"/>
          <w:b/>
          <w:sz w:val="24"/>
        </w:rPr>
      </w:pPr>
      <w:bookmarkStart w:id="22" w:name="_Toc3263"/>
      <w:r>
        <w:rPr>
          <w:rFonts w:hint="eastAsia" w:ascii="Arial Narrow" w:hAnsi="Arial Narrow" w:eastAsia="仿宋_GB2312"/>
          <w:b/>
          <w:sz w:val="24"/>
        </w:rPr>
        <w:t>四、</w:t>
      </w:r>
      <w:r>
        <w:rPr>
          <w:rFonts w:ascii="Arial Narrow" w:hAnsi="Arial Narrow" w:eastAsia="仿宋_GB2312"/>
          <w:b/>
          <w:sz w:val="24"/>
        </w:rPr>
        <w:t>综合评价情况</w:t>
      </w:r>
      <w:bookmarkEnd w:id="22"/>
    </w:p>
    <w:p w14:paraId="13085429">
      <w:pPr>
        <w:spacing w:line="360" w:lineRule="auto"/>
        <w:ind w:firstLine="482" w:firstLineChars="200"/>
        <w:jc w:val="left"/>
        <w:outlineLvl w:val="0"/>
        <w:rPr>
          <w:rFonts w:ascii="仿宋_GB2312" w:eastAsia="仿宋_GB2312"/>
          <w:b/>
          <w:sz w:val="24"/>
        </w:rPr>
      </w:pPr>
      <w:bookmarkStart w:id="23" w:name="_Toc12528"/>
      <w:r>
        <w:rPr>
          <w:rFonts w:hint="eastAsia" w:ascii="仿宋_GB2312" w:eastAsia="仿宋_GB2312"/>
          <w:b/>
          <w:sz w:val="24"/>
        </w:rPr>
        <w:t>（一）资金管理</w:t>
      </w:r>
      <w:bookmarkEnd w:id="23"/>
    </w:p>
    <w:p w14:paraId="5F97D7D9">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eastAsia="zh-CN"/>
        </w:rPr>
        <w:t>.</w:t>
      </w:r>
      <w:r>
        <w:rPr>
          <w:rStyle w:val="11"/>
          <w:rFonts w:hint="eastAsia" w:ascii="Arial Narrow" w:hAnsi="Arial Narrow" w:eastAsia="仿宋_GB2312"/>
          <w:color w:val="auto"/>
          <w:sz w:val="24"/>
          <w:u w:val="none"/>
        </w:rPr>
        <w:t>财政衔接资金安排情况</w:t>
      </w:r>
    </w:p>
    <w:p w14:paraId="06AA4A0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w:t>
      </w:r>
      <w:r>
        <w:rPr>
          <w:rFonts w:hint="eastAsia" w:ascii="Arial Narrow" w:hAnsi="Arial Narrow" w:eastAsia="仿宋_GB2312"/>
          <w:sz w:val="24"/>
          <w:lang w:val="en-US" w:eastAsia="zh-CN"/>
        </w:rPr>
        <w:t>号</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5C9A1A2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eastAsia="zh-CN"/>
        </w:rPr>
        <w:t>.</w:t>
      </w:r>
      <w:r>
        <w:rPr>
          <w:rFonts w:hint="eastAsia" w:ascii="Arial Narrow" w:hAnsi="Arial Narrow" w:eastAsia="仿宋_GB2312"/>
          <w:sz w:val="24"/>
        </w:rPr>
        <w:t>资金分解下达进度</w:t>
      </w:r>
    </w:p>
    <w:p w14:paraId="62DBE34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区财政局于2023年2月16日发布《重庆市铜梁区财政局关于下达2023年区级财政衔接推进乡村振兴补助资金预算的通知》（铜财〔2023〕46号），业务主管部门于2023年4月10日发布《关于下达2023年区级财政衔接推进乡村振兴补助资金项目安排计划的通知》（铜委农办〔2023〕3号），区财政局下达资金文件时间到区级业务主管部门下达项目及资金计划文件时间间隔大于30日。</w:t>
      </w:r>
    </w:p>
    <w:p w14:paraId="3E112CF9">
      <w:pPr>
        <w:spacing w:line="360" w:lineRule="auto"/>
        <w:ind w:firstLine="482" w:firstLineChars="200"/>
        <w:jc w:val="left"/>
        <w:outlineLvl w:val="0"/>
        <w:rPr>
          <w:rFonts w:ascii="仿宋_GB2312" w:eastAsia="仿宋_GB2312"/>
          <w:b/>
          <w:sz w:val="24"/>
        </w:rPr>
      </w:pPr>
      <w:bookmarkStart w:id="24" w:name="_Toc28666"/>
      <w:r>
        <w:rPr>
          <w:rFonts w:hint="eastAsia" w:ascii="仿宋_GB2312" w:eastAsia="仿宋_GB2312"/>
          <w:b/>
          <w:sz w:val="24"/>
        </w:rPr>
        <w:t>（二）项目管理</w:t>
      </w:r>
      <w:bookmarkEnd w:id="24"/>
    </w:p>
    <w:p w14:paraId="7F3F1904">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eastAsia="zh-CN"/>
        </w:rPr>
        <w:t>.</w:t>
      </w:r>
      <w:r>
        <w:rPr>
          <w:rFonts w:hint="eastAsia" w:ascii="Arial Narrow" w:hAnsi="Arial Narrow" w:eastAsia="仿宋_GB2312"/>
          <w:sz w:val="24"/>
        </w:rPr>
        <w:t>项目库建设管理情况</w:t>
      </w:r>
    </w:p>
    <w:p w14:paraId="346EB0B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项目入库及时充分、程序规范、内容完整，制定切合实际的实施方案，具备实施条件，衔接资金未用于项目库之外的项目。</w:t>
      </w:r>
    </w:p>
    <w:p w14:paraId="7092A5C4">
      <w:pPr>
        <w:adjustRightInd w:val="0"/>
        <w:snapToGrid w:val="0"/>
        <w:spacing w:line="360" w:lineRule="auto"/>
        <w:ind w:firstLine="480" w:firstLineChars="200"/>
        <w:rPr>
          <w:rFonts w:ascii="Arial Narrow" w:hAnsi="Arial Narrow" w:eastAsia="仿宋_GB2312"/>
          <w:color w:val="000000" w:themeColor="text1"/>
          <w:sz w:val="24"/>
          <w14:textFill>
            <w14:solidFill>
              <w14:schemeClr w14:val="tx1"/>
            </w14:solidFill>
          </w14:textFill>
        </w:rPr>
      </w:pPr>
      <w:r>
        <w:rPr>
          <w:rFonts w:hint="eastAsia" w:ascii="Arial Narrow" w:hAnsi="Arial Narrow" w:eastAsia="仿宋_GB2312"/>
          <w:color w:val="000000" w:themeColor="text1"/>
          <w:sz w:val="24"/>
          <w14:textFill>
            <w14:solidFill>
              <w14:schemeClr w14:val="tx1"/>
            </w14:solidFill>
          </w14:textFill>
        </w:rPr>
        <w:t>2</w:t>
      </w:r>
      <w:r>
        <w:rPr>
          <w:rFonts w:hint="eastAsia" w:ascii="Arial Narrow" w:hAnsi="Arial Narrow" w:eastAsia="仿宋_GB2312"/>
          <w:color w:val="000000" w:themeColor="text1"/>
          <w:sz w:val="24"/>
          <w:lang w:eastAsia="zh-CN"/>
          <w14:textFill>
            <w14:solidFill>
              <w14:schemeClr w14:val="tx1"/>
            </w14:solidFill>
          </w14:textFill>
        </w:rPr>
        <w:t>.</w:t>
      </w:r>
      <w:r>
        <w:rPr>
          <w:rFonts w:hint="eastAsia" w:ascii="Arial Narrow" w:hAnsi="Arial Narrow" w:eastAsia="仿宋_GB2312"/>
          <w:color w:val="000000" w:themeColor="text1"/>
          <w:sz w:val="24"/>
          <w14:textFill>
            <w14:solidFill>
              <w14:schemeClr w14:val="tx1"/>
            </w14:solidFill>
          </w14:textFill>
        </w:rPr>
        <w:t>项目绩效管理情况</w:t>
      </w:r>
    </w:p>
    <w:p w14:paraId="33CB098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color w:val="000000" w:themeColor="text1"/>
          <w:sz w:val="24"/>
          <w14:textFill>
            <w14:solidFill>
              <w14:schemeClr w14:val="tx1"/>
            </w14:solidFill>
          </w14:textFill>
        </w:rPr>
        <w:t>及时制定了明确的绩效目标，实施过程中对绩效目标进行监控，在项目实施完毕后开展了绩效自评，形成绩效自评表及自评报告。</w:t>
      </w:r>
    </w:p>
    <w:p w14:paraId="1100D69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sz w:val="24"/>
        </w:rPr>
        <w:t>绩效基本达到预期。</w:t>
      </w:r>
    </w:p>
    <w:p w14:paraId="7F37476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ascii="Arial Narrow" w:hAnsi="Arial Narrow" w:eastAsia="仿宋_GB2312"/>
          <w:sz w:val="24"/>
          <w:lang w:eastAsia="zh-CN"/>
        </w:rPr>
        <w:t>.</w:t>
      </w:r>
      <w:r>
        <w:rPr>
          <w:rFonts w:hint="eastAsia" w:ascii="Arial Narrow" w:hAnsi="Arial Narrow" w:eastAsia="仿宋_GB2312"/>
          <w:sz w:val="24"/>
        </w:rPr>
        <w:t>项目建设管理情况</w:t>
      </w:r>
    </w:p>
    <w:p w14:paraId="4A1AF41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公益性岗位项目不涉及项目建设管理。</w:t>
      </w:r>
    </w:p>
    <w:p w14:paraId="2B75269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w:t>
      </w:r>
      <w:r>
        <w:rPr>
          <w:rFonts w:hint="eastAsia" w:ascii="Arial Narrow" w:hAnsi="Arial Narrow" w:eastAsia="仿宋_GB2312"/>
          <w:sz w:val="24"/>
          <w:lang w:eastAsia="zh-CN"/>
        </w:rPr>
        <w:t>.</w:t>
      </w:r>
      <w:r>
        <w:rPr>
          <w:rFonts w:hint="eastAsia" w:ascii="Arial Narrow" w:hAnsi="Arial Narrow" w:eastAsia="仿宋_GB2312"/>
          <w:sz w:val="24"/>
        </w:rPr>
        <w:t>预算执行率情况</w:t>
      </w:r>
    </w:p>
    <w:p w14:paraId="592D041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公益性岗位项目最后一笔款项拨付于2023年12月5日，项目整体支付进度达标，未见明显异常。在10月底的资金预算执行率未达到100%，但在12月中旬的资金预算执行率达到100%，扣2分。</w:t>
      </w:r>
    </w:p>
    <w:p w14:paraId="71CAC25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w:t>
      </w:r>
      <w:r>
        <w:rPr>
          <w:rFonts w:hint="eastAsia" w:ascii="Arial Narrow" w:hAnsi="Arial Narrow" w:eastAsia="仿宋_GB2312"/>
          <w:sz w:val="24"/>
          <w:lang w:eastAsia="zh-CN"/>
        </w:rPr>
        <w:t>.</w:t>
      </w:r>
      <w:r>
        <w:rPr>
          <w:rFonts w:hint="eastAsia" w:ascii="Arial Narrow" w:hAnsi="Arial Narrow" w:eastAsia="仿宋_GB2312"/>
          <w:sz w:val="24"/>
        </w:rPr>
        <w:t>跟踪督促及发现问题整改情况</w:t>
      </w:r>
    </w:p>
    <w:p w14:paraId="23EE1B7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通过实施单位提供的检查表、自评表等资料显示，本项目实施单位定期开展项目实施和资金支出进度等跟踪督促，未发现异常情况。</w:t>
      </w:r>
    </w:p>
    <w:p w14:paraId="6AA2CA4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w:t>
      </w:r>
      <w:r>
        <w:rPr>
          <w:rFonts w:hint="eastAsia" w:ascii="Arial Narrow" w:hAnsi="Arial Narrow" w:eastAsia="仿宋_GB2312"/>
          <w:sz w:val="24"/>
          <w:lang w:eastAsia="zh-CN"/>
        </w:rPr>
        <w:t>.</w:t>
      </w:r>
      <w:r>
        <w:rPr>
          <w:rFonts w:hint="eastAsia" w:ascii="Arial Narrow" w:hAnsi="Arial Narrow" w:eastAsia="仿宋_GB2312"/>
          <w:sz w:val="24"/>
        </w:rPr>
        <w:t>账务处理及档案管理等情况</w:t>
      </w:r>
    </w:p>
    <w:p w14:paraId="3BE9141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本项目实施单位对该项目账务处理规范，档案管理完整。日常档案管理资料整理归档不及时，扣1分。</w:t>
      </w:r>
    </w:p>
    <w:p w14:paraId="555706F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ascii="Arial Narrow" w:hAnsi="Arial Narrow" w:eastAsia="仿宋_GB2312"/>
          <w:sz w:val="24"/>
          <w:lang w:eastAsia="zh-CN"/>
        </w:rPr>
        <w:t>.</w:t>
      </w:r>
      <w:r>
        <w:rPr>
          <w:rFonts w:hint="eastAsia" w:ascii="Arial Narrow" w:hAnsi="Arial Narrow" w:eastAsia="仿宋_GB2312"/>
          <w:sz w:val="24"/>
        </w:rPr>
        <w:t>信息公开和公告公示制度落实情况</w:t>
      </w:r>
    </w:p>
    <w:p w14:paraId="674D515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本项目实施单位</w:t>
      </w:r>
      <w:r>
        <w:rPr>
          <w:rFonts w:hint="eastAsia" w:ascii="Arial Narrow" w:hAnsi="Arial Narrow" w:eastAsia="仿宋_GB2312"/>
          <w:sz w:val="24"/>
        </w:rPr>
        <w:t>对</w:t>
      </w:r>
      <w:r>
        <w:rPr>
          <w:rFonts w:hint="eastAsia" w:ascii="Arial Narrow" w:hAnsi="Arial Narrow" w:eastAsia="仿宋_GB2312" w:cs="宋体"/>
          <w:kern w:val="0"/>
          <w:sz w:val="24"/>
        </w:rPr>
        <w:t>公益性岗位项目</w:t>
      </w:r>
      <w:r>
        <w:rPr>
          <w:rFonts w:hint="eastAsia" w:ascii="Arial Narrow" w:hAnsi="Arial Narrow" w:eastAsia="仿宋_GB2312"/>
          <w:sz w:val="24"/>
        </w:rPr>
        <w:t>进行了资金计划、实施方案、完成情况、年度项目计划、年度项目完成情况等公示，已按文件标准完成公示公告要求。</w:t>
      </w:r>
    </w:p>
    <w:p w14:paraId="3929F536">
      <w:pPr>
        <w:spacing w:line="360" w:lineRule="auto"/>
        <w:ind w:firstLine="482" w:firstLineChars="200"/>
        <w:jc w:val="left"/>
        <w:outlineLvl w:val="0"/>
        <w:rPr>
          <w:rFonts w:ascii="仿宋_GB2312" w:eastAsia="仿宋_GB2312"/>
          <w:b/>
          <w:sz w:val="24"/>
        </w:rPr>
      </w:pPr>
      <w:bookmarkStart w:id="25" w:name="_Toc13559"/>
      <w:r>
        <w:rPr>
          <w:rFonts w:hint="eastAsia" w:ascii="仿宋_GB2312" w:eastAsia="仿宋_GB2312"/>
          <w:b/>
          <w:sz w:val="24"/>
        </w:rPr>
        <w:t>（三）使用成效及通报情况</w:t>
      </w:r>
      <w:bookmarkEnd w:id="25"/>
    </w:p>
    <w:p w14:paraId="093BF486">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eastAsia="zh-CN"/>
        </w:rPr>
        <w:t>.</w:t>
      </w:r>
      <w:r>
        <w:rPr>
          <w:rFonts w:hint="eastAsia" w:ascii="Arial Narrow" w:hAnsi="Arial Narrow" w:eastAsia="仿宋_GB2312"/>
          <w:sz w:val="24"/>
        </w:rPr>
        <w:t>资金使用效益</w:t>
      </w:r>
    </w:p>
    <w:p w14:paraId="59F691F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项目总体资金均专款专用，项目完成进度和及时性达到计划预期目的，完成了绩效目标，已完成管护村社存个数108个，受益脱贫人口数66人，完成聘请</w:t>
      </w:r>
      <w:r>
        <w:rPr>
          <w:rFonts w:hint="eastAsia" w:ascii="Arial Narrow" w:hAnsi="Arial Narrow" w:eastAsia="仿宋_GB2312" w:cs="宋体"/>
          <w:kern w:val="0"/>
          <w:sz w:val="24"/>
        </w:rPr>
        <w:t>公益性护林信息员9人</w:t>
      </w:r>
      <w:r>
        <w:rPr>
          <w:rFonts w:hint="eastAsia" w:ascii="Arial Narrow" w:hAnsi="Arial Narrow" w:eastAsia="仿宋_GB2312"/>
          <w:sz w:val="24"/>
        </w:rPr>
        <w:t>。</w:t>
      </w:r>
    </w:p>
    <w:p w14:paraId="640B2E0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eastAsia="zh-CN"/>
        </w:rPr>
        <w:t>.</w:t>
      </w:r>
      <w:r>
        <w:rPr>
          <w:rFonts w:hint="eastAsia" w:ascii="Arial Narrow" w:hAnsi="Arial Narrow" w:eastAsia="仿宋_GB2312"/>
          <w:sz w:val="24"/>
        </w:rPr>
        <w:t>通报情况</w:t>
      </w:r>
    </w:p>
    <w:p w14:paraId="4B232DA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项目实施管理日常表现良好，未被通报问题和反馈情况。</w:t>
      </w:r>
    </w:p>
    <w:p w14:paraId="34B1B3BF">
      <w:pPr>
        <w:spacing w:line="360" w:lineRule="auto"/>
        <w:ind w:firstLine="482" w:firstLineChars="200"/>
        <w:outlineLvl w:val="0"/>
        <w:rPr>
          <w:rFonts w:ascii="Arial Narrow" w:hAnsi="Arial Narrow" w:eastAsia="仿宋_GB2312"/>
          <w:b/>
          <w:sz w:val="24"/>
        </w:rPr>
      </w:pPr>
      <w:bookmarkStart w:id="26" w:name="_Toc4320"/>
      <w:r>
        <w:rPr>
          <w:rFonts w:hint="eastAsia" w:ascii="Arial Narrow" w:hAnsi="Arial Narrow" w:eastAsia="仿宋_GB2312"/>
          <w:b/>
          <w:sz w:val="24"/>
        </w:rPr>
        <w:t>五</w:t>
      </w:r>
      <w:r>
        <w:rPr>
          <w:rFonts w:ascii="Arial Narrow" w:hAnsi="Arial Narrow" w:eastAsia="仿宋_GB2312"/>
          <w:b/>
          <w:sz w:val="24"/>
        </w:rPr>
        <w:t>、存在的问题和建议</w:t>
      </w:r>
      <w:bookmarkEnd w:id="26"/>
    </w:p>
    <w:p w14:paraId="4347ADF0">
      <w:pPr>
        <w:spacing w:line="360" w:lineRule="auto"/>
        <w:ind w:firstLine="482" w:firstLineChars="200"/>
        <w:jc w:val="left"/>
        <w:outlineLvl w:val="0"/>
        <w:rPr>
          <w:rFonts w:ascii="仿宋_GB2312" w:eastAsia="仿宋_GB2312"/>
          <w:b/>
          <w:sz w:val="24"/>
        </w:rPr>
      </w:pPr>
      <w:bookmarkStart w:id="27" w:name="_Toc10484"/>
      <w:r>
        <w:rPr>
          <w:rFonts w:hint="eastAsia" w:ascii="仿宋_GB2312" w:eastAsia="仿宋_GB2312"/>
          <w:b/>
          <w:sz w:val="24"/>
        </w:rPr>
        <w:t>（一）存在问题</w:t>
      </w:r>
      <w:bookmarkEnd w:id="27"/>
    </w:p>
    <w:p w14:paraId="4D1ED31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日常档案管理资料整理归档不及时。</w:t>
      </w:r>
    </w:p>
    <w:p w14:paraId="172707F8">
      <w:pPr>
        <w:spacing w:line="360" w:lineRule="auto"/>
        <w:ind w:firstLine="482" w:firstLineChars="200"/>
        <w:jc w:val="left"/>
        <w:outlineLvl w:val="0"/>
        <w:rPr>
          <w:rFonts w:ascii="仿宋_GB2312" w:eastAsia="仿宋_GB2312"/>
          <w:b/>
          <w:sz w:val="24"/>
        </w:rPr>
      </w:pPr>
      <w:bookmarkStart w:id="28" w:name="_Toc6139"/>
      <w:r>
        <w:rPr>
          <w:rFonts w:hint="eastAsia" w:ascii="仿宋_GB2312" w:eastAsia="仿宋_GB2312"/>
          <w:b/>
          <w:sz w:val="24"/>
        </w:rPr>
        <w:t>（二）建议</w:t>
      </w:r>
      <w:bookmarkEnd w:id="28"/>
    </w:p>
    <w:p w14:paraId="79D54240">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对项目日常管理资料及时归档整理装订成册或装订成盒。</w:t>
      </w:r>
    </w:p>
    <w:p w14:paraId="19D2B6BB">
      <w:pPr>
        <w:adjustRightInd w:val="0"/>
        <w:snapToGrid w:val="0"/>
        <w:spacing w:line="360" w:lineRule="auto"/>
        <w:ind w:firstLine="480" w:firstLineChars="200"/>
        <w:rPr>
          <w:rStyle w:val="11"/>
          <w:rFonts w:ascii="Arial Narrow" w:hAnsi="Arial Narrow" w:eastAsia="仿宋_GB2312"/>
          <w:color w:val="auto"/>
          <w:sz w:val="24"/>
          <w:u w:val="none"/>
        </w:rPr>
      </w:pPr>
    </w:p>
    <w:p w14:paraId="460D3189">
      <w:pPr>
        <w:adjustRightInd w:val="0"/>
        <w:snapToGrid w:val="0"/>
        <w:spacing w:line="360" w:lineRule="auto"/>
        <w:ind w:firstLine="480" w:firstLineChars="200"/>
        <w:rPr>
          <w:rStyle w:val="11"/>
          <w:rFonts w:ascii="Arial Narrow" w:hAnsi="Arial Narrow" w:eastAsia="仿宋_GB2312"/>
          <w:color w:val="auto"/>
          <w:sz w:val="24"/>
          <w:u w:val="none"/>
        </w:rPr>
      </w:pPr>
    </w:p>
    <w:p w14:paraId="5382026E">
      <w:pPr>
        <w:adjustRightInd w:val="0"/>
        <w:snapToGrid w:val="0"/>
        <w:spacing w:line="360" w:lineRule="auto"/>
        <w:ind w:firstLine="420" w:firstLineChars="200"/>
        <w:rPr>
          <w:rStyle w:val="11"/>
          <w:color w:val="auto"/>
          <w:u w:val="none"/>
        </w:rPr>
      </w:pPr>
    </w:p>
    <w:p w14:paraId="1FF49EDC">
      <w:pPr>
        <w:adjustRightInd w:val="0"/>
        <w:snapToGrid w:val="0"/>
        <w:spacing w:line="360" w:lineRule="auto"/>
        <w:rPr>
          <w:rStyle w:val="11"/>
          <w:rFonts w:ascii="Arial Narrow" w:hAnsi="Arial Narrow" w:eastAsia="仿宋_GB2312"/>
          <w:color w:val="auto"/>
          <w:sz w:val="24"/>
          <w:u w:val="none"/>
        </w:rPr>
      </w:pPr>
      <w:r>
        <w:rPr>
          <w:rStyle w:val="11"/>
          <w:rFonts w:ascii="Arial Narrow" w:hAnsi="Arial Narrow" w:eastAsia="仿宋_GB2312"/>
          <w:color w:val="auto"/>
          <w:sz w:val="24"/>
          <w:u w:val="none"/>
        </w:rPr>
        <w:t>附件：1</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绩效评价指标体系及评分结果表；</w:t>
      </w:r>
    </w:p>
    <w:p w14:paraId="6FACE150">
      <w:pPr>
        <w:adjustRightInd w:val="0"/>
        <w:snapToGrid w:val="0"/>
        <w:spacing w:line="360" w:lineRule="auto"/>
        <w:ind w:firstLine="720" w:firstLineChars="300"/>
        <w:rPr>
          <w:rStyle w:val="11"/>
          <w:rFonts w:ascii="Arial Narrow" w:hAnsi="Arial Narrow" w:eastAsia="仿宋_GB2312"/>
          <w:color w:val="auto"/>
          <w:sz w:val="24"/>
          <w:u w:val="none"/>
        </w:rPr>
      </w:pPr>
      <w:r>
        <w:rPr>
          <w:rStyle w:val="11"/>
          <w:rFonts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会计师事务所营业执照和资质复印件。</w:t>
      </w:r>
    </w:p>
    <w:p w14:paraId="08C5F728">
      <w:pPr>
        <w:adjustRightInd w:val="0"/>
        <w:snapToGrid w:val="0"/>
        <w:spacing w:line="360" w:lineRule="auto"/>
        <w:rPr>
          <w:rStyle w:val="11"/>
          <w:rFonts w:ascii="Arial Narrow" w:hAnsi="Arial Narrow" w:eastAsia="仿宋_GB2312"/>
          <w:color w:val="auto"/>
          <w:sz w:val="24"/>
          <w:u w:val="none"/>
        </w:rPr>
      </w:pPr>
    </w:p>
    <w:p w14:paraId="24AE56A9">
      <w:pPr>
        <w:adjustRightInd w:val="0"/>
        <w:snapToGrid w:val="0"/>
        <w:spacing w:line="360" w:lineRule="auto"/>
        <w:ind w:firstLine="720" w:firstLineChars="300"/>
        <w:rPr>
          <w:rStyle w:val="11"/>
          <w:rFonts w:ascii="Arial Narrow" w:hAnsi="Arial Narrow" w:eastAsia="仿宋_GB2312"/>
          <w:color w:val="auto"/>
          <w:sz w:val="24"/>
          <w:u w:val="none"/>
        </w:rPr>
      </w:pPr>
    </w:p>
    <w:p w14:paraId="649B0F62">
      <w:pPr>
        <w:adjustRightInd w:val="0"/>
        <w:snapToGrid w:val="0"/>
        <w:spacing w:line="360" w:lineRule="auto"/>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 xml:space="preserve"> 重庆铭鸿金全会计师事务所有限责任公司</w:t>
      </w:r>
    </w:p>
    <w:p w14:paraId="00C03642">
      <w:pPr>
        <w:adjustRightInd w:val="0"/>
        <w:snapToGrid w:val="0"/>
        <w:spacing w:line="360" w:lineRule="auto"/>
        <w:ind w:right="960" w:firstLine="4800" w:firstLineChars="2000"/>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二</w:t>
      </w:r>
      <w:r>
        <w:rPr>
          <w:rStyle w:val="11"/>
          <w:rFonts w:hint="eastAsia" w:ascii="Arial Narrow" w:hAnsi="Arial Narrow" w:eastAsia="仿宋_GB2312"/>
          <w:color w:val="auto"/>
          <w:sz w:val="24"/>
          <w:u w:val="none"/>
          <w:lang w:val="en-US" w:eastAsia="zh-CN"/>
        </w:rPr>
        <w:t>〇</w:t>
      </w:r>
      <w:bookmarkStart w:id="29" w:name="_GoBack"/>
      <w:bookmarkEnd w:id="29"/>
      <w:r>
        <w:rPr>
          <w:rStyle w:val="11"/>
          <w:rFonts w:hint="eastAsia" w:ascii="Arial Narrow" w:hAnsi="Arial Narrow" w:eastAsia="仿宋_GB2312"/>
          <w:color w:val="auto"/>
          <w:sz w:val="24"/>
          <w:u w:val="none"/>
        </w:rPr>
        <w:t>二四年六月十四日</w:t>
      </w:r>
    </w:p>
    <w:sectPr>
      <w:pgSz w:w="11907" w:h="16840" w:orient="landscape"/>
      <w:pgMar w:top="1418" w:right="1418"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7B8FD">
    <w:pPr>
      <w:pStyle w:val="5"/>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3B93B">
    <w:pPr>
      <w:pStyle w:val="5"/>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774AD">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065C8"/>
    <w:rsid w:val="0001640C"/>
    <w:rsid w:val="00060BD2"/>
    <w:rsid w:val="00063E0B"/>
    <w:rsid w:val="000769EE"/>
    <w:rsid w:val="00086622"/>
    <w:rsid w:val="00087AFF"/>
    <w:rsid w:val="000D1A3B"/>
    <w:rsid w:val="000E4529"/>
    <w:rsid w:val="000E6A52"/>
    <w:rsid w:val="0010003E"/>
    <w:rsid w:val="00104568"/>
    <w:rsid w:val="00140035"/>
    <w:rsid w:val="00143A99"/>
    <w:rsid w:val="00152152"/>
    <w:rsid w:val="00164C87"/>
    <w:rsid w:val="001A42EB"/>
    <w:rsid w:val="001C6F32"/>
    <w:rsid w:val="001E0132"/>
    <w:rsid w:val="001F3624"/>
    <w:rsid w:val="001F43AE"/>
    <w:rsid w:val="00216472"/>
    <w:rsid w:val="00224D96"/>
    <w:rsid w:val="00226E7E"/>
    <w:rsid w:val="0024139B"/>
    <w:rsid w:val="00276D1C"/>
    <w:rsid w:val="00282997"/>
    <w:rsid w:val="002C083D"/>
    <w:rsid w:val="002C36AE"/>
    <w:rsid w:val="002C5020"/>
    <w:rsid w:val="002C7EFA"/>
    <w:rsid w:val="00324E2F"/>
    <w:rsid w:val="00327BED"/>
    <w:rsid w:val="00331DC5"/>
    <w:rsid w:val="00336ACA"/>
    <w:rsid w:val="0037066E"/>
    <w:rsid w:val="00384C3C"/>
    <w:rsid w:val="003879CE"/>
    <w:rsid w:val="003A00D8"/>
    <w:rsid w:val="003B42BF"/>
    <w:rsid w:val="003F1985"/>
    <w:rsid w:val="00414A58"/>
    <w:rsid w:val="004200C2"/>
    <w:rsid w:val="00420AA7"/>
    <w:rsid w:val="00421C71"/>
    <w:rsid w:val="00470930"/>
    <w:rsid w:val="004A6242"/>
    <w:rsid w:val="004C1F3A"/>
    <w:rsid w:val="004C38B4"/>
    <w:rsid w:val="004D1145"/>
    <w:rsid w:val="004D2A6E"/>
    <w:rsid w:val="004E6833"/>
    <w:rsid w:val="004F7A0F"/>
    <w:rsid w:val="00501A64"/>
    <w:rsid w:val="00506023"/>
    <w:rsid w:val="00536985"/>
    <w:rsid w:val="0055794B"/>
    <w:rsid w:val="005651CB"/>
    <w:rsid w:val="00572DD6"/>
    <w:rsid w:val="005A02C5"/>
    <w:rsid w:val="005A6053"/>
    <w:rsid w:val="005B468B"/>
    <w:rsid w:val="005D6C0A"/>
    <w:rsid w:val="005E133F"/>
    <w:rsid w:val="005E4F21"/>
    <w:rsid w:val="005F01BA"/>
    <w:rsid w:val="0061001E"/>
    <w:rsid w:val="0061417A"/>
    <w:rsid w:val="00655510"/>
    <w:rsid w:val="00667D26"/>
    <w:rsid w:val="00673D65"/>
    <w:rsid w:val="0069678B"/>
    <w:rsid w:val="006A58E0"/>
    <w:rsid w:val="006D14F7"/>
    <w:rsid w:val="006E75D6"/>
    <w:rsid w:val="006E7DA1"/>
    <w:rsid w:val="006F7CBD"/>
    <w:rsid w:val="0073019B"/>
    <w:rsid w:val="00730A8E"/>
    <w:rsid w:val="00740AB7"/>
    <w:rsid w:val="00740E9D"/>
    <w:rsid w:val="00741402"/>
    <w:rsid w:val="00765F46"/>
    <w:rsid w:val="007A6BE6"/>
    <w:rsid w:val="00827385"/>
    <w:rsid w:val="00842151"/>
    <w:rsid w:val="00856815"/>
    <w:rsid w:val="008701B6"/>
    <w:rsid w:val="008952B1"/>
    <w:rsid w:val="008C381D"/>
    <w:rsid w:val="008D4F7C"/>
    <w:rsid w:val="008E609D"/>
    <w:rsid w:val="0090729E"/>
    <w:rsid w:val="009309C0"/>
    <w:rsid w:val="0093667D"/>
    <w:rsid w:val="00950E41"/>
    <w:rsid w:val="00983CB7"/>
    <w:rsid w:val="009957B8"/>
    <w:rsid w:val="0099666C"/>
    <w:rsid w:val="009E4352"/>
    <w:rsid w:val="009F1C42"/>
    <w:rsid w:val="00A066D6"/>
    <w:rsid w:val="00A14650"/>
    <w:rsid w:val="00A352D4"/>
    <w:rsid w:val="00A922C5"/>
    <w:rsid w:val="00A95CA5"/>
    <w:rsid w:val="00AB5FF4"/>
    <w:rsid w:val="00AC3880"/>
    <w:rsid w:val="00AD0284"/>
    <w:rsid w:val="00AE470F"/>
    <w:rsid w:val="00AF58DD"/>
    <w:rsid w:val="00B134A6"/>
    <w:rsid w:val="00B25A79"/>
    <w:rsid w:val="00B7289F"/>
    <w:rsid w:val="00B94CCE"/>
    <w:rsid w:val="00BA0D07"/>
    <w:rsid w:val="00BA212E"/>
    <w:rsid w:val="00BB3674"/>
    <w:rsid w:val="00BC2692"/>
    <w:rsid w:val="00BC7BED"/>
    <w:rsid w:val="00BD6FFD"/>
    <w:rsid w:val="00C02FB6"/>
    <w:rsid w:val="00C107C7"/>
    <w:rsid w:val="00C12443"/>
    <w:rsid w:val="00C35442"/>
    <w:rsid w:val="00C36A73"/>
    <w:rsid w:val="00C60A62"/>
    <w:rsid w:val="00C93C4A"/>
    <w:rsid w:val="00CB54FB"/>
    <w:rsid w:val="00CC769D"/>
    <w:rsid w:val="00CD06CD"/>
    <w:rsid w:val="00D1562E"/>
    <w:rsid w:val="00D254D3"/>
    <w:rsid w:val="00D26E16"/>
    <w:rsid w:val="00D415D5"/>
    <w:rsid w:val="00DB55F0"/>
    <w:rsid w:val="00DC6A4B"/>
    <w:rsid w:val="00DE6E23"/>
    <w:rsid w:val="00DF608E"/>
    <w:rsid w:val="00E065AA"/>
    <w:rsid w:val="00E1059A"/>
    <w:rsid w:val="00E11EFB"/>
    <w:rsid w:val="00E23D6E"/>
    <w:rsid w:val="00E27A95"/>
    <w:rsid w:val="00E509BA"/>
    <w:rsid w:val="00E66C12"/>
    <w:rsid w:val="00E709E2"/>
    <w:rsid w:val="00E80BDA"/>
    <w:rsid w:val="00EA1C10"/>
    <w:rsid w:val="00EB4610"/>
    <w:rsid w:val="00EB474C"/>
    <w:rsid w:val="00ED0A8C"/>
    <w:rsid w:val="00F2011E"/>
    <w:rsid w:val="00F36680"/>
    <w:rsid w:val="00F54C3F"/>
    <w:rsid w:val="00F61D28"/>
    <w:rsid w:val="00F64D50"/>
    <w:rsid w:val="00F6551E"/>
    <w:rsid w:val="00F671F2"/>
    <w:rsid w:val="00F71AE8"/>
    <w:rsid w:val="00F84DF0"/>
    <w:rsid w:val="00FA6718"/>
    <w:rsid w:val="00FD0241"/>
    <w:rsid w:val="00FD1A79"/>
    <w:rsid w:val="00FD5F18"/>
    <w:rsid w:val="00FE1E65"/>
    <w:rsid w:val="00FE5705"/>
    <w:rsid w:val="00FF5AA5"/>
    <w:rsid w:val="02717C9D"/>
    <w:rsid w:val="0C955D75"/>
    <w:rsid w:val="0D286C56"/>
    <w:rsid w:val="10FD0312"/>
    <w:rsid w:val="120E6874"/>
    <w:rsid w:val="143F625E"/>
    <w:rsid w:val="150B53C0"/>
    <w:rsid w:val="1A624D7F"/>
    <w:rsid w:val="1B0C00A2"/>
    <w:rsid w:val="203434DF"/>
    <w:rsid w:val="270731DD"/>
    <w:rsid w:val="357129F4"/>
    <w:rsid w:val="371050B8"/>
    <w:rsid w:val="38963B11"/>
    <w:rsid w:val="3B027CA5"/>
    <w:rsid w:val="4140161B"/>
    <w:rsid w:val="43F33220"/>
    <w:rsid w:val="45947F31"/>
    <w:rsid w:val="47141CD2"/>
    <w:rsid w:val="4947793F"/>
    <w:rsid w:val="4CDB65A8"/>
    <w:rsid w:val="4D833D99"/>
    <w:rsid w:val="4DF1278B"/>
    <w:rsid w:val="55115D7C"/>
    <w:rsid w:val="57CB58C2"/>
    <w:rsid w:val="60087B46"/>
    <w:rsid w:val="601B6E75"/>
    <w:rsid w:val="629B4EDD"/>
    <w:rsid w:val="66606BA5"/>
    <w:rsid w:val="696047F4"/>
    <w:rsid w:val="6C0B491D"/>
    <w:rsid w:val="6C123536"/>
    <w:rsid w:val="6CB03B0B"/>
    <w:rsid w:val="6D6564A1"/>
    <w:rsid w:val="6DAA54AF"/>
    <w:rsid w:val="6EC86FE9"/>
    <w:rsid w:val="703E0550"/>
    <w:rsid w:val="719577D3"/>
    <w:rsid w:val="75AB6268"/>
    <w:rsid w:val="772825AC"/>
    <w:rsid w:val="77833382"/>
    <w:rsid w:val="78C07F99"/>
    <w:rsid w:val="7F2C0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8"/>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DB9B1-6D6E-4F4C-A323-9D17916A5DBF}">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5477</Words>
  <Characters>5831</Characters>
  <Lines>49</Lines>
  <Paragraphs>14</Paragraphs>
  <TotalTime>11</TotalTime>
  <ScaleCrop>false</ScaleCrop>
  <LinksUpToDate>false</LinksUpToDate>
  <CharactersWithSpaces>5860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2024-11-20T01:31:22Z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