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8DF10">
      <w:pPr>
        <w:spacing w:line="360" w:lineRule="auto"/>
        <w:jc w:val="center"/>
        <w:rPr>
          <w:rFonts w:ascii="Arial Narrow" w:hAnsi="Arial Narrow"/>
          <w:b/>
          <w:bCs/>
          <w:sz w:val="36"/>
          <w:szCs w:val="36"/>
        </w:rPr>
      </w:pPr>
    </w:p>
    <w:p w14:paraId="558C85BF">
      <w:pPr>
        <w:spacing w:line="360" w:lineRule="auto"/>
        <w:jc w:val="center"/>
        <w:rPr>
          <w:rFonts w:ascii="Arial Narrow" w:hAnsi="Arial Narrow"/>
          <w:b/>
          <w:bCs/>
          <w:sz w:val="36"/>
          <w:szCs w:val="36"/>
        </w:rPr>
      </w:pPr>
    </w:p>
    <w:p w14:paraId="1368BA23">
      <w:pPr>
        <w:spacing w:line="360" w:lineRule="auto"/>
        <w:jc w:val="center"/>
        <w:rPr>
          <w:rFonts w:ascii="Arial Narrow" w:hAnsi="Arial Narrow"/>
          <w:b/>
          <w:bCs/>
          <w:sz w:val="36"/>
          <w:szCs w:val="36"/>
        </w:rPr>
      </w:pPr>
    </w:p>
    <w:p w14:paraId="46961E82">
      <w:pPr>
        <w:spacing w:line="360" w:lineRule="auto"/>
        <w:jc w:val="center"/>
        <w:rPr>
          <w:rFonts w:ascii="Arial Narrow" w:hAnsi="Arial Narrow"/>
          <w:b/>
          <w:bCs/>
          <w:sz w:val="36"/>
          <w:szCs w:val="36"/>
        </w:rPr>
      </w:pPr>
    </w:p>
    <w:p w14:paraId="3AE29594">
      <w:pPr>
        <w:adjustRightInd w:val="0"/>
        <w:snapToGrid w:val="0"/>
        <w:spacing w:line="360" w:lineRule="auto"/>
        <w:jc w:val="center"/>
        <w:rPr>
          <w:rFonts w:ascii="Arial Narrow" w:hAnsi="Arial Narrow" w:eastAsia="仿宋"/>
          <w:b/>
          <w:sz w:val="36"/>
          <w:szCs w:val="36"/>
        </w:rPr>
      </w:pPr>
      <w:bookmarkStart w:id="0" w:name="_Hlk170289966"/>
      <w:r>
        <w:rPr>
          <w:rFonts w:hint="eastAsia" w:ascii="Arial Narrow" w:hAnsi="Arial Narrow" w:eastAsia="仿宋"/>
          <w:b/>
          <w:sz w:val="36"/>
          <w:szCs w:val="36"/>
        </w:rPr>
        <w:t>重庆市铜梁区</w:t>
      </w:r>
      <w:bookmarkStart w:id="1" w:name="_Hlk170290924"/>
      <w:r>
        <w:rPr>
          <w:rFonts w:hint="eastAsia" w:ascii="Arial Narrow" w:hAnsi="Arial Narrow" w:eastAsia="仿宋"/>
          <w:b/>
          <w:sz w:val="36"/>
          <w:szCs w:val="36"/>
        </w:rPr>
        <w:t>城市管理局</w:t>
      </w:r>
      <w:bookmarkEnd w:id="0"/>
      <w:bookmarkEnd w:id="1"/>
      <w:r>
        <w:rPr>
          <w:rFonts w:hint="eastAsia" w:ascii="Arial Narrow" w:hAnsi="Arial Narrow" w:eastAsia="仿宋"/>
          <w:b/>
          <w:sz w:val="36"/>
          <w:szCs w:val="36"/>
        </w:rPr>
        <w:t>公益性岗位项目</w:t>
      </w:r>
    </w:p>
    <w:p w14:paraId="34C49011">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5E9484B1">
      <w:pPr>
        <w:adjustRightInd w:val="0"/>
        <w:snapToGrid w:val="0"/>
        <w:spacing w:line="360" w:lineRule="auto"/>
        <w:jc w:val="center"/>
        <w:rPr>
          <w:rFonts w:ascii="Arial Narrow" w:hAnsi="Arial Narrow"/>
          <w:b/>
          <w:sz w:val="36"/>
          <w:szCs w:val="36"/>
        </w:rPr>
      </w:pPr>
    </w:p>
    <w:p w14:paraId="5E055B18">
      <w:pPr>
        <w:adjustRightInd w:val="0"/>
        <w:snapToGrid w:val="0"/>
        <w:spacing w:line="360" w:lineRule="auto"/>
        <w:jc w:val="center"/>
        <w:rPr>
          <w:rFonts w:ascii="Arial Narrow" w:hAnsi="Arial Narrow"/>
          <w:b/>
          <w:spacing w:val="100"/>
          <w:sz w:val="32"/>
          <w:szCs w:val="32"/>
        </w:rPr>
      </w:pPr>
    </w:p>
    <w:p w14:paraId="18EB1E28">
      <w:pPr>
        <w:adjustRightInd w:val="0"/>
        <w:snapToGrid w:val="0"/>
        <w:spacing w:line="360" w:lineRule="auto"/>
        <w:jc w:val="center"/>
        <w:rPr>
          <w:rFonts w:ascii="Arial Narrow" w:hAnsi="Arial Narrow"/>
          <w:b/>
          <w:spacing w:val="100"/>
          <w:sz w:val="32"/>
          <w:szCs w:val="32"/>
        </w:rPr>
      </w:pPr>
    </w:p>
    <w:p w14:paraId="488EDECC">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2" w:name="_Toc488804777"/>
      <w:bookmarkStart w:id="3" w:name="_Toc488637980"/>
      <w:r>
        <w:rPr>
          <w:rFonts w:ascii="Arial Narrow" w:hAnsi="Arial Narrow" w:eastAsia="仿宋"/>
          <w:b/>
          <w:w w:val="102"/>
          <w:sz w:val="44"/>
          <w:szCs w:val="44"/>
        </w:rPr>
        <w:t>报告</w:t>
      </w:r>
    </w:p>
    <w:p w14:paraId="29426BB7">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ascii="Arial Narrow" w:hAnsi="Arial Narrow" w:eastAsia="仿宋"/>
          <w:bCs/>
          <w:sz w:val="32"/>
          <w:szCs w:val="32"/>
        </w:rPr>
        <w:t>0</w:t>
      </w:r>
      <w:r>
        <w:rPr>
          <w:rFonts w:hint="eastAsia" w:ascii="Arial Narrow" w:hAnsi="Arial Narrow" w:eastAsia="仿宋"/>
          <w:bCs/>
          <w:sz w:val="32"/>
          <w:szCs w:val="32"/>
        </w:rPr>
        <w:t>52</w:t>
      </w:r>
      <w:r>
        <w:rPr>
          <w:rFonts w:ascii="Arial Narrow" w:hAnsi="Arial Narrow" w:eastAsia="仿宋"/>
          <w:bCs/>
          <w:sz w:val="32"/>
          <w:szCs w:val="32"/>
        </w:rPr>
        <w:t>号</w:t>
      </w:r>
    </w:p>
    <w:p w14:paraId="6E96852D">
      <w:pPr>
        <w:adjustRightInd w:val="0"/>
        <w:snapToGrid w:val="0"/>
        <w:spacing w:line="360" w:lineRule="auto"/>
        <w:jc w:val="center"/>
        <w:rPr>
          <w:rFonts w:ascii="Arial Narrow" w:hAnsi="Arial Narrow"/>
          <w:b/>
          <w:spacing w:val="100"/>
          <w:sz w:val="32"/>
          <w:szCs w:val="32"/>
        </w:rPr>
      </w:pPr>
    </w:p>
    <w:p w14:paraId="1A104F3D">
      <w:pPr>
        <w:adjustRightInd w:val="0"/>
        <w:snapToGrid w:val="0"/>
        <w:spacing w:line="360" w:lineRule="auto"/>
        <w:jc w:val="center"/>
        <w:rPr>
          <w:rFonts w:ascii="Arial Narrow" w:hAnsi="Arial Narrow"/>
          <w:b/>
          <w:spacing w:val="100"/>
          <w:sz w:val="32"/>
          <w:szCs w:val="32"/>
        </w:rPr>
      </w:pPr>
    </w:p>
    <w:p w14:paraId="2403377E">
      <w:pPr>
        <w:adjustRightInd w:val="0"/>
        <w:snapToGrid w:val="0"/>
        <w:spacing w:line="360" w:lineRule="auto"/>
        <w:jc w:val="center"/>
        <w:rPr>
          <w:rFonts w:ascii="Arial Narrow" w:hAnsi="Arial Narrow"/>
          <w:b/>
          <w:spacing w:val="100"/>
          <w:sz w:val="32"/>
          <w:szCs w:val="32"/>
        </w:rPr>
      </w:pPr>
    </w:p>
    <w:p w14:paraId="1BE93EF1">
      <w:pPr>
        <w:adjustRightInd w:val="0"/>
        <w:snapToGrid w:val="0"/>
        <w:spacing w:line="360" w:lineRule="auto"/>
        <w:jc w:val="center"/>
        <w:rPr>
          <w:rFonts w:ascii="Arial Narrow" w:hAnsi="Arial Narrow"/>
          <w:b/>
          <w:spacing w:val="100"/>
          <w:sz w:val="32"/>
          <w:szCs w:val="32"/>
        </w:rPr>
      </w:pPr>
    </w:p>
    <w:p w14:paraId="5431A53F">
      <w:pPr>
        <w:adjustRightInd w:val="0"/>
        <w:snapToGrid w:val="0"/>
        <w:spacing w:line="360" w:lineRule="auto"/>
        <w:jc w:val="center"/>
        <w:rPr>
          <w:rFonts w:ascii="Arial Narrow" w:hAnsi="Arial Narrow"/>
          <w:b/>
          <w:spacing w:val="100"/>
          <w:sz w:val="32"/>
          <w:szCs w:val="32"/>
        </w:rPr>
      </w:pPr>
    </w:p>
    <w:p w14:paraId="4AC14D00">
      <w:pPr>
        <w:adjustRightInd w:val="0"/>
        <w:snapToGrid w:val="0"/>
        <w:spacing w:line="360" w:lineRule="auto"/>
        <w:jc w:val="center"/>
        <w:rPr>
          <w:rFonts w:ascii="Arial Narrow" w:hAnsi="Arial Narrow"/>
          <w:b/>
          <w:spacing w:val="100"/>
          <w:sz w:val="32"/>
          <w:szCs w:val="32"/>
        </w:rPr>
      </w:pPr>
    </w:p>
    <w:p w14:paraId="1B8D144D">
      <w:pPr>
        <w:adjustRightInd w:val="0"/>
        <w:snapToGrid w:val="0"/>
        <w:spacing w:line="360" w:lineRule="auto"/>
        <w:jc w:val="center"/>
        <w:rPr>
          <w:rFonts w:ascii="Arial Narrow" w:hAnsi="Arial Narrow"/>
          <w:b/>
          <w:spacing w:val="100"/>
          <w:sz w:val="32"/>
          <w:szCs w:val="32"/>
        </w:rPr>
      </w:pPr>
    </w:p>
    <w:p w14:paraId="45314A73">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426C3016">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2"/>
      <w:bookmarkEnd w:id="3"/>
      <w:r>
        <w:rPr>
          <w:rFonts w:ascii="Arial Narrow" w:hAnsi="Arial Narrow"/>
          <w:sz w:val="44"/>
          <w:szCs w:val="44"/>
        </w:rPr>
        <w:t>目   录</w:t>
      </w:r>
    </w:p>
    <w:p w14:paraId="6E74E530">
      <w:pPr>
        <w:spacing w:line="360" w:lineRule="auto"/>
        <w:jc w:val="center"/>
        <w:rPr>
          <w:rFonts w:ascii="Arial Narrow" w:hAnsi="Arial Narrow"/>
          <w:sz w:val="24"/>
        </w:rPr>
      </w:pPr>
    </w:p>
    <w:p w14:paraId="4A6DE1F8">
      <w:pPr>
        <w:pStyle w:val="7"/>
        <w:tabs>
          <w:tab w:val="right" w:leader="dot" w:pos="8788"/>
          <w:tab w:val="clear" w:pos="8778"/>
        </w:tabs>
      </w:pPr>
      <w:r>
        <w:rPr>
          <w:rStyle w:val="11"/>
          <w:color w:val="auto"/>
          <w:u w:val="none"/>
        </w:rPr>
        <w:fldChar w:fldCharType="begin"/>
      </w:r>
      <w:r>
        <w:rPr>
          <w:rStyle w:val="11"/>
          <w:rFonts w:ascii="仿宋" w:hAnsi="仿宋" w:eastAsia="仿宋"/>
          <w:b w:val="0"/>
          <w:bCs w:val="0"/>
          <w:color w:val="auto"/>
          <w:szCs w:val="21"/>
          <w:u w:val="none"/>
        </w:rPr>
        <w:instrText xml:space="preserve"> TOC \o "1-3" \h \z \u </w:instrText>
      </w:r>
      <w:r>
        <w:rPr>
          <w:rStyle w:val="11"/>
          <w:color w:val="auto"/>
          <w:u w:val="none"/>
        </w:rPr>
        <w:fldChar w:fldCharType="separate"/>
      </w:r>
      <w:r>
        <w:fldChar w:fldCharType="begin"/>
      </w:r>
      <w:r>
        <w:instrText xml:space="preserve"> HYPERLINK \l "_Toc3909" </w:instrText>
      </w:r>
      <w:r>
        <w:fldChar w:fldCharType="separate"/>
      </w:r>
      <w:r>
        <w:t>一、基本情况</w:t>
      </w:r>
      <w:r>
        <w:tab/>
      </w:r>
      <w:r>
        <w:fldChar w:fldCharType="begin"/>
      </w:r>
      <w:r>
        <w:instrText xml:space="preserve"> PAGEREF _Toc3909 \h </w:instrText>
      </w:r>
      <w:r>
        <w:fldChar w:fldCharType="separate"/>
      </w:r>
      <w:r>
        <w:t>1</w:t>
      </w:r>
      <w:r>
        <w:fldChar w:fldCharType="end"/>
      </w:r>
      <w:r>
        <w:fldChar w:fldCharType="end"/>
      </w:r>
    </w:p>
    <w:p w14:paraId="1D64558A">
      <w:pPr>
        <w:pStyle w:val="7"/>
        <w:tabs>
          <w:tab w:val="right" w:leader="dot" w:pos="8788"/>
          <w:tab w:val="clear" w:pos="8778"/>
        </w:tabs>
      </w:pPr>
      <w:r>
        <w:fldChar w:fldCharType="begin"/>
      </w:r>
      <w:r>
        <w:instrText xml:space="preserve"> HYPERLINK \l "_Toc28368" </w:instrText>
      </w:r>
      <w:r>
        <w:fldChar w:fldCharType="separate"/>
      </w:r>
      <w:r>
        <w:rPr>
          <w:rFonts w:hint="eastAsia"/>
        </w:rPr>
        <w:t>（一）项目情况</w:t>
      </w:r>
      <w:r>
        <w:tab/>
      </w:r>
      <w:r>
        <w:fldChar w:fldCharType="begin"/>
      </w:r>
      <w:r>
        <w:instrText xml:space="preserve"> PAGEREF _Toc28368 \h </w:instrText>
      </w:r>
      <w:r>
        <w:fldChar w:fldCharType="separate"/>
      </w:r>
      <w:r>
        <w:t>1</w:t>
      </w:r>
      <w:r>
        <w:fldChar w:fldCharType="end"/>
      </w:r>
      <w:r>
        <w:fldChar w:fldCharType="end"/>
      </w:r>
    </w:p>
    <w:p w14:paraId="3A4173FD">
      <w:pPr>
        <w:pStyle w:val="7"/>
        <w:tabs>
          <w:tab w:val="right" w:leader="dot" w:pos="8788"/>
          <w:tab w:val="clear" w:pos="8778"/>
        </w:tabs>
      </w:pPr>
      <w:r>
        <w:fldChar w:fldCharType="begin"/>
      </w:r>
      <w:r>
        <w:instrText xml:space="preserve"> HYPERLINK \l "_Toc25117" </w:instrText>
      </w:r>
      <w:r>
        <w:fldChar w:fldCharType="separate"/>
      </w:r>
      <w:r>
        <w:t>二、绩效评价工作情况</w:t>
      </w:r>
      <w:r>
        <w:tab/>
      </w:r>
      <w:r>
        <w:fldChar w:fldCharType="begin"/>
      </w:r>
      <w:r>
        <w:instrText xml:space="preserve"> PAGEREF _Toc25117 \h </w:instrText>
      </w:r>
      <w:r>
        <w:fldChar w:fldCharType="separate"/>
      </w:r>
      <w:r>
        <w:t>1</w:t>
      </w:r>
      <w:r>
        <w:fldChar w:fldCharType="end"/>
      </w:r>
      <w:r>
        <w:fldChar w:fldCharType="end"/>
      </w:r>
    </w:p>
    <w:p w14:paraId="13577871">
      <w:pPr>
        <w:pStyle w:val="7"/>
        <w:tabs>
          <w:tab w:val="right" w:leader="dot" w:pos="8788"/>
          <w:tab w:val="clear" w:pos="8778"/>
        </w:tabs>
      </w:pPr>
      <w:r>
        <w:fldChar w:fldCharType="begin"/>
      </w:r>
      <w:r>
        <w:instrText xml:space="preserve"> HYPERLINK \l "_Toc10014" </w:instrText>
      </w:r>
      <w:r>
        <w:fldChar w:fldCharType="separate"/>
      </w:r>
      <w:r>
        <w:t>（一）绩效评价目的</w:t>
      </w:r>
      <w:r>
        <w:tab/>
      </w:r>
      <w:r>
        <w:fldChar w:fldCharType="begin"/>
      </w:r>
      <w:r>
        <w:instrText xml:space="preserve"> PAGEREF _Toc10014 \h </w:instrText>
      </w:r>
      <w:r>
        <w:fldChar w:fldCharType="separate"/>
      </w:r>
      <w:r>
        <w:t>1</w:t>
      </w:r>
      <w:r>
        <w:fldChar w:fldCharType="end"/>
      </w:r>
      <w:r>
        <w:fldChar w:fldCharType="end"/>
      </w:r>
    </w:p>
    <w:p w14:paraId="50EDAF47">
      <w:pPr>
        <w:pStyle w:val="7"/>
        <w:tabs>
          <w:tab w:val="right" w:leader="dot" w:pos="8788"/>
          <w:tab w:val="clear" w:pos="8778"/>
        </w:tabs>
      </w:pPr>
      <w:r>
        <w:fldChar w:fldCharType="begin"/>
      </w:r>
      <w:r>
        <w:instrText xml:space="preserve"> HYPERLINK \l "_Toc15698" </w:instrText>
      </w:r>
      <w:r>
        <w:fldChar w:fldCharType="separate"/>
      </w:r>
      <w:r>
        <w:t>（二）绩效评价的</w:t>
      </w:r>
      <w:r>
        <w:rPr>
          <w:rFonts w:hint="eastAsia"/>
        </w:rPr>
        <w:t>基本内容</w:t>
      </w:r>
      <w:r>
        <w:tab/>
      </w:r>
      <w:r>
        <w:fldChar w:fldCharType="begin"/>
      </w:r>
      <w:r>
        <w:instrText xml:space="preserve"> PAGEREF _Toc15698 \h </w:instrText>
      </w:r>
      <w:r>
        <w:fldChar w:fldCharType="separate"/>
      </w:r>
      <w:r>
        <w:t>1</w:t>
      </w:r>
      <w:r>
        <w:fldChar w:fldCharType="end"/>
      </w:r>
      <w:r>
        <w:fldChar w:fldCharType="end"/>
      </w:r>
    </w:p>
    <w:p w14:paraId="4E7C02F9">
      <w:pPr>
        <w:pStyle w:val="7"/>
        <w:tabs>
          <w:tab w:val="right" w:leader="dot" w:pos="8788"/>
          <w:tab w:val="clear" w:pos="8778"/>
        </w:tabs>
      </w:pPr>
      <w:r>
        <w:fldChar w:fldCharType="begin"/>
      </w:r>
      <w:r>
        <w:instrText xml:space="preserve"> HYPERLINK \l "_Toc17723" </w:instrText>
      </w:r>
      <w:r>
        <w:fldChar w:fldCharType="separate"/>
      </w:r>
      <w:r>
        <w:t>（三）绩效评价依据</w:t>
      </w:r>
      <w:r>
        <w:tab/>
      </w:r>
      <w:r>
        <w:fldChar w:fldCharType="begin"/>
      </w:r>
      <w:r>
        <w:instrText xml:space="preserve"> PAGEREF _Toc17723 \h </w:instrText>
      </w:r>
      <w:r>
        <w:fldChar w:fldCharType="separate"/>
      </w:r>
      <w:r>
        <w:t>2</w:t>
      </w:r>
      <w:r>
        <w:fldChar w:fldCharType="end"/>
      </w:r>
      <w:r>
        <w:fldChar w:fldCharType="end"/>
      </w:r>
    </w:p>
    <w:p w14:paraId="2700803E">
      <w:pPr>
        <w:pStyle w:val="7"/>
        <w:tabs>
          <w:tab w:val="right" w:leader="dot" w:pos="8788"/>
          <w:tab w:val="clear" w:pos="8778"/>
        </w:tabs>
      </w:pPr>
      <w:r>
        <w:fldChar w:fldCharType="begin"/>
      </w:r>
      <w:r>
        <w:instrText xml:space="preserve"> HYPERLINK \l "_Toc8032" </w:instrText>
      </w:r>
      <w:r>
        <w:fldChar w:fldCharType="separate"/>
      </w:r>
      <w:r>
        <w:t>（四）绩效评价原则和指标体系</w:t>
      </w:r>
      <w:r>
        <w:tab/>
      </w:r>
      <w:r>
        <w:fldChar w:fldCharType="begin"/>
      </w:r>
      <w:r>
        <w:instrText xml:space="preserve"> PAGEREF _Toc8032 \h </w:instrText>
      </w:r>
      <w:r>
        <w:fldChar w:fldCharType="separate"/>
      </w:r>
      <w:r>
        <w:t>2</w:t>
      </w:r>
      <w:r>
        <w:fldChar w:fldCharType="end"/>
      </w:r>
      <w:r>
        <w:fldChar w:fldCharType="end"/>
      </w:r>
    </w:p>
    <w:p w14:paraId="37C2E48E">
      <w:pPr>
        <w:pStyle w:val="7"/>
        <w:tabs>
          <w:tab w:val="right" w:leader="dot" w:pos="8788"/>
          <w:tab w:val="clear" w:pos="8778"/>
        </w:tabs>
      </w:pPr>
      <w:r>
        <w:fldChar w:fldCharType="begin"/>
      </w:r>
      <w:r>
        <w:instrText xml:space="preserve"> HYPERLINK \l "_Toc1795" </w:instrText>
      </w:r>
      <w:r>
        <w:fldChar w:fldCharType="separate"/>
      </w:r>
      <w:r>
        <w:t>（五）绩效评价标准和评价方法</w:t>
      </w:r>
      <w:r>
        <w:tab/>
      </w:r>
      <w:r>
        <w:fldChar w:fldCharType="begin"/>
      </w:r>
      <w:r>
        <w:instrText xml:space="preserve"> PAGEREF _Toc1795 \h </w:instrText>
      </w:r>
      <w:r>
        <w:fldChar w:fldCharType="separate"/>
      </w:r>
      <w:r>
        <w:t>6</w:t>
      </w:r>
      <w:r>
        <w:fldChar w:fldCharType="end"/>
      </w:r>
      <w:r>
        <w:fldChar w:fldCharType="end"/>
      </w:r>
    </w:p>
    <w:p w14:paraId="1BA1BDF1">
      <w:pPr>
        <w:pStyle w:val="7"/>
        <w:tabs>
          <w:tab w:val="right" w:leader="dot" w:pos="8788"/>
          <w:tab w:val="clear" w:pos="8778"/>
        </w:tabs>
      </w:pPr>
      <w:r>
        <w:fldChar w:fldCharType="begin"/>
      </w:r>
      <w:r>
        <w:instrText xml:space="preserve"> HYPERLINK \l "_Toc19154" </w:instrText>
      </w:r>
      <w:r>
        <w:fldChar w:fldCharType="separate"/>
      </w:r>
      <w:r>
        <w:t>（六）绩效评价工作过程</w:t>
      </w:r>
      <w:r>
        <w:tab/>
      </w:r>
      <w:r>
        <w:fldChar w:fldCharType="begin"/>
      </w:r>
      <w:r>
        <w:instrText xml:space="preserve"> PAGEREF _Toc19154 \h </w:instrText>
      </w:r>
      <w:r>
        <w:fldChar w:fldCharType="separate"/>
      </w:r>
      <w:r>
        <w:t>6</w:t>
      </w:r>
      <w:r>
        <w:fldChar w:fldCharType="end"/>
      </w:r>
      <w:r>
        <w:fldChar w:fldCharType="end"/>
      </w:r>
    </w:p>
    <w:p w14:paraId="426479F9">
      <w:pPr>
        <w:pStyle w:val="7"/>
        <w:tabs>
          <w:tab w:val="right" w:leader="dot" w:pos="8788"/>
          <w:tab w:val="clear" w:pos="8778"/>
        </w:tabs>
      </w:pPr>
      <w:r>
        <w:fldChar w:fldCharType="begin"/>
      </w:r>
      <w:r>
        <w:instrText xml:space="preserve"> HYPERLINK \l "_Toc14445" </w:instrText>
      </w:r>
      <w:r>
        <w:fldChar w:fldCharType="separate"/>
      </w:r>
      <w:r>
        <w:t>三、</w:t>
      </w:r>
      <w:r>
        <w:rPr>
          <w:rFonts w:hint="eastAsia"/>
        </w:rPr>
        <w:t>项目</w:t>
      </w:r>
      <w:r>
        <w:t>评价结论</w:t>
      </w:r>
      <w:r>
        <w:tab/>
      </w:r>
      <w:r>
        <w:fldChar w:fldCharType="begin"/>
      </w:r>
      <w:r>
        <w:instrText xml:space="preserve"> PAGEREF _Toc14445 \h </w:instrText>
      </w:r>
      <w:r>
        <w:fldChar w:fldCharType="separate"/>
      </w:r>
      <w:r>
        <w:t>6</w:t>
      </w:r>
      <w:r>
        <w:fldChar w:fldCharType="end"/>
      </w:r>
      <w:r>
        <w:fldChar w:fldCharType="end"/>
      </w:r>
    </w:p>
    <w:p w14:paraId="122996C6">
      <w:pPr>
        <w:pStyle w:val="7"/>
        <w:tabs>
          <w:tab w:val="right" w:leader="dot" w:pos="8788"/>
          <w:tab w:val="clear" w:pos="8778"/>
        </w:tabs>
      </w:pPr>
      <w:r>
        <w:fldChar w:fldCharType="begin"/>
      </w:r>
      <w:r>
        <w:instrText xml:space="preserve"> HYPERLINK \l "_Toc2297" </w:instrText>
      </w:r>
      <w:r>
        <w:fldChar w:fldCharType="separate"/>
      </w:r>
      <w:r>
        <w:rPr>
          <w:rFonts w:hint="eastAsia"/>
        </w:rPr>
        <w:t>四、</w:t>
      </w:r>
      <w:r>
        <w:t>综合评价情况</w:t>
      </w:r>
      <w:r>
        <w:tab/>
      </w:r>
      <w:r>
        <w:fldChar w:fldCharType="begin"/>
      </w:r>
      <w:r>
        <w:instrText xml:space="preserve"> PAGEREF _Toc2297 \h </w:instrText>
      </w:r>
      <w:r>
        <w:fldChar w:fldCharType="separate"/>
      </w:r>
      <w:r>
        <w:t>6</w:t>
      </w:r>
      <w:r>
        <w:fldChar w:fldCharType="end"/>
      </w:r>
      <w:r>
        <w:fldChar w:fldCharType="end"/>
      </w:r>
    </w:p>
    <w:p w14:paraId="626F1CAD">
      <w:pPr>
        <w:pStyle w:val="7"/>
        <w:tabs>
          <w:tab w:val="right" w:leader="dot" w:pos="8788"/>
          <w:tab w:val="clear" w:pos="8778"/>
        </w:tabs>
      </w:pPr>
      <w:r>
        <w:fldChar w:fldCharType="begin"/>
      </w:r>
      <w:r>
        <w:instrText xml:space="preserve"> HYPERLINK \l "_Toc15854" </w:instrText>
      </w:r>
      <w:r>
        <w:fldChar w:fldCharType="separate"/>
      </w:r>
      <w:r>
        <w:rPr>
          <w:rFonts w:hint="eastAsia" w:ascii="仿宋_GB2312"/>
        </w:rPr>
        <w:t>（一）资金管理</w:t>
      </w:r>
      <w:r>
        <w:tab/>
      </w:r>
      <w:r>
        <w:fldChar w:fldCharType="begin"/>
      </w:r>
      <w:r>
        <w:instrText xml:space="preserve"> PAGEREF _Toc15854 \h </w:instrText>
      </w:r>
      <w:r>
        <w:fldChar w:fldCharType="separate"/>
      </w:r>
      <w:r>
        <w:t>7</w:t>
      </w:r>
      <w:r>
        <w:fldChar w:fldCharType="end"/>
      </w:r>
      <w:r>
        <w:fldChar w:fldCharType="end"/>
      </w:r>
    </w:p>
    <w:p w14:paraId="6C527B9E">
      <w:pPr>
        <w:pStyle w:val="7"/>
        <w:tabs>
          <w:tab w:val="right" w:leader="dot" w:pos="8788"/>
          <w:tab w:val="clear" w:pos="8778"/>
        </w:tabs>
      </w:pPr>
      <w:r>
        <w:fldChar w:fldCharType="begin"/>
      </w:r>
      <w:r>
        <w:instrText xml:space="preserve"> HYPERLINK \l "_Toc4915" </w:instrText>
      </w:r>
      <w:r>
        <w:fldChar w:fldCharType="separate"/>
      </w:r>
      <w:r>
        <w:rPr>
          <w:rFonts w:hint="eastAsia" w:ascii="仿宋_GB2312"/>
        </w:rPr>
        <w:t>（二）项目管理</w:t>
      </w:r>
      <w:r>
        <w:tab/>
      </w:r>
      <w:r>
        <w:fldChar w:fldCharType="begin"/>
      </w:r>
      <w:r>
        <w:instrText xml:space="preserve"> PAGEREF _Toc4915 \h </w:instrText>
      </w:r>
      <w:r>
        <w:fldChar w:fldCharType="separate"/>
      </w:r>
      <w:r>
        <w:t>7</w:t>
      </w:r>
      <w:r>
        <w:fldChar w:fldCharType="end"/>
      </w:r>
      <w:r>
        <w:fldChar w:fldCharType="end"/>
      </w:r>
    </w:p>
    <w:p w14:paraId="54F668CA">
      <w:pPr>
        <w:pStyle w:val="7"/>
        <w:tabs>
          <w:tab w:val="right" w:leader="dot" w:pos="8788"/>
          <w:tab w:val="clear" w:pos="8778"/>
        </w:tabs>
      </w:pPr>
      <w:r>
        <w:fldChar w:fldCharType="begin"/>
      </w:r>
      <w:r>
        <w:instrText xml:space="preserve"> HYPERLINK \l "_Toc16168" </w:instrText>
      </w:r>
      <w:r>
        <w:fldChar w:fldCharType="separate"/>
      </w:r>
      <w:r>
        <w:rPr>
          <w:rFonts w:hint="eastAsia" w:ascii="仿宋_GB2312"/>
        </w:rPr>
        <w:t>（三）使用成效及通报情况</w:t>
      </w:r>
      <w:r>
        <w:tab/>
      </w:r>
      <w:r>
        <w:fldChar w:fldCharType="begin"/>
      </w:r>
      <w:r>
        <w:instrText xml:space="preserve"> PAGEREF _Toc16168 \h </w:instrText>
      </w:r>
      <w:r>
        <w:fldChar w:fldCharType="separate"/>
      </w:r>
      <w:r>
        <w:t>8</w:t>
      </w:r>
      <w:r>
        <w:fldChar w:fldCharType="end"/>
      </w:r>
      <w:r>
        <w:fldChar w:fldCharType="end"/>
      </w:r>
    </w:p>
    <w:p w14:paraId="26B09194">
      <w:pPr>
        <w:pStyle w:val="7"/>
        <w:tabs>
          <w:tab w:val="right" w:leader="dot" w:pos="8788"/>
          <w:tab w:val="clear" w:pos="8778"/>
        </w:tabs>
      </w:pPr>
      <w:r>
        <w:fldChar w:fldCharType="begin"/>
      </w:r>
      <w:r>
        <w:instrText xml:space="preserve"> HYPERLINK \l "_Toc24430" </w:instrText>
      </w:r>
      <w:r>
        <w:fldChar w:fldCharType="separate"/>
      </w:r>
      <w:r>
        <w:rPr>
          <w:rFonts w:hint="eastAsia"/>
        </w:rPr>
        <w:t>五</w:t>
      </w:r>
      <w:r>
        <w:t>、存在的问题和建议</w:t>
      </w:r>
      <w:r>
        <w:tab/>
      </w:r>
      <w:r>
        <w:fldChar w:fldCharType="begin"/>
      </w:r>
      <w:r>
        <w:instrText xml:space="preserve"> PAGEREF _Toc24430 \h </w:instrText>
      </w:r>
      <w:r>
        <w:fldChar w:fldCharType="separate"/>
      </w:r>
      <w:r>
        <w:t>8</w:t>
      </w:r>
      <w:r>
        <w:fldChar w:fldCharType="end"/>
      </w:r>
      <w:r>
        <w:fldChar w:fldCharType="end"/>
      </w:r>
    </w:p>
    <w:p w14:paraId="7D4CFAD0">
      <w:pPr>
        <w:pStyle w:val="7"/>
        <w:tabs>
          <w:tab w:val="right" w:leader="dot" w:pos="8788"/>
          <w:tab w:val="clear" w:pos="8778"/>
        </w:tabs>
      </w:pPr>
      <w:r>
        <w:fldChar w:fldCharType="begin"/>
      </w:r>
      <w:r>
        <w:instrText xml:space="preserve"> HYPERLINK \l "_Toc23513" </w:instrText>
      </w:r>
      <w:r>
        <w:fldChar w:fldCharType="separate"/>
      </w:r>
      <w:r>
        <w:rPr>
          <w:rFonts w:hint="eastAsia" w:ascii="仿宋_GB2312"/>
        </w:rPr>
        <w:t>（一）存在问题</w:t>
      </w:r>
      <w:r>
        <w:tab/>
      </w:r>
      <w:r>
        <w:fldChar w:fldCharType="begin"/>
      </w:r>
      <w:r>
        <w:instrText xml:space="preserve"> PAGEREF _Toc23513 \h </w:instrText>
      </w:r>
      <w:r>
        <w:fldChar w:fldCharType="separate"/>
      </w:r>
      <w:r>
        <w:t>8</w:t>
      </w:r>
      <w:r>
        <w:fldChar w:fldCharType="end"/>
      </w:r>
      <w:r>
        <w:fldChar w:fldCharType="end"/>
      </w:r>
    </w:p>
    <w:p w14:paraId="4F963416">
      <w:pPr>
        <w:pStyle w:val="7"/>
        <w:tabs>
          <w:tab w:val="right" w:leader="dot" w:pos="8788"/>
          <w:tab w:val="clear" w:pos="8778"/>
        </w:tabs>
      </w:pPr>
      <w:r>
        <w:fldChar w:fldCharType="begin"/>
      </w:r>
      <w:r>
        <w:instrText xml:space="preserve"> HYPERLINK \l "_Toc12757" </w:instrText>
      </w:r>
      <w:r>
        <w:fldChar w:fldCharType="separate"/>
      </w:r>
      <w:r>
        <w:rPr>
          <w:rFonts w:hint="eastAsia" w:ascii="仿宋_GB2312"/>
        </w:rPr>
        <w:t>（二）建议</w:t>
      </w:r>
      <w:r>
        <w:tab/>
      </w:r>
      <w:r>
        <w:fldChar w:fldCharType="begin"/>
      </w:r>
      <w:r>
        <w:instrText xml:space="preserve"> PAGEREF _Toc12757 \h </w:instrText>
      </w:r>
      <w:r>
        <w:fldChar w:fldCharType="separate"/>
      </w:r>
      <w:r>
        <w:t>8</w:t>
      </w:r>
      <w:r>
        <w:fldChar w:fldCharType="end"/>
      </w:r>
      <w:r>
        <w:fldChar w:fldCharType="end"/>
      </w:r>
    </w:p>
    <w:p w14:paraId="779411E3">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szCs w:val="21"/>
        </w:rPr>
        <w:fldChar w:fldCharType="end"/>
      </w:r>
    </w:p>
    <w:p w14:paraId="4EADE9F1">
      <w:pPr>
        <w:spacing w:line="360" w:lineRule="auto"/>
        <w:jc w:val="right"/>
        <w:rPr>
          <w:rFonts w:ascii="Arial Narrow" w:hAnsi="Arial Narrow"/>
          <w:bCs/>
          <w:w w:val="80"/>
          <w:sz w:val="28"/>
          <w:szCs w:val="28"/>
        </w:rPr>
      </w:pPr>
    </w:p>
    <w:p w14:paraId="4FD95B5B">
      <w:pPr>
        <w:spacing w:line="360" w:lineRule="auto"/>
        <w:jc w:val="right"/>
        <w:rPr>
          <w:rFonts w:ascii="Arial Narrow" w:hAnsi="Arial Narrow"/>
          <w:bCs/>
          <w:w w:val="80"/>
          <w:sz w:val="28"/>
          <w:szCs w:val="28"/>
        </w:rPr>
      </w:pPr>
    </w:p>
    <w:p w14:paraId="547D769C">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118F3039">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1B76F863">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ascii="Arial Narrow" w:hAnsi="Arial Narrow" w:eastAsia="仿宋_GB2312"/>
          <w:sz w:val="28"/>
          <w:szCs w:val="28"/>
        </w:rPr>
        <w:t>0</w:t>
      </w:r>
      <w:r>
        <w:rPr>
          <w:rFonts w:hint="eastAsia" w:ascii="Arial Narrow" w:hAnsi="Arial Narrow" w:eastAsia="仿宋_GB2312"/>
          <w:sz w:val="28"/>
          <w:szCs w:val="28"/>
        </w:rPr>
        <w:t>52号</w:t>
      </w:r>
    </w:p>
    <w:p w14:paraId="1AD4929D">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4" w:name="_Hlk51614207"/>
      <w:r>
        <w:rPr>
          <w:rFonts w:hint="eastAsia" w:ascii="宋体" w:hAnsi="宋体" w:cs="宋体"/>
          <w:b/>
          <w:bCs/>
          <w:w w:val="94"/>
          <w:sz w:val="36"/>
          <w:szCs w:val="36"/>
        </w:rPr>
        <w:t>━</w:t>
      </w:r>
      <w:bookmarkEnd w:id="4"/>
    </w:p>
    <w:p w14:paraId="7BF28D37">
      <w:pPr>
        <w:adjustRightInd w:val="0"/>
        <w:snapToGrid w:val="0"/>
        <w:spacing w:line="360" w:lineRule="auto"/>
        <w:jc w:val="center"/>
        <w:rPr>
          <w:rStyle w:val="11"/>
          <w:rFonts w:ascii="Arial Narrow" w:hAnsi="Arial Narrow" w:eastAsia="仿宋_GB2312"/>
          <w:b/>
          <w:color w:val="auto"/>
          <w:sz w:val="36"/>
          <w:szCs w:val="36"/>
          <w:u w:val="none"/>
        </w:rPr>
      </w:pPr>
      <w:bookmarkStart w:id="5" w:name="_Hlk170290957"/>
      <w:r>
        <w:rPr>
          <w:rStyle w:val="11"/>
          <w:rFonts w:hint="eastAsia" w:ascii="Arial Narrow" w:hAnsi="Arial Narrow" w:eastAsia="仿宋_GB2312"/>
          <w:b/>
          <w:color w:val="auto"/>
          <w:sz w:val="36"/>
          <w:szCs w:val="36"/>
          <w:u w:val="none"/>
        </w:rPr>
        <w:t>重庆市铜梁区城市管理局</w:t>
      </w:r>
      <w:bookmarkEnd w:id="5"/>
      <w:r>
        <w:rPr>
          <w:rStyle w:val="11"/>
          <w:rFonts w:hint="eastAsia" w:ascii="Arial Narrow" w:hAnsi="Arial Narrow" w:eastAsia="仿宋_GB2312"/>
          <w:b/>
          <w:color w:val="auto"/>
          <w:sz w:val="36"/>
          <w:szCs w:val="36"/>
          <w:u w:val="none"/>
        </w:rPr>
        <w:t>公益性岗位项目</w:t>
      </w:r>
    </w:p>
    <w:p w14:paraId="5081341D">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5422E657">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rPr>
        <w:t>“</w:t>
      </w:r>
      <w:r>
        <w:rPr>
          <w:rFonts w:ascii="Arial Narrow" w:hAnsi="Arial Narrow" w:eastAsia="仿宋_GB2312"/>
          <w:color w:val="auto"/>
        </w:rPr>
        <w:t>全面实施绩效管理</w:t>
      </w:r>
      <w:r>
        <w:rPr>
          <w:rFonts w:hint="eastAsia" w:ascii="Arial Narrow" w:hAnsi="Arial Narrow" w:eastAsia="仿宋_GB2312"/>
          <w:color w:val="auto"/>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w:t>
      </w:r>
      <w:bookmarkStart w:id="6" w:name="_Hlk170290943"/>
      <w:r>
        <w:rPr>
          <w:rFonts w:hint="eastAsia" w:ascii="Arial Narrow" w:hAnsi="Arial Narrow" w:eastAsia="仿宋_GB2312"/>
          <w:color w:val="auto"/>
        </w:rPr>
        <w:t>城市管理局</w:t>
      </w:r>
      <w:bookmarkEnd w:id="6"/>
      <w:r>
        <w:rPr>
          <w:rFonts w:hint="eastAsia" w:ascii="Arial Narrow" w:hAnsi="Arial Narrow" w:eastAsia="仿宋_GB2312"/>
          <w:color w:val="auto"/>
        </w:rPr>
        <w:t>（</w:t>
      </w:r>
      <w:r>
        <w:rPr>
          <w:rFonts w:ascii="Arial Narrow" w:hAnsi="Arial Narrow" w:eastAsia="仿宋_GB2312"/>
          <w:color w:val="auto"/>
        </w:rPr>
        <w:t>以下简称</w:t>
      </w:r>
      <w:r>
        <w:rPr>
          <w:rFonts w:hint="eastAsia" w:ascii="Arial Narrow" w:hAnsi="Arial Narrow" w:eastAsia="仿宋_GB2312"/>
          <w:color w:val="auto"/>
        </w:rPr>
        <w:t>“城市管理局”）</w:t>
      </w:r>
      <w:r>
        <w:rPr>
          <w:rFonts w:hint="eastAsia"/>
        </w:rPr>
        <w:t xml:space="preserve"> </w:t>
      </w:r>
      <w:r>
        <w:rPr>
          <w:rFonts w:hint="eastAsia" w:ascii="Arial Narrow" w:hAnsi="Arial Narrow" w:eastAsia="仿宋_GB2312"/>
          <w:color w:val="auto"/>
        </w:rPr>
        <w:t>公益性岗位项目</w:t>
      </w:r>
      <w:r>
        <w:rPr>
          <w:rFonts w:ascii="Arial Narrow" w:hAnsi="Arial Narrow" w:eastAsia="仿宋_GB2312"/>
          <w:color w:val="auto"/>
        </w:rPr>
        <w:t>进行绩效评价，现将评价情况报告如下：</w:t>
      </w:r>
    </w:p>
    <w:p w14:paraId="6560034B">
      <w:pPr>
        <w:spacing w:line="360" w:lineRule="auto"/>
        <w:ind w:firstLine="482" w:firstLineChars="200"/>
        <w:jc w:val="left"/>
        <w:outlineLvl w:val="0"/>
        <w:rPr>
          <w:rFonts w:ascii="Arial Narrow" w:hAnsi="Arial Narrow" w:eastAsia="仿宋_GB2312"/>
          <w:b/>
          <w:sz w:val="24"/>
        </w:rPr>
      </w:pPr>
      <w:bookmarkStart w:id="7" w:name="_Toc3909"/>
      <w:r>
        <w:rPr>
          <w:rFonts w:ascii="Arial Narrow" w:hAnsi="Arial Narrow" w:eastAsia="仿宋_GB2312"/>
          <w:b/>
          <w:sz w:val="24"/>
        </w:rPr>
        <w:t>一、基本情况</w:t>
      </w:r>
      <w:bookmarkEnd w:id="7"/>
    </w:p>
    <w:p w14:paraId="30ED0EB3">
      <w:pPr>
        <w:spacing w:line="360" w:lineRule="auto"/>
        <w:ind w:firstLine="482" w:firstLineChars="200"/>
        <w:jc w:val="left"/>
        <w:outlineLvl w:val="0"/>
        <w:rPr>
          <w:rFonts w:ascii="Arial Narrow" w:hAnsi="Arial Narrow" w:eastAsia="仿宋_GB2312"/>
          <w:b/>
          <w:sz w:val="24"/>
        </w:rPr>
      </w:pPr>
      <w:bookmarkStart w:id="8" w:name="_Toc28368"/>
      <w:r>
        <w:rPr>
          <w:rFonts w:hint="eastAsia" w:ascii="Arial Narrow" w:hAnsi="Arial Narrow" w:eastAsia="仿宋_GB2312"/>
          <w:b/>
          <w:sz w:val="24"/>
        </w:rPr>
        <w:t>（一）项目情况</w:t>
      </w:r>
      <w:bookmarkEnd w:id="8"/>
    </w:p>
    <w:p w14:paraId="35231468">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公益性岗位项目</w:t>
      </w:r>
    </w:p>
    <w:p w14:paraId="4FD43EB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实施单位：重庆市铜梁区城市管理局</w:t>
      </w:r>
    </w:p>
    <w:p w14:paraId="7674FB14">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项目内容：进一步解决脱贫人口就近就业难题，提供就业岗位7</w:t>
      </w:r>
      <w:r>
        <w:rPr>
          <w:rFonts w:ascii="Arial Narrow" w:hAnsi="Arial Narrow" w:eastAsia="仿宋_GB2312" w:cs="宋体"/>
          <w:kern w:val="0"/>
          <w:sz w:val="24"/>
        </w:rPr>
        <w:t>5</w:t>
      </w:r>
      <w:r>
        <w:rPr>
          <w:rFonts w:hint="eastAsia" w:ascii="Arial Narrow" w:hAnsi="Arial Narrow" w:eastAsia="仿宋_GB2312" w:cs="宋体"/>
          <w:kern w:val="0"/>
          <w:sz w:val="24"/>
        </w:rPr>
        <w:t>个。</w:t>
      </w:r>
    </w:p>
    <w:p w14:paraId="74D821E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项目资金安排情况：该项目2023年原安排项目资金45.00万元，调增1.50万元，调增后项目资金为46.50万元，均为上级补助资金。</w:t>
      </w:r>
    </w:p>
    <w:p w14:paraId="32F6211D">
      <w:pPr>
        <w:spacing w:line="360" w:lineRule="auto"/>
        <w:ind w:firstLine="482" w:firstLineChars="200"/>
        <w:jc w:val="left"/>
        <w:outlineLvl w:val="0"/>
        <w:rPr>
          <w:rFonts w:ascii="Arial Narrow" w:hAnsi="Arial Narrow" w:eastAsia="仿宋_GB2312"/>
          <w:b/>
          <w:sz w:val="24"/>
        </w:rPr>
      </w:pPr>
      <w:bookmarkStart w:id="9" w:name="_Toc25117"/>
      <w:r>
        <w:rPr>
          <w:rFonts w:ascii="Arial Narrow" w:hAnsi="Arial Narrow" w:eastAsia="仿宋_GB2312"/>
          <w:b/>
          <w:sz w:val="24"/>
        </w:rPr>
        <w:t>二、绩效评价工作情况</w:t>
      </w:r>
      <w:bookmarkEnd w:id="9"/>
    </w:p>
    <w:p w14:paraId="290E5794">
      <w:pPr>
        <w:spacing w:line="360" w:lineRule="auto"/>
        <w:ind w:firstLine="482" w:firstLineChars="200"/>
        <w:jc w:val="left"/>
        <w:outlineLvl w:val="0"/>
        <w:rPr>
          <w:rFonts w:ascii="Arial Narrow" w:hAnsi="Arial Narrow" w:eastAsia="仿宋_GB2312"/>
          <w:b/>
          <w:sz w:val="24"/>
        </w:rPr>
      </w:pPr>
      <w:bookmarkStart w:id="10" w:name="_Toc10014"/>
      <w:bookmarkStart w:id="11" w:name="_Toc513775099"/>
      <w:r>
        <w:rPr>
          <w:rFonts w:ascii="Arial Narrow" w:hAnsi="Arial Narrow" w:eastAsia="仿宋_GB2312"/>
          <w:b/>
          <w:sz w:val="24"/>
        </w:rPr>
        <w:t>（一）绩效评价目的</w:t>
      </w:r>
      <w:bookmarkEnd w:id="10"/>
      <w:bookmarkEnd w:id="11"/>
    </w:p>
    <w:p w14:paraId="468A806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4EF29D8A">
      <w:pPr>
        <w:spacing w:line="360" w:lineRule="auto"/>
        <w:ind w:firstLine="482" w:firstLineChars="200"/>
        <w:jc w:val="left"/>
        <w:outlineLvl w:val="0"/>
        <w:rPr>
          <w:rFonts w:ascii="Arial Narrow" w:hAnsi="Arial Narrow" w:eastAsia="仿宋_GB2312"/>
          <w:b/>
          <w:sz w:val="24"/>
        </w:rPr>
      </w:pPr>
      <w:bookmarkStart w:id="12" w:name="_Toc15698"/>
      <w:bookmarkStart w:id="13"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12"/>
    </w:p>
    <w:p w14:paraId="180C728A">
      <w:pPr>
        <w:pStyle w:val="14"/>
        <w:spacing w:line="360" w:lineRule="auto"/>
        <w:ind w:firstLine="480" w:firstLineChars="200"/>
        <w:rPr>
          <w:rFonts w:ascii="Arial Narrow" w:hAnsi="Arial Narrow" w:eastAsia="仿宋_GB2312"/>
          <w:color w:val="auto"/>
        </w:rPr>
      </w:pPr>
      <w:bookmarkStart w:id="14"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1180B61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7B7DF12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6CB5E5E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396ED9B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4B1905A2">
      <w:pPr>
        <w:spacing w:line="360" w:lineRule="auto"/>
        <w:ind w:firstLine="482" w:firstLineChars="200"/>
        <w:jc w:val="left"/>
        <w:outlineLvl w:val="0"/>
        <w:rPr>
          <w:rFonts w:ascii="Arial Narrow" w:hAnsi="Arial Narrow" w:eastAsia="仿宋_GB2312"/>
          <w:b/>
          <w:sz w:val="24"/>
        </w:rPr>
      </w:pPr>
      <w:bookmarkStart w:id="15" w:name="_Toc17723"/>
      <w:r>
        <w:rPr>
          <w:rFonts w:ascii="Arial Narrow" w:hAnsi="Arial Narrow" w:eastAsia="仿宋_GB2312"/>
          <w:b/>
          <w:sz w:val="24"/>
        </w:rPr>
        <w:t>（三）绩效评价依据</w:t>
      </w:r>
      <w:bookmarkEnd w:id="13"/>
      <w:bookmarkEnd w:id="14"/>
      <w:bookmarkEnd w:id="15"/>
      <w:bookmarkStart w:id="16" w:name="_Toc335040595"/>
    </w:p>
    <w:bookmarkEnd w:id="16"/>
    <w:p w14:paraId="3825187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《重庆市铜梁区财政衔接推进乡村振兴补助资金绩效评价及考核办法》的通知（铜财〔2022〕678号）</w:t>
      </w:r>
      <w:r>
        <w:rPr>
          <w:rFonts w:hint="eastAsia" w:ascii="Arial Narrow" w:hAnsi="Arial Narrow" w:eastAsia="仿宋_GB2312" w:cs="Arial Narrow"/>
          <w:color w:val="auto"/>
        </w:rPr>
        <w:t>；</w:t>
      </w:r>
    </w:p>
    <w:p w14:paraId="1AC7E76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《重庆市铜梁区财政局关于开展2023年度项目财政重点绩效评价的通知》（铜财〔2024〕237号）</w:t>
      </w:r>
      <w:r>
        <w:rPr>
          <w:rFonts w:hint="eastAsia" w:ascii="Arial Narrow" w:hAnsi="Arial Narrow" w:eastAsia="仿宋_GB2312" w:cs="Arial Narrow"/>
          <w:color w:val="auto"/>
        </w:rPr>
        <w:t>；</w:t>
      </w:r>
    </w:p>
    <w:p w14:paraId="7D853B4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《重庆市财政衔接推进乡村振兴补助资金绩效评价及考核办法》（渝财农〔2022〕2号）</w:t>
      </w:r>
      <w:r>
        <w:rPr>
          <w:rFonts w:hint="eastAsia" w:ascii="Arial Narrow" w:hAnsi="Arial Narrow" w:eastAsia="仿宋_GB2312" w:cs="Arial Narrow"/>
          <w:color w:val="auto"/>
        </w:rPr>
        <w:t>；</w:t>
      </w:r>
    </w:p>
    <w:p w14:paraId="4A79F8A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《铜梁区区级政策和项目预算绩效管理办法（试行）》（铜财〔2022〕41号）</w:t>
      </w:r>
      <w:r>
        <w:rPr>
          <w:rFonts w:hint="eastAsia" w:ascii="Arial Narrow" w:hAnsi="Arial Narrow" w:eastAsia="仿宋_GB2312" w:cs="Arial Narrow"/>
          <w:color w:val="auto"/>
        </w:rPr>
        <w:t>；</w:t>
      </w:r>
    </w:p>
    <w:p w14:paraId="7400263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《重庆市财政局等6部门关于加强财政衔接推进乡村振兴补助资金使用管理的实施意见》（渝财农〔2022〕73号）</w:t>
      </w:r>
      <w:r>
        <w:rPr>
          <w:rFonts w:hint="eastAsia" w:ascii="Arial Narrow" w:hAnsi="Arial Narrow" w:eastAsia="仿宋_GB2312" w:cs="Arial Narrow"/>
          <w:color w:val="auto"/>
        </w:rPr>
        <w:t>；</w:t>
      </w:r>
    </w:p>
    <w:p w14:paraId="76A56A1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w:t>
      </w:r>
      <w:r>
        <w:rPr>
          <w:rFonts w:hint="eastAsia" w:ascii="Arial Narrow" w:hAnsi="Arial Narrow" w:eastAsia="仿宋_GB2312"/>
          <w:color w:val="auto"/>
          <w:lang w:val="en-US" w:eastAsia="zh-CN"/>
        </w:rPr>
        <w:t>.</w:t>
      </w:r>
      <w:r>
        <w:rPr>
          <w:rFonts w:hint="eastAsia" w:ascii="Arial Narrow" w:hAnsi="Arial Narrow" w:eastAsia="仿宋_GB2312"/>
          <w:color w:val="auto"/>
        </w:rPr>
        <w:t>《铜梁区巩固拓展脱贫攻坚成果和衔接乡村振兴项目库建设管理实施细则》（铜乡振〔2021〕7号）</w:t>
      </w:r>
      <w:r>
        <w:rPr>
          <w:rFonts w:hint="eastAsia" w:ascii="Arial Narrow" w:hAnsi="Arial Narrow" w:eastAsia="仿宋_GB2312" w:cs="Arial Narrow"/>
          <w:color w:val="auto"/>
        </w:rPr>
        <w:t>；</w:t>
      </w:r>
    </w:p>
    <w:p w14:paraId="607A78C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w:t>
      </w:r>
      <w:r>
        <w:rPr>
          <w:rFonts w:hint="eastAsia" w:ascii="Arial Narrow" w:hAnsi="Arial Narrow" w:eastAsia="仿宋_GB2312"/>
          <w:color w:val="auto"/>
          <w:lang w:val="en-US" w:eastAsia="zh-CN"/>
        </w:rPr>
        <w:t>.</w:t>
      </w:r>
      <w:r>
        <w:rPr>
          <w:rFonts w:hint="eastAsia" w:ascii="Arial Narrow" w:hAnsi="Arial Narrow" w:eastAsia="仿宋_GB2312"/>
          <w:color w:val="auto"/>
        </w:rPr>
        <w:t>《铜梁区财政衔接推进乡村振兴补助资金项目公告公示实施办法》（铜委农办〔2021〕19号）</w:t>
      </w:r>
      <w:r>
        <w:rPr>
          <w:rFonts w:hint="eastAsia" w:ascii="Arial Narrow" w:hAnsi="Arial Narrow" w:eastAsia="仿宋_GB2312" w:cs="Arial Narrow"/>
          <w:color w:val="auto"/>
        </w:rPr>
        <w:t>；</w:t>
      </w:r>
    </w:p>
    <w:p w14:paraId="05DA895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hint="eastAsia" w:ascii="Arial Narrow" w:hAnsi="Arial Narrow" w:eastAsia="仿宋_GB2312"/>
          <w:color w:val="auto"/>
          <w:lang w:val="en-US" w:eastAsia="zh-CN"/>
        </w:rPr>
        <w:t>.</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s="Arial Narrow"/>
          <w:color w:val="auto"/>
        </w:rPr>
        <w:t>；</w:t>
      </w:r>
    </w:p>
    <w:p w14:paraId="038DA5F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hint="eastAsia" w:ascii="Arial Narrow" w:hAnsi="Arial Narrow" w:eastAsia="仿宋_GB2312"/>
          <w:color w:val="auto"/>
          <w:lang w:val="en-US" w:eastAsia="zh-CN"/>
        </w:rPr>
        <w:t>.</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s="Arial Narrow"/>
          <w:color w:val="auto"/>
        </w:rPr>
        <w:t>；</w:t>
      </w:r>
    </w:p>
    <w:p w14:paraId="2301E21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hint="eastAsia" w:ascii="Arial Narrow" w:hAnsi="Arial Narrow" w:eastAsia="仿宋_GB2312"/>
          <w:color w:val="auto"/>
          <w:lang w:val="en-US" w:eastAsia="zh-CN"/>
        </w:rPr>
        <w:t>.</w:t>
      </w:r>
      <w:r>
        <w:rPr>
          <w:rFonts w:ascii="Arial Narrow" w:hAnsi="Arial Narrow" w:eastAsia="仿宋_GB2312"/>
          <w:color w:val="auto"/>
        </w:rPr>
        <w:t>《会计师事务所财政支出绩效评价业务指引》（注协</w:t>
      </w:r>
      <w:bookmarkStart w:id="17" w:name="_Hlk162597612"/>
      <w:r>
        <w:rPr>
          <w:rFonts w:hint="eastAsia" w:ascii="Arial Narrow" w:hAnsi="Arial Narrow" w:eastAsia="仿宋_GB2312"/>
          <w:color w:val="auto"/>
        </w:rPr>
        <w:t>〔2016〕</w:t>
      </w:r>
      <w:bookmarkEnd w:id="17"/>
      <w:r>
        <w:rPr>
          <w:rFonts w:ascii="Arial Narrow" w:hAnsi="Arial Narrow" w:eastAsia="仿宋_GB2312"/>
          <w:color w:val="auto"/>
        </w:rPr>
        <w:t>10号）</w:t>
      </w:r>
      <w:r>
        <w:rPr>
          <w:rFonts w:hint="eastAsia" w:ascii="Arial Narrow" w:hAnsi="Arial Narrow" w:eastAsia="仿宋_GB2312" w:cs="Arial Narrow"/>
          <w:color w:val="auto"/>
        </w:rPr>
        <w:t>；</w:t>
      </w:r>
    </w:p>
    <w:p w14:paraId="4EE1D49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hint="eastAsia" w:ascii="Arial Narrow" w:hAnsi="Arial Narrow" w:eastAsia="仿宋_GB2312"/>
          <w:color w:val="auto"/>
          <w:lang w:val="en-US" w:eastAsia="zh-CN"/>
        </w:rPr>
        <w:t>.</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71044EA6">
      <w:pPr>
        <w:spacing w:line="360" w:lineRule="auto"/>
        <w:ind w:firstLine="482" w:firstLineChars="200"/>
        <w:jc w:val="left"/>
        <w:outlineLvl w:val="0"/>
        <w:rPr>
          <w:rFonts w:ascii="Arial Narrow" w:hAnsi="Arial Narrow" w:eastAsia="仿宋_GB2312"/>
          <w:b/>
          <w:sz w:val="24"/>
        </w:rPr>
      </w:pPr>
      <w:bookmarkStart w:id="18" w:name="_Toc8032"/>
      <w:r>
        <w:rPr>
          <w:rFonts w:ascii="Arial Narrow" w:hAnsi="Arial Narrow" w:eastAsia="仿宋_GB2312"/>
          <w:b/>
          <w:sz w:val="24"/>
        </w:rPr>
        <w:t>（四）绩效评价原则和指标体系</w:t>
      </w:r>
      <w:bookmarkEnd w:id="18"/>
    </w:p>
    <w:p w14:paraId="5D2F0EE3">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绩效评价主要遵循以下原则：</w:t>
      </w:r>
    </w:p>
    <w:p w14:paraId="7A3A0DE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646C47F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w:t>
      </w: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重要性原则。应当优先使用最具评价对象代表性、最能反映评价要求的核心指标。</w:t>
      </w:r>
    </w:p>
    <w:p w14:paraId="1F0699F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1FF71F6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22C5BA1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3D44A37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绩效评价指标体系</w:t>
      </w:r>
    </w:p>
    <w:p w14:paraId="18FB28E9">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根据《重庆市铜梁区财政衔接推进乡村振兴补助资金绩效评价及考核办法》的通知（铜财〔2022〕678号），本次绩效评价及考核指标体系如下：</w:t>
      </w:r>
    </w:p>
    <w:p w14:paraId="75E3AC59">
      <w:pPr>
        <w:pStyle w:val="14"/>
        <w:spacing w:line="360" w:lineRule="auto"/>
        <w:ind w:firstLine="480" w:firstLineChars="200"/>
        <w:jc w:val="both"/>
        <w:rPr>
          <w:rFonts w:ascii="Arial Narrow" w:hAnsi="Arial Narrow" w:eastAsia="仿宋_GB2312"/>
          <w:color w:val="auto"/>
        </w:rPr>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pPr>
    </w:p>
    <w:tbl>
      <w:tblPr>
        <w:tblStyle w:val="9"/>
        <w:tblW w:w="14504" w:type="dxa"/>
        <w:tblInd w:w="0" w:type="dxa"/>
        <w:tblLayout w:type="fixed"/>
        <w:tblCellMar>
          <w:top w:w="0" w:type="dxa"/>
          <w:left w:w="108" w:type="dxa"/>
          <w:bottom w:w="0" w:type="dxa"/>
          <w:right w:w="108" w:type="dxa"/>
        </w:tblCellMar>
      </w:tblPr>
      <w:tblGrid>
        <w:gridCol w:w="812"/>
        <w:gridCol w:w="995"/>
        <w:gridCol w:w="995"/>
        <w:gridCol w:w="566"/>
        <w:gridCol w:w="3971"/>
        <w:gridCol w:w="7165"/>
      </w:tblGrid>
      <w:tr w14:paraId="273A0124">
        <w:tblPrEx>
          <w:tblCellMar>
            <w:top w:w="0" w:type="dxa"/>
            <w:left w:w="108" w:type="dxa"/>
            <w:bottom w:w="0" w:type="dxa"/>
            <w:right w:w="108" w:type="dxa"/>
          </w:tblCellMar>
        </w:tblPrEx>
        <w:trPr>
          <w:cantSplit/>
          <w:trHeight w:val="516" w:hRule="atLeast"/>
          <w:tblHeader/>
        </w:trPr>
        <w:tc>
          <w:tcPr>
            <w:tcW w:w="14504" w:type="dxa"/>
            <w:gridSpan w:val="6"/>
            <w:tcBorders>
              <w:bottom w:val="single" w:color="auto" w:sz="4" w:space="0"/>
            </w:tcBorders>
            <w:shd w:val="clear" w:color="auto" w:fill="auto"/>
            <w:noWrap/>
            <w:vAlign w:val="center"/>
          </w:tcPr>
          <w:p w14:paraId="720435C5">
            <w:pPr>
              <w:pStyle w:val="14"/>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c>
      </w:tr>
      <w:tr w14:paraId="5CAF6A15">
        <w:tblPrEx>
          <w:tblCellMar>
            <w:top w:w="0" w:type="dxa"/>
            <w:left w:w="108" w:type="dxa"/>
            <w:bottom w:w="0" w:type="dxa"/>
            <w:right w:w="108" w:type="dxa"/>
          </w:tblCellMar>
        </w:tblPrEx>
        <w:trPr>
          <w:cantSplit/>
          <w:trHeight w:val="516" w:hRule="atLeast"/>
          <w:tblHeader/>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EF685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0179033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3B8935F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566" w:type="dxa"/>
            <w:tcBorders>
              <w:top w:val="single" w:color="auto" w:sz="4" w:space="0"/>
              <w:left w:val="nil"/>
              <w:bottom w:val="single" w:color="auto" w:sz="4" w:space="0"/>
              <w:right w:val="single" w:color="auto" w:sz="4" w:space="0"/>
            </w:tcBorders>
            <w:shd w:val="clear" w:color="auto" w:fill="auto"/>
            <w:noWrap/>
            <w:vAlign w:val="center"/>
          </w:tcPr>
          <w:p w14:paraId="0FAE2F8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3971" w:type="dxa"/>
            <w:tcBorders>
              <w:top w:val="single" w:color="auto" w:sz="4" w:space="0"/>
              <w:left w:val="nil"/>
              <w:bottom w:val="single" w:color="auto" w:sz="4" w:space="0"/>
              <w:right w:val="single" w:color="auto" w:sz="4" w:space="0"/>
            </w:tcBorders>
            <w:shd w:val="clear" w:color="auto" w:fill="auto"/>
            <w:noWrap/>
            <w:vAlign w:val="center"/>
          </w:tcPr>
          <w:p w14:paraId="52896D5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7165" w:type="dxa"/>
            <w:tcBorders>
              <w:top w:val="single" w:color="auto" w:sz="4" w:space="0"/>
              <w:left w:val="nil"/>
              <w:bottom w:val="single" w:color="auto" w:sz="4" w:space="0"/>
              <w:right w:val="single" w:color="auto" w:sz="4" w:space="0"/>
            </w:tcBorders>
            <w:shd w:val="clear" w:color="auto" w:fill="auto"/>
            <w:noWrap/>
            <w:vAlign w:val="center"/>
          </w:tcPr>
          <w:p w14:paraId="0713DBF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01E39A07">
        <w:tblPrEx>
          <w:tblCellMar>
            <w:top w:w="0" w:type="dxa"/>
            <w:left w:w="108" w:type="dxa"/>
            <w:bottom w:w="0" w:type="dxa"/>
            <w:right w:w="108" w:type="dxa"/>
          </w:tblCellMar>
        </w:tblPrEx>
        <w:trPr>
          <w:cantSplit/>
          <w:trHeight w:val="116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6428E3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754393A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995" w:type="dxa"/>
            <w:tcBorders>
              <w:top w:val="nil"/>
              <w:left w:val="nil"/>
              <w:bottom w:val="single" w:color="auto" w:sz="4" w:space="0"/>
              <w:right w:val="single" w:color="auto" w:sz="4" w:space="0"/>
            </w:tcBorders>
            <w:shd w:val="clear" w:color="auto" w:fill="auto"/>
            <w:vAlign w:val="center"/>
          </w:tcPr>
          <w:p w14:paraId="13A7737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566" w:type="dxa"/>
            <w:tcBorders>
              <w:top w:val="nil"/>
              <w:left w:val="nil"/>
              <w:bottom w:val="single" w:color="auto" w:sz="4" w:space="0"/>
              <w:right w:val="single" w:color="auto" w:sz="4" w:space="0"/>
            </w:tcBorders>
            <w:shd w:val="clear" w:color="auto" w:fill="auto"/>
            <w:vAlign w:val="center"/>
          </w:tcPr>
          <w:p w14:paraId="661A28B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3971" w:type="dxa"/>
            <w:tcBorders>
              <w:top w:val="nil"/>
              <w:left w:val="nil"/>
              <w:bottom w:val="single" w:color="auto" w:sz="4" w:space="0"/>
              <w:right w:val="single" w:color="auto" w:sz="4" w:space="0"/>
            </w:tcBorders>
            <w:shd w:val="clear" w:color="auto" w:fill="auto"/>
            <w:vAlign w:val="center"/>
          </w:tcPr>
          <w:p w14:paraId="5237139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7165" w:type="dxa"/>
            <w:tcBorders>
              <w:top w:val="nil"/>
              <w:left w:val="nil"/>
              <w:bottom w:val="single" w:color="auto" w:sz="4" w:space="0"/>
              <w:right w:val="single" w:color="auto" w:sz="4" w:space="0"/>
            </w:tcBorders>
            <w:shd w:val="clear" w:color="auto" w:fill="auto"/>
            <w:vAlign w:val="center"/>
          </w:tcPr>
          <w:p w14:paraId="48D22E8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128FDDA5">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6744DFD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995" w:type="dxa"/>
            <w:vMerge w:val="continue"/>
            <w:tcBorders>
              <w:top w:val="nil"/>
              <w:left w:val="single" w:color="auto" w:sz="4" w:space="0"/>
              <w:bottom w:val="single" w:color="auto" w:sz="4" w:space="0"/>
              <w:right w:val="single" w:color="auto" w:sz="4" w:space="0"/>
            </w:tcBorders>
            <w:vAlign w:val="center"/>
          </w:tcPr>
          <w:p w14:paraId="15D8D922">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1DB3964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566" w:type="dxa"/>
            <w:tcBorders>
              <w:top w:val="nil"/>
              <w:left w:val="nil"/>
              <w:bottom w:val="single" w:color="auto" w:sz="4" w:space="0"/>
              <w:right w:val="single" w:color="auto" w:sz="4" w:space="0"/>
            </w:tcBorders>
            <w:shd w:val="clear" w:color="auto" w:fill="auto"/>
            <w:noWrap/>
            <w:vAlign w:val="center"/>
          </w:tcPr>
          <w:p w14:paraId="35D1038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3971" w:type="dxa"/>
            <w:tcBorders>
              <w:top w:val="nil"/>
              <w:left w:val="nil"/>
              <w:bottom w:val="single" w:color="auto" w:sz="4" w:space="0"/>
              <w:right w:val="single" w:color="auto" w:sz="4" w:space="0"/>
            </w:tcBorders>
            <w:shd w:val="clear" w:color="auto" w:fill="auto"/>
            <w:vAlign w:val="center"/>
          </w:tcPr>
          <w:p w14:paraId="03A47C96">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7165" w:type="dxa"/>
            <w:tcBorders>
              <w:top w:val="nil"/>
              <w:left w:val="nil"/>
              <w:bottom w:val="single" w:color="auto" w:sz="4" w:space="0"/>
              <w:right w:val="single" w:color="auto" w:sz="4" w:space="0"/>
            </w:tcBorders>
            <w:shd w:val="clear" w:color="auto" w:fill="auto"/>
            <w:vAlign w:val="center"/>
          </w:tcPr>
          <w:p w14:paraId="007656C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73D3844E">
        <w:tblPrEx>
          <w:tblCellMar>
            <w:top w:w="0" w:type="dxa"/>
            <w:left w:w="108" w:type="dxa"/>
            <w:bottom w:w="0" w:type="dxa"/>
            <w:right w:w="108" w:type="dxa"/>
          </w:tblCellMar>
        </w:tblPrEx>
        <w:trPr>
          <w:cantSplit/>
          <w:trHeight w:val="101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697264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70D8442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995" w:type="dxa"/>
            <w:tcBorders>
              <w:top w:val="nil"/>
              <w:left w:val="nil"/>
              <w:bottom w:val="single" w:color="auto" w:sz="4" w:space="0"/>
              <w:right w:val="single" w:color="auto" w:sz="4" w:space="0"/>
            </w:tcBorders>
            <w:shd w:val="clear" w:color="auto" w:fill="auto"/>
            <w:vAlign w:val="center"/>
          </w:tcPr>
          <w:p w14:paraId="5AF4F87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566" w:type="dxa"/>
            <w:tcBorders>
              <w:top w:val="nil"/>
              <w:left w:val="nil"/>
              <w:bottom w:val="single" w:color="auto" w:sz="4" w:space="0"/>
              <w:right w:val="single" w:color="auto" w:sz="4" w:space="0"/>
            </w:tcBorders>
            <w:shd w:val="clear" w:color="auto" w:fill="auto"/>
            <w:noWrap/>
            <w:vAlign w:val="center"/>
          </w:tcPr>
          <w:p w14:paraId="3A21E48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nil"/>
              <w:right w:val="nil"/>
            </w:tcBorders>
            <w:shd w:val="clear" w:color="auto" w:fill="auto"/>
            <w:vAlign w:val="center"/>
          </w:tcPr>
          <w:p w14:paraId="169618A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评价落实《铜梁区巩固拓展脱贫攻坚成果和衔接乡村振兴项目库建设管理实施细则》（铜乡振〔2021〕7号）落实情况。根据抽查情况赋分。</w:t>
            </w:r>
          </w:p>
        </w:tc>
        <w:tc>
          <w:tcPr>
            <w:tcW w:w="7165" w:type="dxa"/>
            <w:tcBorders>
              <w:top w:val="nil"/>
              <w:left w:val="single" w:color="auto" w:sz="4" w:space="0"/>
              <w:bottom w:val="single" w:color="auto" w:sz="4" w:space="0"/>
              <w:right w:val="single" w:color="auto" w:sz="4" w:space="0"/>
            </w:tcBorders>
            <w:shd w:val="clear" w:color="auto" w:fill="auto"/>
            <w:vAlign w:val="center"/>
          </w:tcPr>
          <w:p w14:paraId="17BCE28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2.入库项目具备实施条件（2分）；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3.衔接资金用于项目库之外的项目（-5分）。</w:t>
            </w:r>
          </w:p>
        </w:tc>
      </w:tr>
      <w:tr w14:paraId="6AC6666D">
        <w:tblPrEx>
          <w:tblCellMar>
            <w:top w:w="0" w:type="dxa"/>
            <w:left w:w="108" w:type="dxa"/>
            <w:bottom w:w="0" w:type="dxa"/>
            <w:right w:w="108" w:type="dxa"/>
          </w:tblCellMar>
        </w:tblPrEx>
        <w:trPr>
          <w:cantSplit/>
          <w:trHeight w:val="1261"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7D2E149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995" w:type="dxa"/>
            <w:vMerge w:val="continue"/>
            <w:tcBorders>
              <w:top w:val="nil"/>
              <w:left w:val="single" w:color="auto" w:sz="4" w:space="0"/>
              <w:bottom w:val="single" w:color="auto" w:sz="4" w:space="0"/>
              <w:right w:val="single" w:color="auto" w:sz="4" w:space="0"/>
            </w:tcBorders>
            <w:vAlign w:val="center"/>
          </w:tcPr>
          <w:p w14:paraId="083B07B3">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39952A7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566" w:type="dxa"/>
            <w:tcBorders>
              <w:top w:val="nil"/>
              <w:left w:val="nil"/>
              <w:bottom w:val="single" w:color="auto" w:sz="4" w:space="0"/>
              <w:right w:val="single" w:color="auto" w:sz="4" w:space="0"/>
            </w:tcBorders>
            <w:shd w:val="clear" w:color="auto" w:fill="auto"/>
            <w:noWrap/>
            <w:vAlign w:val="center"/>
          </w:tcPr>
          <w:p w14:paraId="433DEA6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single" w:color="auto" w:sz="4" w:space="0"/>
              <w:left w:val="nil"/>
              <w:bottom w:val="single" w:color="auto" w:sz="4" w:space="0"/>
              <w:right w:val="single" w:color="auto" w:sz="4" w:space="0"/>
            </w:tcBorders>
            <w:shd w:val="clear" w:color="auto" w:fill="auto"/>
            <w:vAlign w:val="center"/>
          </w:tcPr>
          <w:p w14:paraId="263BA91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评价具体项目实施方案明确绩效目标情况、开展跟踪监督绩效监控情况、事后评价情况等。根据抽抽情况赋分。</w:t>
            </w:r>
          </w:p>
        </w:tc>
        <w:tc>
          <w:tcPr>
            <w:tcW w:w="7165" w:type="dxa"/>
            <w:tcBorders>
              <w:top w:val="nil"/>
              <w:left w:val="nil"/>
              <w:bottom w:val="single" w:color="auto" w:sz="4" w:space="0"/>
              <w:right w:val="single" w:color="auto" w:sz="4" w:space="0"/>
            </w:tcBorders>
            <w:shd w:val="clear" w:color="auto" w:fill="auto"/>
            <w:vAlign w:val="center"/>
          </w:tcPr>
          <w:p w14:paraId="181E600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2.开展绩效监控不少于1次（2分）；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3.对绩效目标偏离项目采取纠偏措施（2分）；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4.项目实施完毕后立即开展绩效自评，并形成绩效自评报告及绩效自评表。（2分）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5.项目绩效是否达到预期。（2分）</w:t>
            </w:r>
          </w:p>
        </w:tc>
      </w:tr>
      <w:tr w14:paraId="35E500A9">
        <w:tblPrEx>
          <w:tblCellMar>
            <w:top w:w="0" w:type="dxa"/>
            <w:left w:w="108" w:type="dxa"/>
            <w:bottom w:w="0" w:type="dxa"/>
            <w:right w:w="108" w:type="dxa"/>
          </w:tblCellMar>
        </w:tblPrEx>
        <w:trPr>
          <w:cantSplit/>
          <w:trHeight w:val="12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4028C3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995" w:type="dxa"/>
            <w:vMerge w:val="continue"/>
            <w:tcBorders>
              <w:top w:val="nil"/>
              <w:left w:val="single" w:color="auto" w:sz="4" w:space="0"/>
              <w:bottom w:val="single" w:color="auto" w:sz="4" w:space="0"/>
              <w:right w:val="single" w:color="auto" w:sz="4" w:space="0"/>
            </w:tcBorders>
            <w:vAlign w:val="center"/>
          </w:tcPr>
          <w:p w14:paraId="4BFE183E">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242899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566" w:type="dxa"/>
            <w:tcBorders>
              <w:top w:val="nil"/>
              <w:left w:val="nil"/>
              <w:bottom w:val="single" w:color="auto" w:sz="4" w:space="0"/>
              <w:right w:val="single" w:color="auto" w:sz="4" w:space="0"/>
            </w:tcBorders>
            <w:shd w:val="clear" w:color="auto" w:fill="auto"/>
            <w:vAlign w:val="center"/>
          </w:tcPr>
          <w:p w14:paraId="68B0E64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3971" w:type="dxa"/>
            <w:tcBorders>
              <w:top w:val="nil"/>
              <w:left w:val="nil"/>
              <w:bottom w:val="single" w:color="auto" w:sz="4" w:space="0"/>
              <w:right w:val="single" w:color="auto" w:sz="4" w:space="0"/>
            </w:tcBorders>
            <w:shd w:val="clear" w:color="auto" w:fill="auto"/>
            <w:vAlign w:val="center"/>
          </w:tcPr>
          <w:p w14:paraId="5CDC1F5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评价有序推进项目前期工作、组织实施、项目验收、资料报送等情况。根据抽抽情况赋分。</w:t>
            </w:r>
          </w:p>
        </w:tc>
        <w:tc>
          <w:tcPr>
            <w:tcW w:w="7165" w:type="dxa"/>
            <w:tcBorders>
              <w:top w:val="nil"/>
              <w:left w:val="nil"/>
              <w:bottom w:val="single" w:color="auto" w:sz="4" w:space="0"/>
              <w:right w:val="single" w:color="auto" w:sz="4" w:space="0"/>
            </w:tcBorders>
            <w:shd w:val="clear" w:color="auto" w:fill="auto"/>
            <w:vAlign w:val="center"/>
          </w:tcPr>
          <w:p w14:paraId="3EA05C0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2.是否定期对项目实施情况进行监督检查，对检查中发现的问题进行整改；（2分）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3.是否按照项目实施节点按时提交项目报账资料；（1分）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4.日常管理资料是否及时归档整理；（1分）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5.项目完工后是否在规定时间内进行验收。（1分）</w:t>
            </w:r>
          </w:p>
        </w:tc>
      </w:tr>
      <w:tr w14:paraId="2A6914AE">
        <w:tblPrEx>
          <w:tblCellMar>
            <w:top w:w="0" w:type="dxa"/>
            <w:left w:w="108" w:type="dxa"/>
            <w:bottom w:w="0" w:type="dxa"/>
            <w:right w:w="108" w:type="dxa"/>
          </w:tblCellMar>
        </w:tblPrEx>
        <w:trPr>
          <w:cantSplit/>
          <w:trHeight w:val="218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F2B1EE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995" w:type="dxa"/>
            <w:vMerge w:val="continue"/>
            <w:tcBorders>
              <w:top w:val="nil"/>
              <w:left w:val="single" w:color="auto" w:sz="4" w:space="0"/>
              <w:bottom w:val="single" w:color="auto" w:sz="4" w:space="0"/>
              <w:right w:val="single" w:color="auto" w:sz="4" w:space="0"/>
            </w:tcBorders>
            <w:vAlign w:val="center"/>
          </w:tcPr>
          <w:p w14:paraId="4F0E53B1">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4E1F79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566" w:type="dxa"/>
            <w:tcBorders>
              <w:top w:val="nil"/>
              <w:left w:val="nil"/>
              <w:bottom w:val="single" w:color="auto" w:sz="4" w:space="0"/>
              <w:right w:val="single" w:color="auto" w:sz="4" w:space="0"/>
            </w:tcBorders>
            <w:shd w:val="clear" w:color="auto" w:fill="auto"/>
            <w:noWrap/>
            <w:vAlign w:val="center"/>
          </w:tcPr>
          <w:p w14:paraId="0E10D3A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3971" w:type="dxa"/>
            <w:tcBorders>
              <w:top w:val="nil"/>
              <w:left w:val="nil"/>
              <w:bottom w:val="single" w:color="auto" w:sz="4" w:space="0"/>
              <w:right w:val="single" w:color="auto" w:sz="4" w:space="0"/>
            </w:tcBorders>
            <w:shd w:val="clear" w:color="auto" w:fill="auto"/>
            <w:vAlign w:val="center"/>
          </w:tcPr>
          <w:p w14:paraId="0CCFFF9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15DC72C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主要通过支出进度评价有序推进项目工作和资金支付情况，于7月末、10月中旬定期调度。</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1</w:t>
            </w:r>
            <w:r>
              <w:rPr>
                <w:rFonts w:hint="default" w:ascii="Arial Narrow" w:hAnsi="Arial Narrow" w:eastAsia="仿宋_GB2312" w:cs="Arial Narrow"/>
                <w:kern w:val="0"/>
                <w:sz w:val="16"/>
                <w:szCs w:val="16"/>
              </w:rPr>
              <w:t>.7月末支出进度评分4分。资金支出进度达到全区平均进度或者序时进度的，得满分；未达到的按照与序时进度的比例扣分；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2</w:t>
            </w:r>
            <w:r>
              <w:rPr>
                <w:rFonts w:hint="default" w:ascii="Arial Narrow" w:hAnsi="Arial Narrow" w:eastAsia="仿宋_GB2312" w:cs="Arial Narrow"/>
                <w:kern w:val="0"/>
                <w:sz w:val="16"/>
                <w:szCs w:val="16"/>
              </w:rPr>
              <w:t>.10月中旬支出进度评分4分。资金支出进度达到全区平均进度或者序时进度的，得满分；未达到的按照与序时进度的比例扣分；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3</w:t>
            </w:r>
            <w:r>
              <w:rPr>
                <w:rFonts w:hint="default" w:ascii="Arial Narrow" w:hAnsi="Arial Narrow" w:eastAsia="仿宋_GB2312" w:cs="Arial Narrow"/>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6B7B6682">
        <w:tblPrEx>
          <w:tblCellMar>
            <w:top w:w="0" w:type="dxa"/>
            <w:left w:w="108" w:type="dxa"/>
            <w:bottom w:w="0" w:type="dxa"/>
            <w:right w:w="108" w:type="dxa"/>
          </w:tblCellMar>
        </w:tblPrEx>
        <w:trPr>
          <w:cantSplit/>
          <w:trHeight w:val="112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9427BF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995" w:type="dxa"/>
            <w:vMerge w:val="continue"/>
            <w:tcBorders>
              <w:top w:val="nil"/>
              <w:left w:val="single" w:color="auto" w:sz="4" w:space="0"/>
              <w:bottom w:val="single" w:color="auto" w:sz="4" w:space="0"/>
              <w:right w:val="single" w:color="auto" w:sz="4" w:space="0"/>
            </w:tcBorders>
            <w:vAlign w:val="center"/>
          </w:tcPr>
          <w:p w14:paraId="592FAE28">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22790E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566" w:type="dxa"/>
            <w:tcBorders>
              <w:top w:val="nil"/>
              <w:left w:val="nil"/>
              <w:bottom w:val="single" w:color="auto" w:sz="4" w:space="0"/>
              <w:right w:val="single" w:color="auto" w:sz="4" w:space="0"/>
            </w:tcBorders>
            <w:shd w:val="clear" w:color="auto" w:fill="auto"/>
            <w:noWrap/>
            <w:vAlign w:val="center"/>
          </w:tcPr>
          <w:p w14:paraId="36F34F4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3971" w:type="dxa"/>
            <w:tcBorders>
              <w:top w:val="nil"/>
              <w:left w:val="nil"/>
              <w:bottom w:val="single" w:color="auto" w:sz="4" w:space="0"/>
              <w:right w:val="single" w:color="auto" w:sz="4" w:space="0"/>
            </w:tcBorders>
            <w:shd w:val="clear" w:color="auto" w:fill="auto"/>
            <w:vAlign w:val="center"/>
          </w:tcPr>
          <w:p w14:paraId="48DE094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评价定期开展监督检查情况、发现问题整改情况。根据未处理问题比例扣减。根据抽查情况赋分。</w:t>
            </w:r>
          </w:p>
        </w:tc>
        <w:tc>
          <w:tcPr>
            <w:tcW w:w="7165" w:type="dxa"/>
            <w:tcBorders>
              <w:top w:val="nil"/>
              <w:left w:val="nil"/>
              <w:bottom w:val="single" w:color="auto" w:sz="4" w:space="0"/>
              <w:right w:val="single" w:color="auto" w:sz="4" w:space="0"/>
            </w:tcBorders>
            <w:shd w:val="clear" w:color="auto" w:fill="auto"/>
            <w:vAlign w:val="center"/>
          </w:tcPr>
          <w:p w14:paraId="76CB5B8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2.跟踪督促及各类检查发现问题整改到位情况，满分5分，根据未整改问题比例扣减；</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2CB0EE99">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35BE4A1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995" w:type="dxa"/>
            <w:vMerge w:val="continue"/>
            <w:tcBorders>
              <w:top w:val="nil"/>
              <w:left w:val="single" w:color="auto" w:sz="4" w:space="0"/>
              <w:bottom w:val="single" w:color="auto" w:sz="4" w:space="0"/>
              <w:right w:val="single" w:color="auto" w:sz="4" w:space="0"/>
            </w:tcBorders>
            <w:vAlign w:val="center"/>
          </w:tcPr>
          <w:p w14:paraId="6527B369">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3DAF61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566" w:type="dxa"/>
            <w:tcBorders>
              <w:top w:val="nil"/>
              <w:left w:val="nil"/>
              <w:bottom w:val="single" w:color="auto" w:sz="4" w:space="0"/>
              <w:right w:val="single" w:color="auto" w:sz="4" w:space="0"/>
            </w:tcBorders>
            <w:shd w:val="clear" w:color="auto" w:fill="auto"/>
            <w:noWrap/>
            <w:vAlign w:val="center"/>
          </w:tcPr>
          <w:p w14:paraId="3E1DDCC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59A4A2E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326967B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2.档案管理是否完整、合规、真实。（1分）</w:t>
            </w:r>
          </w:p>
        </w:tc>
      </w:tr>
      <w:tr w14:paraId="7F1407A5">
        <w:tblPrEx>
          <w:tblCellMar>
            <w:top w:w="0" w:type="dxa"/>
            <w:left w:w="108" w:type="dxa"/>
            <w:bottom w:w="0" w:type="dxa"/>
            <w:right w:w="108" w:type="dxa"/>
          </w:tblCellMar>
        </w:tblPrEx>
        <w:trPr>
          <w:cantSplit/>
          <w:trHeight w:val="115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CFB323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995" w:type="dxa"/>
            <w:vMerge w:val="continue"/>
            <w:tcBorders>
              <w:top w:val="nil"/>
              <w:left w:val="single" w:color="auto" w:sz="4" w:space="0"/>
              <w:bottom w:val="single" w:color="auto" w:sz="4" w:space="0"/>
              <w:right w:val="single" w:color="auto" w:sz="4" w:space="0"/>
            </w:tcBorders>
            <w:vAlign w:val="center"/>
          </w:tcPr>
          <w:p w14:paraId="79886B44">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7FE2202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566" w:type="dxa"/>
            <w:tcBorders>
              <w:top w:val="nil"/>
              <w:left w:val="nil"/>
              <w:bottom w:val="single" w:color="auto" w:sz="4" w:space="0"/>
              <w:right w:val="single" w:color="auto" w:sz="4" w:space="0"/>
            </w:tcBorders>
            <w:shd w:val="clear" w:color="auto" w:fill="auto"/>
            <w:noWrap/>
            <w:vAlign w:val="center"/>
          </w:tcPr>
          <w:p w14:paraId="18564F0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3971" w:type="dxa"/>
            <w:tcBorders>
              <w:top w:val="nil"/>
              <w:left w:val="nil"/>
              <w:bottom w:val="single" w:color="auto" w:sz="4" w:space="0"/>
              <w:right w:val="single" w:color="auto" w:sz="4" w:space="0"/>
            </w:tcBorders>
            <w:shd w:val="clear" w:color="auto" w:fill="auto"/>
            <w:vAlign w:val="center"/>
          </w:tcPr>
          <w:p w14:paraId="7A9346DF">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547B837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1.抽查区级公示公开情况，满分3分，未完整公开酌情扣分；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2.抽查镇级公示公开情况，满分3分，未完整公开酌情扣分；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3.抽查村级公示公开情况，满分3分，未完整公开酌情扣分。</w:t>
            </w:r>
          </w:p>
        </w:tc>
      </w:tr>
      <w:tr w14:paraId="4F934BD5">
        <w:tblPrEx>
          <w:tblCellMar>
            <w:top w:w="0" w:type="dxa"/>
            <w:left w:w="108" w:type="dxa"/>
            <w:bottom w:w="0" w:type="dxa"/>
            <w:right w:w="108" w:type="dxa"/>
          </w:tblCellMar>
        </w:tblPrEx>
        <w:trPr>
          <w:cantSplit/>
          <w:trHeight w:val="16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532258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097B102E">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995" w:type="dxa"/>
            <w:tcBorders>
              <w:top w:val="nil"/>
              <w:left w:val="nil"/>
              <w:bottom w:val="single" w:color="auto" w:sz="4" w:space="0"/>
              <w:right w:val="single" w:color="auto" w:sz="4" w:space="0"/>
            </w:tcBorders>
            <w:shd w:val="clear" w:color="auto" w:fill="auto"/>
            <w:vAlign w:val="center"/>
          </w:tcPr>
          <w:p w14:paraId="7FBE62D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566" w:type="dxa"/>
            <w:tcBorders>
              <w:top w:val="nil"/>
              <w:left w:val="nil"/>
              <w:bottom w:val="single" w:color="auto" w:sz="4" w:space="0"/>
              <w:right w:val="single" w:color="auto" w:sz="4" w:space="0"/>
            </w:tcBorders>
            <w:shd w:val="clear" w:color="auto" w:fill="auto"/>
            <w:noWrap/>
            <w:vAlign w:val="center"/>
          </w:tcPr>
          <w:p w14:paraId="4F670F0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3971" w:type="dxa"/>
            <w:tcBorders>
              <w:top w:val="nil"/>
              <w:left w:val="nil"/>
              <w:bottom w:val="single" w:color="auto" w:sz="4" w:space="0"/>
              <w:right w:val="single" w:color="auto" w:sz="4" w:space="0"/>
            </w:tcBorders>
            <w:shd w:val="clear" w:color="auto" w:fill="auto"/>
            <w:vAlign w:val="center"/>
          </w:tcPr>
          <w:p w14:paraId="7645CF3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评价项目是否达到预期成效，后续管护是否存在问题等。根据抽查情况赋分。</w:t>
            </w:r>
          </w:p>
        </w:tc>
        <w:tc>
          <w:tcPr>
            <w:tcW w:w="7165" w:type="dxa"/>
            <w:tcBorders>
              <w:top w:val="nil"/>
              <w:left w:val="nil"/>
              <w:bottom w:val="single" w:color="auto" w:sz="4" w:space="0"/>
              <w:right w:val="single" w:color="auto" w:sz="4" w:space="0"/>
            </w:tcBorders>
            <w:shd w:val="clear" w:color="auto" w:fill="auto"/>
            <w:vAlign w:val="center"/>
          </w:tcPr>
          <w:p w14:paraId="3E65007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满分35分，根据抽查项目情况赋分。项目管理各环节，每存在一例不符合相关规定的，扣0.5分，扣完为止。</w:t>
            </w:r>
          </w:p>
        </w:tc>
      </w:tr>
      <w:tr w14:paraId="21696E2E">
        <w:tblPrEx>
          <w:tblCellMar>
            <w:top w:w="0" w:type="dxa"/>
            <w:left w:w="108" w:type="dxa"/>
            <w:bottom w:w="0" w:type="dxa"/>
            <w:right w:w="108" w:type="dxa"/>
          </w:tblCellMar>
        </w:tblPrEx>
        <w:trPr>
          <w:cantSplit/>
          <w:trHeight w:val="767"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6BD423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995" w:type="dxa"/>
            <w:vMerge w:val="continue"/>
            <w:tcBorders>
              <w:top w:val="nil"/>
              <w:left w:val="single" w:color="auto" w:sz="4" w:space="0"/>
              <w:bottom w:val="single" w:color="auto" w:sz="4" w:space="0"/>
              <w:right w:val="single" w:color="auto" w:sz="4" w:space="0"/>
            </w:tcBorders>
            <w:vAlign w:val="center"/>
          </w:tcPr>
          <w:p w14:paraId="4B857CD1">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C68064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566" w:type="dxa"/>
            <w:tcBorders>
              <w:top w:val="nil"/>
              <w:left w:val="nil"/>
              <w:bottom w:val="single" w:color="auto" w:sz="4" w:space="0"/>
              <w:right w:val="single" w:color="auto" w:sz="4" w:space="0"/>
            </w:tcBorders>
            <w:shd w:val="clear" w:color="auto" w:fill="auto"/>
            <w:vAlign w:val="center"/>
          </w:tcPr>
          <w:p w14:paraId="5637A0B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61D5FC8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7165" w:type="dxa"/>
            <w:tcBorders>
              <w:top w:val="nil"/>
              <w:left w:val="nil"/>
              <w:bottom w:val="single" w:color="auto" w:sz="4" w:space="0"/>
              <w:right w:val="single" w:color="auto" w:sz="4" w:space="0"/>
            </w:tcBorders>
            <w:shd w:val="clear" w:color="auto" w:fill="auto"/>
            <w:vAlign w:val="center"/>
          </w:tcPr>
          <w:p w14:paraId="623518B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2B6E540F">
        <w:tblPrEx>
          <w:tblCellMar>
            <w:top w:w="0" w:type="dxa"/>
            <w:left w:w="108" w:type="dxa"/>
            <w:bottom w:w="0" w:type="dxa"/>
            <w:right w:w="108" w:type="dxa"/>
          </w:tblCellMar>
        </w:tblPrEx>
        <w:trPr>
          <w:cantSplit/>
          <w:trHeight w:val="90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49AD3E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995" w:type="dxa"/>
            <w:vMerge w:val="restart"/>
            <w:tcBorders>
              <w:top w:val="nil"/>
              <w:left w:val="single" w:color="auto" w:sz="4" w:space="0"/>
              <w:bottom w:val="single" w:color="000000" w:sz="4" w:space="0"/>
              <w:right w:val="single" w:color="auto" w:sz="4" w:space="0"/>
            </w:tcBorders>
            <w:shd w:val="clear" w:color="auto" w:fill="auto"/>
            <w:vAlign w:val="center"/>
          </w:tcPr>
          <w:p w14:paraId="5190D21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995" w:type="dxa"/>
            <w:tcBorders>
              <w:top w:val="nil"/>
              <w:left w:val="nil"/>
              <w:bottom w:val="single" w:color="auto" w:sz="4" w:space="0"/>
              <w:right w:val="single" w:color="auto" w:sz="4" w:space="0"/>
            </w:tcBorders>
            <w:shd w:val="clear" w:color="auto" w:fill="auto"/>
            <w:vAlign w:val="center"/>
          </w:tcPr>
          <w:p w14:paraId="471D849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566" w:type="dxa"/>
            <w:tcBorders>
              <w:top w:val="nil"/>
              <w:left w:val="nil"/>
              <w:bottom w:val="single" w:color="auto" w:sz="4" w:space="0"/>
              <w:right w:val="single" w:color="auto" w:sz="4" w:space="0"/>
            </w:tcBorders>
            <w:shd w:val="clear" w:color="auto" w:fill="auto"/>
            <w:vAlign w:val="center"/>
          </w:tcPr>
          <w:p w14:paraId="41476DC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0809892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7165" w:type="dxa"/>
            <w:tcBorders>
              <w:top w:val="nil"/>
              <w:left w:val="nil"/>
              <w:bottom w:val="single" w:color="auto" w:sz="4" w:space="0"/>
              <w:right w:val="single" w:color="auto" w:sz="4" w:space="0"/>
            </w:tcBorders>
            <w:shd w:val="clear" w:color="auto" w:fill="auto"/>
            <w:vAlign w:val="center"/>
          </w:tcPr>
          <w:p w14:paraId="3662D30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59DB5B8A">
        <w:tblPrEx>
          <w:tblCellMar>
            <w:top w:w="0" w:type="dxa"/>
            <w:left w:w="108" w:type="dxa"/>
            <w:bottom w:w="0" w:type="dxa"/>
            <w:right w:w="108" w:type="dxa"/>
          </w:tblCellMar>
        </w:tblPrEx>
        <w:trPr>
          <w:cantSplit/>
          <w:trHeight w:val="816"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1EA9D5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995" w:type="dxa"/>
            <w:vMerge w:val="continue"/>
            <w:tcBorders>
              <w:top w:val="nil"/>
              <w:left w:val="single" w:color="auto" w:sz="4" w:space="0"/>
              <w:bottom w:val="single" w:color="000000" w:sz="4" w:space="0"/>
              <w:right w:val="single" w:color="auto" w:sz="4" w:space="0"/>
            </w:tcBorders>
            <w:vAlign w:val="center"/>
          </w:tcPr>
          <w:p w14:paraId="4777EB90">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F29968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566" w:type="dxa"/>
            <w:tcBorders>
              <w:top w:val="nil"/>
              <w:left w:val="nil"/>
              <w:bottom w:val="single" w:color="auto" w:sz="4" w:space="0"/>
              <w:right w:val="single" w:color="auto" w:sz="4" w:space="0"/>
            </w:tcBorders>
            <w:shd w:val="clear" w:color="auto" w:fill="auto"/>
            <w:vAlign w:val="center"/>
          </w:tcPr>
          <w:p w14:paraId="117CBEE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nil"/>
              <w:left w:val="nil"/>
              <w:bottom w:val="single" w:color="auto" w:sz="4" w:space="0"/>
              <w:right w:val="single" w:color="auto" w:sz="4" w:space="0"/>
            </w:tcBorders>
            <w:shd w:val="clear" w:color="auto" w:fill="auto"/>
            <w:vAlign w:val="center"/>
          </w:tcPr>
          <w:p w14:paraId="3218147E">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7165" w:type="dxa"/>
            <w:tcBorders>
              <w:top w:val="nil"/>
              <w:left w:val="nil"/>
              <w:bottom w:val="single" w:color="auto" w:sz="4" w:space="0"/>
              <w:right w:val="single" w:color="auto" w:sz="4" w:space="0"/>
            </w:tcBorders>
            <w:shd w:val="clear" w:color="auto" w:fill="auto"/>
            <w:vAlign w:val="center"/>
          </w:tcPr>
          <w:p w14:paraId="09306403">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65C222AB">
      <w:pPr>
        <w:rPr>
          <w:rFonts w:ascii="Arial Narrow" w:hAnsi="Arial Narrow" w:eastAsia="仿宋_GB2312" w:cs="宋体"/>
          <w:kern w:val="0"/>
          <w:sz w:val="24"/>
        </w:rPr>
      </w:pPr>
    </w:p>
    <w:p w14:paraId="47AD2674">
      <w:pPr>
        <w:rPr>
          <w:rFonts w:ascii="Arial Narrow" w:hAnsi="Arial Narrow" w:eastAsia="仿宋_GB2312" w:cs="宋体"/>
          <w:kern w:val="0"/>
          <w:sz w:val="24"/>
        </w:rPr>
        <w:sectPr>
          <w:pgSz w:w="16840" w:h="11907" w:orient="landscape"/>
          <w:pgMar w:top="1418" w:right="1134" w:bottom="1134" w:left="1418" w:header="851" w:footer="851" w:gutter="0"/>
          <w:cols w:space="425" w:num="1"/>
          <w:docGrid w:linePitch="312" w:charSpace="0"/>
        </w:sectPr>
      </w:pPr>
    </w:p>
    <w:p w14:paraId="624A7AB3">
      <w:pPr>
        <w:spacing w:before="120" w:beforeLines="50" w:line="360" w:lineRule="auto"/>
        <w:ind w:firstLine="482" w:firstLineChars="200"/>
        <w:jc w:val="left"/>
        <w:outlineLvl w:val="0"/>
        <w:rPr>
          <w:rFonts w:ascii="Arial Narrow" w:hAnsi="Arial Narrow" w:eastAsia="仿宋_GB2312"/>
          <w:b/>
          <w:sz w:val="24"/>
        </w:rPr>
      </w:pPr>
      <w:bookmarkStart w:id="19" w:name="_Toc1795"/>
      <w:r>
        <w:rPr>
          <w:rFonts w:ascii="Arial Narrow" w:hAnsi="Arial Narrow" w:eastAsia="仿宋_GB2312"/>
          <w:b/>
          <w:sz w:val="24"/>
        </w:rPr>
        <w:t>（五）绩效评价标准和评价方法</w:t>
      </w:r>
      <w:bookmarkEnd w:id="19"/>
    </w:p>
    <w:p w14:paraId="1223706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绩效评价标准</w:t>
      </w:r>
    </w:p>
    <w:p w14:paraId="748E1D2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0606A5C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20" w:name="_Hlk162596803"/>
      <w:r>
        <w:rPr>
          <w:rFonts w:ascii="Arial Narrow" w:hAnsi="Arial Narrow" w:eastAsia="仿宋_GB2312"/>
          <w:color w:val="auto"/>
        </w:rPr>
        <w:t>≥90</w:t>
      </w:r>
      <w:bookmarkEnd w:id="20"/>
      <w:r>
        <w:rPr>
          <w:rFonts w:ascii="Arial Narrow" w:hAnsi="Arial Narrow" w:eastAsia="仿宋_GB2312"/>
          <w:color w:val="auto"/>
        </w:rPr>
        <w:t>）、良</w:t>
      </w:r>
      <w:bookmarkStart w:id="21" w:name="_Hlk168473502"/>
      <w:r>
        <w:rPr>
          <w:rFonts w:ascii="Arial Narrow" w:hAnsi="Arial Narrow" w:eastAsia="仿宋_GB2312"/>
          <w:color w:val="auto"/>
        </w:rPr>
        <w:t>（90＞得分≥80）</w:t>
      </w:r>
      <w:bookmarkEnd w:id="21"/>
      <w:r>
        <w:rPr>
          <w:rFonts w:ascii="Arial Narrow" w:hAnsi="Arial Narrow" w:eastAsia="仿宋_GB2312"/>
          <w:color w:val="auto"/>
        </w:rPr>
        <w:t>、中（80＞得分≥60）、差（得分＜60）四个等级，按百分制综合得分高低按分值划段确定。</w:t>
      </w:r>
    </w:p>
    <w:p w14:paraId="7B775A2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绩效评价方法</w:t>
      </w:r>
    </w:p>
    <w:p w14:paraId="71FB49D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4BC0ED6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610683F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443D1D2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4ADD985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63C1417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11C53614">
      <w:pPr>
        <w:spacing w:line="360" w:lineRule="auto"/>
        <w:ind w:firstLine="482" w:firstLineChars="200"/>
        <w:jc w:val="left"/>
        <w:outlineLvl w:val="0"/>
        <w:rPr>
          <w:rFonts w:ascii="Arial Narrow" w:hAnsi="Arial Narrow" w:eastAsia="仿宋_GB2312"/>
          <w:b/>
          <w:sz w:val="24"/>
        </w:rPr>
      </w:pPr>
      <w:bookmarkStart w:id="22" w:name="_Toc437528932"/>
      <w:bookmarkStart w:id="23" w:name="_Toc19154"/>
      <w:r>
        <w:rPr>
          <w:rFonts w:ascii="Arial Narrow" w:hAnsi="Arial Narrow" w:eastAsia="仿宋_GB2312"/>
          <w:b/>
          <w:sz w:val="24"/>
        </w:rPr>
        <w:t>（六）绩效评价</w:t>
      </w:r>
      <w:bookmarkEnd w:id="22"/>
      <w:r>
        <w:rPr>
          <w:rFonts w:ascii="Arial Narrow" w:hAnsi="Arial Narrow" w:eastAsia="仿宋_GB2312"/>
          <w:b/>
          <w:sz w:val="24"/>
        </w:rPr>
        <w:t>工作过程</w:t>
      </w:r>
      <w:bookmarkEnd w:id="23"/>
    </w:p>
    <w:p w14:paraId="35373C6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0BEBA9A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根据项目实际情况收集项目基础资料及数据深入了解项目整体情况。</w:t>
      </w:r>
    </w:p>
    <w:p w14:paraId="6D027C1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组织实施现场调查、检查、走访等具体工作。</w:t>
      </w:r>
    </w:p>
    <w:p w14:paraId="7A16C1D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依据收集到的项目相关资料和数据，比照经贵单位审定的评价指标体系的评分标准，分别对项目评价打分，汇总后加权平均形成综合评价得分，并对该项目的绩效评价等级进行确认。</w:t>
      </w:r>
    </w:p>
    <w:p w14:paraId="7D1C9C4B">
      <w:pPr>
        <w:spacing w:line="360" w:lineRule="auto"/>
        <w:ind w:firstLine="482" w:firstLineChars="200"/>
        <w:jc w:val="left"/>
        <w:outlineLvl w:val="0"/>
        <w:rPr>
          <w:rFonts w:ascii="Arial Narrow" w:hAnsi="Arial Narrow" w:eastAsia="仿宋_GB2312"/>
          <w:b/>
          <w:sz w:val="24"/>
        </w:rPr>
      </w:pPr>
      <w:bookmarkStart w:id="24" w:name="_Toc437528933"/>
      <w:bookmarkStart w:id="25" w:name="_Toc14445"/>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4"/>
      <w:r>
        <w:rPr>
          <w:rFonts w:ascii="Arial Narrow" w:hAnsi="Arial Narrow" w:eastAsia="仿宋_GB2312"/>
          <w:b/>
          <w:sz w:val="24"/>
        </w:rPr>
        <w:t>结论</w:t>
      </w:r>
      <w:bookmarkEnd w:id="25"/>
    </w:p>
    <w:p w14:paraId="3F746566">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绩效评价得分</w:t>
      </w:r>
      <w:r>
        <w:rPr>
          <w:rFonts w:hint="eastAsia" w:ascii="Arial Narrow" w:hAnsi="Arial Narrow" w:eastAsia="仿宋_GB2312" w:cs="宋体"/>
          <w:kern w:val="0"/>
          <w:sz w:val="24"/>
        </w:rPr>
        <w:t>90.00</w:t>
      </w:r>
      <w:r>
        <w:rPr>
          <w:rFonts w:hint="eastAsia" w:ascii="Arial Narrow" w:hAnsi="Arial Narrow" w:eastAsia="仿宋_GB2312"/>
          <w:sz w:val="24"/>
        </w:rPr>
        <w:t>分，</w:t>
      </w:r>
      <w:r>
        <w:rPr>
          <w:rFonts w:ascii="Arial Narrow" w:hAnsi="Arial Narrow" w:eastAsia="仿宋_GB2312"/>
          <w:sz w:val="24"/>
        </w:rPr>
        <w:t>绩效评价等级为：</w:t>
      </w:r>
      <w:r>
        <w:rPr>
          <w:rFonts w:hint="eastAsia" w:ascii="Arial Narrow" w:hAnsi="Arial Narrow" w:eastAsia="仿宋_GB2312"/>
          <w:sz w:val="24"/>
        </w:rPr>
        <w:t>优。</w:t>
      </w:r>
    </w:p>
    <w:p w14:paraId="50676721">
      <w:pPr>
        <w:spacing w:line="360" w:lineRule="auto"/>
        <w:ind w:firstLine="482" w:firstLineChars="200"/>
        <w:outlineLvl w:val="0"/>
        <w:rPr>
          <w:rFonts w:ascii="Arial Narrow" w:hAnsi="Arial Narrow" w:eastAsia="仿宋_GB2312"/>
          <w:b/>
          <w:sz w:val="24"/>
        </w:rPr>
      </w:pPr>
      <w:bookmarkStart w:id="26" w:name="_Toc2297"/>
      <w:r>
        <w:rPr>
          <w:rFonts w:hint="eastAsia" w:ascii="Arial Narrow" w:hAnsi="Arial Narrow" w:eastAsia="仿宋_GB2312"/>
          <w:b/>
          <w:sz w:val="24"/>
        </w:rPr>
        <w:t>四、</w:t>
      </w:r>
      <w:r>
        <w:rPr>
          <w:rFonts w:ascii="Arial Narrow" w:hAnsi="Arial Narrow" w:eastAsia="仿宋_GB2312"/>
          <w:b/>
          <w:sz w:val="24"/>
        </w:rPr>
        <w:t>综合评价情况</w:t>
      </w:r>
      <w:bookmarkEnd w:id="26"/>
    </w:p>
    <w:p w14:paraId="11BD224D">
      <w:pPr>
        <w:spacing w:line="360" w:lineRule="auto"/>
        <w:ind w:firstLine="482" w:firstLineChars="200"/>
        <w:jc w:val="left"/>
        <w:outlineLvl w:val="0"/>
        <w:rPr>
          <w:rFonts w:ascii="仿宋_GB2312" w:eastAsia="仿宋_GB2312"/>
          <w:b/>
          <w:sz w:val="24"/>
        </w:rPr>
      </w:pPr>
      <w:bookmarkStart w:id="27" w:name="_Toc15854"/>
      <w:r>
        <w:rPr>
          <w:rFonts w:hint="eastAsia" w:ascii="仿宋_GB2312" w:eastAsia="仿宋_GB2312"/>
          <w:b/>
          <w:sz w:val="24"/>
        </w:rPr>
        <w:t>（一）资金管理</w:t>
      </w:r>
      <w:bookmarkEnd w:id="27"/>
    </w:p>
    <w:p w14:paraId="2F6E8761">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财政衔接资金安排情况</w:t>
      </w:r>
    </w:p>
    <w:p w14:paraId="20FBDF7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6A622AC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资金分解下达进度</w:t>
      </w:r>
    </w:p>
    <w:p w14:paraId="787F1C5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526C28FC">
      <w:pPr>
        <w:spacing w:line="360" w:lineRule="auto"/>
        <w:ind w:firstLine="482" w:firstLineChars="200"/>
        <w:jc w:val="left"/>
        <w:outlineLvl w:val="0"/>
        <w:rPr>
          <w:rFonts w:ascii="仿宋_GB2312" w:eastAsia="仿宋_GB2312"/>
          <w:b/>
          <w:sz w:val="24"/>
        </w:rPr>
      </w:pPr>
      <w:bookmarkStart w:id="28" w:name="_Toc4915"/>
      <w:r>
        <w:rPr>
          <w:rFonts w:hint="eastAsia" w:ascii="仿宋_GB2312" w:eastAsia="仿宋_GB2312"/>
          <w:b/>
          <w:sz w:val="24"/>
        </w:rPr>
        <w:t>（二）项目管理</w:t>
      </w:r>
      <w:bookmarkEnd w:id="28"/>
    </w:p>
    <w:p w14:paraId="2D9468D4">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项目库建设管理情况</w:t>
      </w:r>
    </w:p>
    <w:p w14:paraId="3B756BA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项目入库及时充分、程序规范、内容完整，制定切合实际的实施方案，具备实施条件，衔接资金未用于项目库之外的项目。</w:t>
      </w:r>
    </w:p>
    <w:p w14:paraId="5BAE4D7D">
      <w:pPr>
        <w:adjustRightInd w:val="0"/>
        <w:snapToGrid w:val="0"/>
        <w:spacing w:line="360" w:lineRule="auto"/>
        <w:ind w:firstLine="480" w:firstLineChars="200"/>
        <w:rPr>
          <w:rFonts w:ascii="Arial Narrow" w:hAnsi="Arial Narrow" w:eastAsia="仿宋_GB2312"/>
          <w:color w:val="000000" w:themeColor="text1"/>
          <w:sz w:val="24"/>
          <w14:textFill>
            <w14:solidFill>
              <w14:schemeClr w14:val="tx1"/>
            </w14:solidFill>
          </w14:textFill>
        </w:rPr>
      </w:pPr>
      <w:r>
        <w:rPr>
          <w:rFonts w:hint="eastAsia" w:ascii="Arial Narrow" w:hAnsi="Arial Narrow" w:eastAsia="仿宋_GB2312"/>
          <w:color w:val="000000" w:themeColor="text1"/>
          <w:sz w:val="24"/>
          <w14:textFill>
            <w14:solidFill>
              <w14:schemeClr w14:val="tx1"/>
            </w14:solidFill>
          </w14:textFill>
        </w:rPr>
        <w:t>2</w:t>
      </w:r>
      <w:r>
        <w:rPr>
          <w:rFonts w:hint="eastAsia" w:ascii="Arial Narrow" w:hAnsi="Arial Narrow" w:eastAsia="仿宋_GB2312"/>
          <w:color w:val="000000" w:themeColor="text1"/>
          <w:sz w:val="24"/>
          <w:lang w:val="en-US" w:eastAsia="zh-CN"/>
          <w14:textFill>
            <w14:solidFill>
              <w14:schemeClr w14:val="tx1"/>
            </w14:solidFill>
          </w14:textFill>
        </w:rPr>
        <w:t>.</w:t>
      </w:r>
      <w:r>
        <w:rPr>
          <w:rFonts w:hint="eastAsia" w:ascii="Arial Narrow" w:hAnsi="Arial Narrow" w:eastAsia="仿宋_GB2312"/>
          <w:color w:val="000000" w:themeColor="text1"/>
          <w:sz w:val="24"/>
          <w14:textFill>
            <w14:solidFill>
              <w14:schemeClr w14:val="tx1"/>
            </w14:solidFill>
          </w14:textFill>
        </w:rPr>
        <w:t>项目绩效管理情况</w:t>
      </w:r>
    </w:p>
    <w:p w14:paraId="24329FE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color w:val="000000" w:themeColor="text1"/>
          <w:sz w:val="24"/>
          <w14:textFill>
            <w14:solidFill>
              <w14:schemeClr w14:val="tx1"/>
            </w14:solidFill>
          </w14:textFill>
        </w:rPr>
        <w:t>及时制定了明确的绩效目标，实施过程中对绩效目标进行监控，在项目实施完毕后开展了绩效自评，形成绩效自评表及自评报告。</w:t>
      </w:r>
    </w:p>
    <w:p w14:paraId="66A76DC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sz w:val="24"/>
        </w:rPr>
        <w:t>绩效基本达到预期。</w:t>
      </w:r>
    </w:p>
    <w:p w14:paraId="21B2BA9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sz w:val="24"/>
          <w:lang w:val="en-US" w:eastAsia="zh-CN"/>
        </w:rPr>
        <w:t>.</w:t>
      </w:r>
      <w:r>
        <w:rPr>
          <w:rFonts w:hint="eastAsia" w:ascii="Arial Narrow" w:hAnsi="Arial Narrow" w:eastAsia="仿宋_GB2312"/>
          <w:sz w:val="24"/>
        </w:rPr>
        <w:t>项目建设管理情况</w:t>
      </w:r>
    </w:p>
    <w:p w14:paraId="572C205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公益性岗位项目不涉及项目建设管理。</w:t>
      </w:r>
    </w:p>
    <w:p w14:paraId="0532C30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ascii="Arial Narrow" w:hAnsi="Arial Narrow" w:eastAsia="仿宋_GB2312"/>
          <w:sz w:val="24"/>
          <w:lang w:val="en-US" w:eastAsia="zh-CN"/>
        </w:rPr>
        <w:t>.</w:t>
      </w:r>
      <w:r>
        <w:rPr>
          <w:rFonts w:hint="eastAsia" w:ascii="Arial Narrow" w:hAnsi="Arial Narrow" w:eastAsia="仿宋_GB2312"/>
          <w:sz w:val="24"/>
        </w:rPr>
        <w:t>预算执行率情况</w:t>
      </w:r>
    </w:p>
    <w:p w14:paraId="6AE0A5A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公益性岗位项目最后一笔款项拨付于2023年10月13日，项目整体支付进度达标，未见明显异常。</w:t>
      </w:r>
    </w:p>
    <w:p w14:paraId="58CEAC1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w:t>
      </w:r>
      <w:r>
        <w:rPr>
          <w:rFonts w:hint="eastAsia" w:ascii="Arial Narrow" w:hAnsi="Arial Narrow" w:eastAsia="仿宋_GB2312"/>
          <w:sz w:val="24"/>
          <w:lang w:val="en-US" w:eastAsia="zh-CN"/>
        </w:rPr>
        <w:t>.</w:t>
      </w:r>
      <w:r>
        <w:rPr>
          <w:rFonts w:hint="eastAsia" w:ascii="Arial Narrow" w:hAnsi="Arial Narrow" w:eastAsia="仿宋_GB2312"/>
          <w:sz w:val="24"/>
        </w:rPr>
        <w:t>踪督促及发现问题整改情况</w:t>
      </w:r>
    </w:p>
    <w:p w14:paraId="3C9C45F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通过实施单位提供的检查表、自评表等资料显示，本项目实施单位定期开展项目实施和资金支出进度等跟踪督促，未发现异常情况。</w:t>
      </w:r>
    </w:p>
    <w:p w14:paraId="236E883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ascii="Arial Narrow" w:hAnsi="Arial Narrow" w:eastAsia="仿宋_GB2312"/>
          <w:sz w:val="24"/>
          <w:lang w:val="en-US" w:eastAsia="zh-CN"/>
        </w:rPr>
        <w:t>.</w:t>
      </w:r>
      <w:r>
        <w:rPr>
          <w:rFonts w:hint="eastAsia" w:ascii="Arial Narrow" w:hAnsi="Arial Narrow" w:eastAsia="仿宋_GB2312"/>
          <w:sz w:val="24"/>
        </w:rPr>
        <w:t>账务处理及档案管理等情况</w:t>
      </w:r>
    </w:p>
    <w:p w14:paraId="2D3A4F9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本项目实施单位对该项目账务处理规范，档案管理完整。归档不及时，扣1分。</w:t>
      </w:r>
    </w:p>
    <w:p w14:paraId="0C419C2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ascii="Arial Narrow" w:hAnsi="Arial Narrow" w:eastAsia="仿宋_GB2312"/>
          <w:sz w:val="24"/>
          <w:lang w:val="en-US" w:eastAsia="zh-CN"/>
        </w:rPr>
        <w:t>.</w:t>
      </w:r>
      <w:r>
        <w:rPr>
          <w:rFonts w:hint="eastAsia" w:ascii="Arial Narrow" w:hAnsi="Arial Narrow" w:eastAsia="仿宋_GB2312"/>
          <w:sz w:val="24"/>
        </w:rPr>
        <w:t>信息公开和公告公示制度落实情况</w:t>
      </w:r>
    </w:p>
    <w:p w14:paraId="7BB6E7F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无公示公告资料</w:t>
      </w:r>
      <w:r>
        <w:rPr>
          <w:rFonts w:hint="eastAsia" w:ascii="Arial Narrow" w:hAnsi="Arial Narrow" w:eastAsia="仿宋_GB2312" w:cs="宋体"/>
          <w:kern w:val="0"/>
          <w:sz w:val="24"/>
          <w:lang w:val="en-US" w:eastAsia="zh-CN"/>
        </w:rPr>
        <w:t>，扣9分。</w:t>
      </w:r>
    </w:p>
    <w:p w14:paraId="5E50ED22">
      <w:pPr>
        <w:spacing w:line="360" w:lineRule="auto"/>
        <w:ind w:firstLine="482" w:firstLineChars="200"/>
        <w:jc w:val="left"/>
        <w:outlineLvl w:val="0"/>
        <w:rPr>
          <w:rFonts w:ascii="仿宋_GB2312" w:eastAsia="仿宋_GB2312"/>
          <w:b/>
          <w:sz w:val="24"/>
        </w:rPr>
      </w:pPr>
      <w:bookmarkStart w:id="29" w:name="_Toc16168"/>
      <w:r>
        <w:rPr>
          <w:rFonts w:hint="eastAsia" w:ascii="仿宋_GB2312" w:eastAsia="仿宋_GB2312"/>
          <w:b/>
          <w:sz w:val="24"/>
        </w:rPr>
        <w:t>（三）使用成效及通报情况</w:t>
      </w:r>
      <w:bookmarkEnd w:id="29"/>
    </w:p>
    <w:p w14:paraId="15961046">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资金使用效益</w:t>
      </w:r>
    </w:p>
    <w:p w14:paraId="4D67CC2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项目总体资金均专款专用，项目完成进度和及时性达到计划预期目的，完成了绩效目标，已安排</w:t>
      </w:r>
      <w:r>
        <w:rPr>
          <w:rFonts w:hint="eastAsia" w:ascii="Arial Narrow" w:hAnsi="Arial Narrow" w:eastAsia="仿宋_GB2312" w:cs="宋体"/>
          <w:kern w:val="0"/>
          <w:sz w:val="24"/>
        </w:rPr>
        <w:t>农村垃圾治理公益性岗位75</w:t>
      </w:r>
      <w:r>
        <w:rPr>
          <w:rFonts w:hint="eastAsia" w:ascii="Arial Narrow" w:hAnsi="Arial Narrow" w:eastAsia="仿宋_GB2312"/>
          <w:sz w:val="24"/>
        </w:rPr>
        <w:t>个。</w:t>
      </w:r>
    </w:p>
    <w:p w14:paraId="1A9C205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通报情况</w:t>
      </w:r>
    </w:p>
    <w:p w14:paraId="797FBA6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项目实施管理日常表现良好，未被通报问题和反馈情况。</w:t>
      </w:r>
    </w:p>
    <w:p w14:paraId="3A564EFB">
      <w:pPr>
        <w:spacing w:line="360" w:lineRule="auto"/>
        <w:ind w:firstLine="482" w:firstLineChars="200"/>
        <w:outlineLvl w:val="0"/>
        <w:rPr>
          <w:rFonts w:ascii="Arial Narrow" w:hAnsi="Arial Narrow" w:eastAsia="仿宋_GB2312"/>
          <w:b/>
          <w:sz w:val="24"/>
        </w:rPr>
      </w:pPr>
      <w:bookmarkStart w:id="30" w:name="_Toc24430"/>
      <w:r>
        <w:rPr>
          <w:rFonts w:hint="eastAsia" w:ascii="Arial Narrow" w:hAnsi="Arial Narrow" w:eastAsia="仿宋_GB2312"/>
          <w:b/>
          <w:sz w:val="24"/>
        </w:rPr>
        <w:t>五</w:t>
      </w:r>
      <w:r>
        <w:rPr>
          <w:rFonts w:ascii="Arial Narrow" w:hAnsi="Arial Narrow" w:eastAsia="仿宋_GB2312"/>
          <w:b/>
          <w:sz w:val="24"/>
        </w:rPr>
        <w:t>、存在的问题和建议</w:t>
      </w:r>
      <w:bookmarkEnd w:id="30"/>
    </w:p>
    <w:p w14:paraId="298FC028">
      <w:pPr>
        <w:spacing w:line="360" w:lineRule="auto"/>
        <w:ind w:firstLine="482" w:firstLineChars="200"/>
        <w:jc w:val="left"/>
        <w:outlineLvl w:val="0"/>
        <w:rPr>
          <w:rFonts w:ascii="仿宋_GB2312" w:eastAsia="仿宋_GB2312"/>
          <w:b/>
          <w:sz w:val="24"/>
        </w:rPr>
      </w:pPr>
      <w:bookmarkStart w:id="31" w:name="_Toc23513"/>
      <w:bookmarkStart w:id="32" w:name="_Toc169856826"/>
      <w:r>
        <w:rPr>
          <w:rFonts w:hint="eastAsia" w:ascii="仿宋_GB2312" w:eastAsia="仿宋_GB2312"/>
          <w:b/>
          <w:sz w:val="24"/>
        </w:rPr>
        <w:t>（一）存在问题</w:t>
      </w:r>
      <w:bookmarkEnd w:id="31"/>
      <w:bookmarkEnd w:id="32"/>
    </w:p>
    <w:p w14:paraId="7B80E00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无公示资料，未按照</w:t>
      </w:r>
      <w:r>
        <w:rPr>
          <w:rStyle w:val="11"/>
          <w:rFonts w:hint="eastAsia" w:ascii="Arial Narrow" w:hAnsi="Arial Narrow" w:eastAsia="仿宋_GB2312"/>
          <w:color w:val="auto"/>
          <w:sz w:val="24"/>
          <w:u w:val="none"/>
        </w:rPr>
        <w:t>《铜梁区财政衔接推进乡村振兴补助资金项目公告公示实施办法》（铜委农办〔2021〕19号）文件要求进行公示公告</w:t>
      </w:r>
      <w:r>
        <w:rPr>
          <w:rFonts w:hint="eastAsia" w:ascii="Arial Narrow" w:hAnsi="Arial Narrow" w:eastAsia="仿宋_GB2312"/>
          <w:sz w:val="24"/>
        </w:rPr>
        <w:t>。</w:t>
      </w:r>
    </w:p>
    <w:p w14:paraId="125280E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日常档案管理资料整理归档不及时。</w:t>
      </w:r>
    </w:p>
    <w:p w14:paraId="62C1A825">
      <w:pPr>
        <w:spacing w:line="360" w:lineRule="auto"/>
        <w:ind w:firstLine="482" w:firstLineChars="200"/>
        <w:jc w:val="left"/>
        <w:outlineLvl w:val="0"/>
        <w:rPr>
          <w:rFonts w:ascii="仿宋_GB2312" w:eastAsia="仿宋_GB2312"/>
          <w:b/>
          <w:sz w:val="24"/>
        </w:rPr>
      </w:pPr>
      <w:bookmarkStart w:id="33" w:name="_Toc169856827"/>
      <w:bookmarkStart w:id="34" w:name="_Toc12757"/>
      <w:r>
        <w:rPr>
          <w:rFonts w:hint="eastAsia" w:ascii="仿宋_GB2312" w:eastAsia="仿宋_GB2312"/>
          <w:b/>
          <w:sz w:val="24"/>
        </w:rPr>
        <w:t>（二）建议</w:t>
      </w:r>
      <w:bookmarkEnd w:id="33"/>
      <w:bookmarkEnd w:id="34"/>
    </w:p>
    <w:p w14:paraId="02AE8C14">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落实《铜梁区财政衔接推进乡村振兴补助资金项目公告公示实施办法》（铜委农办〔2021〕19号）文件要求，按照文件执行公示公告程序。</w:t>
      </w:r>
    </w:p>
    <w:p w14:paraId="4A81CAEE">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对项目日常管理资料及时归档整理装订成册或装订成盒。</w:t>
      </w:r>
    </w:p>
    <w:p w14:paraId="2CA94BC4">
      <w:pPr>
        <w:adjustRightInd w:val="0"/>
        <w:snapToGrid w:val="0"/>
        <w:spacing w:line="360" w:lineRule="auto"/>
        <w:ind w:firstLine="480" w:firstLineChars="200"/>
        <w:rPr>
          <w:rStyle w:val="11"/>
          <w:rFonts w:ascii="Arial Narrow" w:hAnsi="Arial Narrow" w:eastAsia="仿宋_GB2312"/>
          <w:color w:val="auto"/>
          <w:sz w:val="24"/>
          <w:u w:val="none"/>
        </w:rPr>
      </w:pPr>
    </w:p>
    <w:p w14:paraId="6918E74D">
      <w:pPr>
        <w:adjustRightInd w:val="0"/>
        <w:snapToGrid w:val="0"/>
        <w:spacing w:line="360" w:lineRule="auto"/>
        <w:ind w:firstLine="480" w:firstLineChars="200"/>
        <w:rPr>
          <w:rStyle w:val="11"/>
          <w:rFonts w:ascii="Arial Narrow" w:hAnsi="Arial Narrow" w:eastAsia="仿宋_GB2312"/>
          <w:color w:val="auto"/>
          <w:sz w:val="24"/>
          <w:u w:val="none"/>
        </w:rPr>
      </w:pPr>
    </w:p>
    <w:p w14:paraId="00AF9AFE">
      <w:pPr>
        <w:adjustRightInd w:val="0"/>
        <w:snapToGrid w:val="0"/>
        <w:spacing w:line="360" w:lineRule="auto"/>
        <w:ind w:firstLine="420" w:firstLineChars="200"/>
        <w:rPr>
          <w:rStyle w:val="11"/>
          <w:color w:val="auto"/>
          <w:u w:val="none"/>
        </w:rPr>
      </w:pPr>
    </w:p>
    <w:p w14:paraId="025B0676">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绩效评价指标体系及评分结果表；</w:t>
      </w:r>
    </w:p>
    <w:p w14:paraId="3FFD6006">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017506B1">
      <w:pPr>
        <w:adjustRightInd w:val="0"/>
        <w:snapToGrid w:val="0"/>
        <w:spacing w:line="360" w:lineRule="auto"/>
        <w:rPr>
          <w:rStyle w:val="11"/>
          <w:rFonts w:ascii="Arial Narrow" w:hAnsi="Arial Narrow" w:eastAsia="仿宋_GB2312"/>
          <w:color w:val="auto"/>
          <w:sz w:val="24"/>
          <w:u w:val="none"/>
        </w:rPr>
      </w:pPr>
    </w:p>
    <w:p w14:paraId="7BD0D749">
      <w:pPr>
        <w:adjustRightInd w:val="0"/>
        <w:snapToGrid w:val="0"/>
        <w:spacing w:line="360" w:lineRule="auto"/>
        <w:ind w:firstLine="720" w:firstLineChars="300"/>
        <w:rPr>
          <w:rStyle w:val="11"/>
          <w:rFonts w:ascii="Arial Narrow" w:hAnsi="Arial Narrow" w:eastAsia="仿宋_GB2312"/>
          <w:color w:val="auto"/>
          <w:sz w:val="24"/>
          <w:u w:val="none"/>
        </w:rPr>
      </w:pPr>
    </w:p>
    <w:p w14:paraId="1A06E647">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13D377BB">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35" w:name="_GoBack"/>
      <w:bookmarkEnd w:id="35"/>
      <w:r>
        <w:rPr>
          <w:rStyle w:val="11"/>
          <w:rFonts w:hint="eastAsia" w:ascii="Arial Narrow" w:hAnsi="Arial Narrow" w:eastAsia="仿宋_GB2312"/>
          <w:color w:val="auto"/>
          <w:sz w:val="24"/>
          <w:u w:val="none"/>
        </w:rPr>
        <w:t>二四年六月十四日</w:t>
      </w:r>
    </w:p>
    <w:sectPr>
      <w:pgSz w:w="11907" w:h="16840" w:orient="landscape"/>
      <w:pgMar w:top="1418" w:right="1418"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6DE11">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166D5">
    <w:pPr>
      <w:pStyle w:val="5"/>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40C6E">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640C"/>
    <w:rsid w:val="00046E55"/>
    <w:rsid w:val="00060BD2"/>
    <w:rsid w:val="00060F70"/>
    <w:rsid w:val="00063E0B"/>
    <w:rsid w:val="000769EE"/>
    <w:rsid w:val="00086622"/>
    <w:rsid w:val="00087AFF"/>
    <w:rsid w:val="000D1A3B"/>
    <w:rsid w:val="000E4529"/>
    <w:rsid w:val="000E6A52"/>
    <w:rsid w:val="0010003E"/>
    <w:rsid w:val="00104568"/>
    <w:rsid w:val="00143A99"/>
    <w:rsid w:val="00152152"/>
    <w:rsid w:val="001560DB"/>
    <w:rsid w:val="00164C87"/>
    <w:rsid w:val="001A42EB"/>
    <w:rsid w:val="001A47FD"/>
    <w:rsid w:val="001C6F32"/>
    <w:rsid w:val="001D581A"/>
    <w:rsid w:val="001E0132"/>
    <w:rsid w:val="001F3624"/>
    <w:rsid w:val="001F43AE"/>
    <w:rsid w:val="00216472"/>
    <w:rsid w:val="00224D96"/>
    <w:rsid w:val="0022644D"/>
    <w:rsid w:val="00226E7E"/>
    <w:rsid w:val="0024139B"/>
    <w:rsid w:val="00276D1C"/>
    <w:rsid w:val="00282997"/>
    <w:rsid w:val="002A496C"/>
    <w:rsid w:val="002C083D"/>
    <w:rsid w:val="002C36AE"/>
    <w:rsid w:val="002C5020"/>
    <w:rsid w:val="002C7EFA"/>
    <w:rsid w:val="00316450"/>
    <w:rsid w:val="00324E2F"/>
    <w:rsid w:val="00327BED"/>
    <w:rsid w:val="00331DC5"/>
    <w:rsid w:val="00336ACA"/>
    <w:rsid w:val="003557BC"/>
    <w:rsid w:val="0037066E"/>
    <w:rsid w:val="00384C3C"/>
    <w:rsid w:val="003879CE"/>
    <w:rsid w:val="003A00D8"/>
    <w:rsid w:val="003B42BF"/>
    <w:rsid w:val="003E2544"/>
    <w:rsid w:val="0040516E"/>
    <w:rsid w:val="00414A58"/>
    <w:rsid w:val="004200C2"/>
    <w:rsid w:val="00420AA7"/>
    <w:rsid w:val="00421C71"/>
    <w:rsid w:val="00470930"/>
    <w:rsid w:val="004A6242"/>
    <w:rsid w:val="004C1F3A"/>
    <w:rsid w:val="004C38B4"/>
    <w:rsid w:val="004D1145"/>
    <w:rsid w:val="004D2A6E"/>
    <w:rsid w:val="004E6833"/>
    <w:rsid w:val="004F7A0F"/>
    <w:rsid w:val="00501A64"/>
    <w:rsid w:val="00506023"/>
    <w:rsid w:val="00536985"/>
    <w:rsid w:val="005651CB"/>
    <w:rsid w:val="00565439"/>
    <w:rsid w:val="00572DD6"/>
    <w:rsid w:val="005A02C5"/>
    <w:rsid w:val="005A6053"/>
    <w:rsid w:val="005B468B"/>
    <w:rsid w:val="005C6902"/>
    <w:rsid w:val="005D6C0A"/>
    <w:rsid w:val="005E133F"/>
    <w:rsid w:val="005F01BA"/>
    <w:rsid w:val="005F7EA3"/>
    <w:rsid w:val="0061001E"/>
    <w:rsid w:val="0061417A"/>
    <w:rsid w:val="00655510"/>
    <w:rsid w:val="00667D26"/>
    <w:rsid w:val="00673D65"/>
    <w:rsid w:val="0069678B"/>
    <w:rsid w:val="006A58E0"/>
    <w:rsid w:val="006B5D9D"/>
    <w:rsid w:val="006D14F7"/>
    <w:rsid w:val="006E75D6"/>
    <w:rsid w:val="006E7DA1"/>
    <w:rsid w:val="006F7CBD"/>
    <w:rsid w:val="0073019B"/>
    <w:rsid w:val="00730A8E"/>
    <w:rsid w:val="00740AB7"/>
    <w:rsid w:val="00740E9D"/>
    <w:rsid w:val="00741402"/>
    <w:rsid w:val="00765F46"/>
    <w:rsid w:val="00790775"/>
    <w:rsid w:val="007A6BE6"/>
    <w:rsid w:val="00825136"/>
    <w:rsid w:val="00827385"/>
    <w:rsid w:val="00842151"/>
    <w:rsid w:val="00856815"/>
    <w:rsid w:val="008701B6"/>
    <w:rsid w:val="008952B1"/>
    <w:rsid w:val="008C381D"/>
    <w:rsid w:val="008D4F7C"/>
    <w:rsid w:val="008E609D"/>
    <w:rsid w:val="0090729E"/>
    <w:rsid w:val="009309C0"/>
    <w:rsid w:val="0093667D"/>
    <w:rsid w:val="00950E41"/>
    <w:rsid w:val="00983CB7"/>
    <w:rsid w:val="009957B8"/>
    <w:rsid w:val="0099666C"/>
    <w:rsid w:val="009E4352"/>
    <w:rsid w:val="009F1C42"/>
    <w:rsid w:val="00A066D6"/>
    <w:rsid w:val="00A14650"/>
    <w:rsid w:val="00A352D4"/>
    <w:rsid w:val="00A57AAA"/>
    <w:rsid w:val="00A922C5"/>
    <w:rsid w:val="00A95CA5"/>
    <w:rsid w:val="00AB5FF4"/>
    <w:rsid w:val="00AC3880"/>
    <w:rsid w:val="00AD0284"/>
    <w:rsid w:val="00AE470F"/>
    <w:rsid w:val="00AF58DD"/>
    <w:rsid w:val="00B134A6"/>
    <w:rsid w:val="00B22C59"/>
    <w:rsid w:val="00B25A79"/>
    <w:rsid w:val="00B7289F"/>
    <w:rsid w:val="00B94CCE"/>
    <w:rsid w:val="00BA0D07"/>
    <w:rsid w:val="00BA212E"/>
    <w:rsid w:val="00BB3674"/>
    <w:rsid w:val="00BC2692"/>
    <w:rsid w:val="00BC7BED"/>
    <w:rsid w:val="00BD4203"/>
    <w:rsid w:val="00BD6FFD"/>
    <w:rsid w:val="00BE6F31"/>
    <w:rsid w:val="00C02FB6"/>
    <w:rsid w:val="00C107C7"/>
    <w:rsid w:val="00C12443"/>
    <w:rsid w:val="00C35442"/>
    <w:rsid w:val="00C36A73"/>
    <w:rsid w:val="00C60A62"/>
    <w:rsid w:val="00C93C4A"/>
    <w:rsid w:val="00CB54FB"/>
    <w:rsid w:val="00CC769D"/>
    <w:rsid w:val="00CD06CD"/>
    <w:rsid w:val="00D1562E"/>
    <w:rsid w:val="00D1701A"/>
    <w:rsid w:val="00D254D3"/>
    <w:rsid w:val="00D26004"/>
    <w:rsid w:val="00D26E16"/>
    <w:rsid w:val="00D415D5"/>
    <w:rsid w:val="00DB55F0"/>
    <w:rsid w:val="00DE6E23"/>
    <w:rsid w:val="00DF608E"/>
    <w:rsid w:val="00E065AA"/>
    <w:rsid w:val="00E1059A"/>
    <w:rsid w:val="00E23D6E"/>
    <w:rsid w:val="00E27A95"/>
    <w:rsid w:val="00E66C12"/>
    <w:rsid w:val="00E709E2"/>
    <w:rsid w:val="00E80BDA"/>
    <w:rsid w:val="00EA12D6"/>
    <w:rsid w:val="00EA1C10"/>
    <w:rsid w:val="00EA4BCF"/>
    <w:rsid w:val="00EB4610"/>
    <w:rsid w:val="00EB474C"/>
    <w:rsid w:val="00ED0A8C"/>
    <w:rsid w:val="00F2011E"/>
    <w:rsid w:val="00F36680"/>
    <w:rsid w:val="00F54C3F"/>
    <w:rsid w:val="00F61D28"/>
    <w:rsid w:val="00F64D50"/>
    <w:rsid w:val="00F6551E"/>
    <w:rsid w:val="00F671F2"/>
    <w:rsid w:val="00F71AE8"/>
    <w:rsid w:val="00F84DF0"/>
    <w:rsid w:val="00FA6718"/>
    <w:rsid w:val="00FD0241"/>
    <w:rsid w:val="00FD1A79"/>
    <w:rsid w:val="00FD5F18"/>
    <w:rsid w:val="00FE1E65"/>
    <w:rsid w:val="00FE5705"/>
    <w:rsid w:val="00FF5AA5"/>
    <w:rsid w:val="02717C9D"/>
    <w:rsid w:val="0C955D75"/>
    <w:rsid w:val="0DA211B2"/>
    <w:rsid w:val="10FD0312"/>
    <w:rsid w:val="120E6874"/>
    <w:rsid w:val="1A624D7F"/>
    <w:rsid w:val="21F615CE"/>
    <w:rsid w:val="270731DD"/>
    <w:rsid w:val="357129F4"/>
    <w:rsid w:val="371050B8"/>
    <w:rsid w:val="37BC1633"/>
    <w:rsid w:val="39316FDC"/>
    <w:rsid w:val="45947F31"/>
    <w:rsid w:val="48B93EA7"/>
    <w:rsid w:val="4DF1278B"/>
    <w:rsid w:val="546D3A67"/>
    <w:rsid w:val="55115D7C"/>
    <w:rsid w:val="57CB58C2"/>
    <w:rsid w:val="587360A2"/>
    <w:rsid w:val="5D774396"/>
    <w:rsid w:val="60087B46"/>
    <w:rsid w:val="629B4EDD"/>
    <w:rsid w:val="69A95B72"/>
    <w:rsid w:val="6C0B491D"/>
    <w:rsid w:val="6CE0683B"/>
    <w:rsid w:val="78E32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8"/>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0F16F-704E-46E6-9A14-3493FEE55D8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5413</Words>
  <Characters>5758</Characters>
  <Lines>49</Lines>
  <Paragraphs>14</Paragraphs>
  <TotalTime>8</TotalTime>
  <ScaleCrop>false</ScaleCrop>
  <LinksUpToDate>false</LinksUpToDate>
  <CharactersWithSpaces>5787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2024-11-20T01:30:38Z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