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9E186">
      <w:pPr>
        <w:spacing w:line="360" w:lineRule="auto"/>
        <w:jc w:val="center"/>
        <w:rPr>
          <w:rFonts w:hint="default" w:ascii="Arial Narrow" w:hAnsi="Arial Narrow" w:eastAsia="仿宋_GB2312" w:cs="Arial Narrow"/>
          <w:b/>
          <w:bCs/>
          <w:sz w:val="36"/>
          <w:szCs w:val="36"/>
        </w:rPr>
      </w:pPr>
    </w:p>
    <w:p w14:paraId="70E7B226">
      <w:pPr>
        <w:spacing w:line="360" w:lineRule="auto"/>
        <w:jc w:val="center"/>
        <w:rPr>
          <w:rFonts w:hint="default" w:ascii="Arial Narrow" w:hAnsi="Arial Narrow" w:eastAsia="仿宋_GB2312" w:cs="Arial Narrow"/>
          <w:b/>
          <w:bCs/>
          <w:sz w:val="36"/>
          <w:szCs w:val="36"/>
        </w:rPr>
      </w:pPr>
    </w:p>
    <w:p w14:paraId="316EA44A">
      <w:pPr>
        <w:spacing w:line="360" w:lineRule="auto"/>
        <w:jc w:val="center"/>
        <w:rPr>
          <w:rFonts w:hint="default" w:ascii="Arial Narrow" w:hAnsi="Arial Narrow" w:eastAsia="仿宋_GB2312" w:cs="Arial Narrow"/>
          <w:b/>
          <w:bCs/>
          <w:sz w:val="36"/>
          <w:szCs w:val="36"/>
        </w:rPr>
      </w:pPr>
    </w:p>
    <w:p w14:paraId="0C0A2542">
      <w:pPr>
        <w:spacing w:line="360" w:lineRule="auto"/>
        <w:jc w:val="center"/>
        <w:rPr>
          <w:rFonts w:hint="default" w:ascii="Arial Narrow" w:hAnsi="Arial Narrow" w:eastAsia="仿宋_GB2312" w:cs="Arial Narrow"/>
          <w:b/>
          <w:bCs/>
          <w:sz w:val="36"/>
          <w:szCs w:val="36"/>
          <w:highlight w:val="yellow"/>
        </w:rPr>
      </w:pPr>
    </w:p>
    <w:p w14:paraId="7F566481">
      <w:pPr>
        <w:adjustRightInd w:val="0"/>
        <w:snapToGrid w:val="0"/>
        <w:spacing w:line="360" w:lineRule="auto"/>
        <w:jc w:val="center"/>
        <w:rPr>
          <w:rFonts w:hint="default" w:ascii="Arial Narrow" w:hAnsi="Arial Narrow" w:eastAsia="仿宋_GB2312" w:cs="Arial Narrow"/>
          <w:b/>
          <w:sz w:val="36"/>
          <w:szCs w:val="36"/>
        </w:rPr>
      </w:pPr>
      <w:r>
        <w:rPr>
          <w:rFonts w:hint="default" w:ascii="Arial Narrow" w:hAnsi="Arial Narrow" w:eastAsia="仿宋_GB2312" w:cs="Arial Narrow"/>
          <w:b/>
          <w:sz w:val="36"/>
          <w:szCs w:val="36"/>
        </w:rPr>
        <w:t>重庆市铜梁区2023年太平镇坪漆村集团</w:t>
      </w:r>
    </w:p>
    <w:p w14:paraId="7617F1D5">
      <w:pPr>
        <w:adjustRightInd w:val="0"/>
        <w:snapToGrid w:val="0"/>
        <w:spacing w:line="360" w:lineRule="auto"/>
        <w:jc w:val="center"/>
        <w:rPr>
          <w:rFonts w:hint="default" w:ascii="Arial Narrow" w:hAnsi="Arial Narrow" w:eastAsia="仿宋_GB2312" w:cs="Arial Narrow"/>
          <w:b/>
          <w:spacing w:val="100"/>
          <w:sz w:val="32"/>
          <w:szCs w:val="32"/>
        </w:rPr>
      </w:pPr>
      <w:r>
        <w:rPr>
          <w:rFonts w:hint="default" w:ascii="Arial Narrow" w:hAnsi="Arial Narrow" w:eastAsia="仿宋_GB2312" w:cs="Arial Narrow"/>
          <w:b/>
          <w:sz w:val="36"/>
          <w:szCs w:val="36"/>
        </w:rPr>
        <w:t>经济项目财政专项衔接资金</w:t>
      </w:r>
    </w:p>
    <w:p w14:paraId="7ABCF304">
      <w:pPr>
        <w:adjustRightInd w:val="0"/>
        <w:snapToGrid w:val="0"/>
        <w:spacing w:line="360" w:lineRule="auto"/>
        <w:jc w:val="center"/>
        <w:rPr>
          <w:rFonts w:hint="default" w:ascii="Arial Narrow" w:hAnsi="Arial Narrow" w:eastAsia="仿宋_GB2312" w:cs="Arial Narrow"/>
          <w:b/>
          <w:sz w:val="36"/>
          <w:szCs w:val="36"/>
        </w:rPr>
      </w:pPr>
    </w:p>
    <w:p w14:paraId="02B72105">
      <w:pPr>
        <w:adjustRightInd w:val="0"/>
        <w:snapToGrid w:val="0"/>
        <w:spacing w:line="360" w:lineRule="auto"/>
        <w:jc w:val="center"/>
        <w:rPr>
          <w:rFonts w:hint="default" w:ascii="Arial Narrow" w:hAnsi="Arial Narrow" w:eastAsia="仿宋_GB2312" w:cs="Arial Narrow"/>
          <w:b/>
          <w:spacing w:val="100"/>
          <w:sz w:val="32"/>
          <w:szCs w:val="32"/>
        </w:rPr>
      </w:pPr>
    </w:p>
    <w:p w14:paraId="4FD5248E">
      <w:pPr>
        <w:adjustRightInd w:val="0"/>
        <w:snapToGrid w:val="0"/>
        <w:spacing w:line="360" w:lineRule="auto"/>
        <w:jc w:val="center"/>
        <w:rPr>
          <w:rFonts w:hint="default" w:ascii="Arial Narrow" w:hAnsi="Arial Narrow" w:eastAsia="仿宋_GB2312" w:cs="Arial Narrow"/>
          <w:b/>
          <w:spacing w:val="100"/>
          <w:sz w:val="32"/>
          <w:szCs w:val="32"/>
        </w:rPr>
      </w:pPr>
    </w:p>
    <w:p w14:paraId="78CE2340">
      <w:pPr>
        <w:tabs>
          <w:tab w:val="center" w:pos="4393"/>
          <w:tab w:val="left" w:pos="7258"/>
        </w:tabs>
        <w:adjustRightInd w:val="0"/>
        <w:snapToGrid w:val="0"/>
        <w:spacing w:line="360" w:lineRule="auto"/>
        <w:jc w:val="center"/>
        <w:rPr>
          <w:rFonts w:hint="default" w:ascii="Arial Narrow" w:hAnsi="Arial Narrow" w:eastAsia="仿宋_GB2312" w:cs="Arial Narrow"/>
          <w:b/>
          <w:w w:val="102"/>
          <w:sz w:val="44"/>
          <w:szCs w:val="44"/>
        </w:rPr>
      </w:pPr>
      <w:r>
        <w:rPr>
          <w:rFonts w:hint="default" w:ascii="Arial Narrow" w:hAnsi="Arial Narrow" w:eastAsia="仿宋_GB2312" w:cs="Arial Narrow"/>
          <w:b/>
          <w:w w:val="102"/>
          <w:sz w:val="44"/>
          <w:szCs w:val="44"/>
        </w:rPr>
        <w:t>绩效评价</w:t>
      </w:r>
      <w:bookmarkStart w:id="0" w:name="_Toc488804777"/>
      <w:bookmarkStart w:id="1" w:name="_Toc488637980"/>
      <w:r>
        <w:rPr>
          <w:rFonts w:hint="default" w:ascii="Arial Narrow" w:hAnsi="Arial Narrow" w:eastAsia="仿宋_GB2312" w:cs="Arial Narrow"/>
          <w:b/>
          <w:w w:val="102"/>
          <w:sz w:val="44"/>
          <w:szCs w:val="44"/>
        </w:rPr>
        <w:t>报告</w:t>
      </w:r>
    </w:p>
    <w:p w14:paraId="6F8B5B73">
      <w:pPr>
        <w:spacing w:line="360" w:lineRule="auto"/>
        <w:jc w:val="center"/>
        <w:rPr>
          <w:rFonts w:hint="default" w:ascii="Arial Narrow" w:hAnsi="Arial Narrow" w:eastAsia="仿宋_GB2312" w:cs="Arial Narrow"/>
          <w:bCs/>
          <w:sz w:val="32"/>
          <w:szCs w:val="32"/>
        </w:rPr>
      </w:pPr>
      <w:r>
        <w:rPr>
          <w:rFonts w:hint="default" w:ascii="Arial Narrow" w:hAnsi="Arial Narrow" w:eastAsia="仿宋_GB2312" w:cs="Arial Narrow"/>
          <w:bCs/>
          <w:sz w:val="32"/>
          <w:szCs w:val="32"/>
        </w:rPr>
        <w:t>铭鸿咨字【2024】第</w:t>
      </w:r>
      <w:r>
        <w:rPr>
          <w:rFonts w:hint="default" w:ascii="Arial Narrow" w:hAnsi="Arial Narrow" w:eastAsia="仿宋_GB2312" w:cs="Arial Narrow"/>
          <w:bCs/>
          <w:sz w:val="32"/>
          <w:szCs w:val="32"/>
          <w:lang w:val="en-US" w:eastAsia="zh-CN"/>
        </w:rPr>
        <w:t>0005</w:t>
      </w:r>
      <w:r>
        <w:rPr>
          <w:rFonts w:hint="default" w:ascii="Arial Narrow" w:hAnsi="Arial Narrow" w:eastAsia="仿宋_GB2312" w:cs="Arial Narrow"/>
          <w:bCs/>
          <w:sz w:val="32"/>
          <w:szCs w:val="32"/>
        </w:rPr>
        <w:t>号</w:t>
      </w:r>
    </w:p>
    <w:p w14:paraId="3DE8FBE8">
      <w:pPr>
        <w:adjustRightInd w:val="0"/>
        <w:snapToGrid w:val="0"/>
        <w:spacing w:line="360" w:lineRule="auto"/>
        <w:jc w:val="center"/>
        <w:rPr>
          <w:rFonts w:hint="default" w:ascii="Arial Narrow" w:hAnsi="Arial Narrow" w:eastAsia="仿宋_GB2312" w:cs="Arial Narrow"/>
          <w:b/>
          <w:spacing w:val="100"/>
          <w:sz w:val="32"/>
          <w:szCs w:val="32"/>
        </w:rPr>
      </w:pPr>
    </w:p>
    <w:p w14:paraId="67B01C5F">
      <w:pPr>
        <w:adjustRightInd w:val="0"/>
        <w:snapToGrid w:val="0"/>
        <w:spacing w:line="360" w:lineRule="auto"/>
        <w:jc w:val="center"/>
        <w:rPr>
          <w:rFonts w:hint="default" w:ascii="Arial Narrow" w:hAnsi="Arial Narrow" w:eastAsia="仿宋_GB2312" w:cs="Arial Narrow"/>
          <w:b/>
          <w:spacing w:val="100"/>
          <w:sz w:val="32"/>
          <w:szCs w:val="32"/>
        </w:rPr>
      </w:pPr>
    </w:p>
    <w:p w14:paraId="28C64E03">
      <w:pPr>
        <w:adjustRightInd w:val="0"/>
        <w:snapToGrid w:val="0"/>
        <w:spacing w:line="360" w:lineRule="auto"/>
        <w:jc w:val="center"/>
        <w:rPr>
          <w:rFonts w:hint="default" w:ascii="Arial Narrow" w:hAnsi="Arial Narrow" w:eastAsia="仿宋_GB2312" w:cs="Arial Narrow"/>
          <w:b/>
          <w:spacing w:val="100"/>
          <w:sz w:val="32"/>
          <w:szCs w:val="32"/>
        </w:rPr>
      </w:pPr>
    </w:p>
    <w:p w14:paraId="2D217773">
      <w:pPr>
        <w:adjustRightInd w:val="0"/>
        <w:snapToGrid w:val="0"/>
        <w:spacing w:line="360" w:lineRule="auto"/>
        <w:jc w:val="center"/>
        <w:rPr>
          <w:rFonts w:hint="default" w:ascii="Arial Narrow" w:hAnsi="Arial Narrow" w:eastAsia="仿宋_GB2312" w:cs="Arial Narrow"/>
          <w:b/>
          <w:spacing w:val="100"/>
          <w:sz w:val="32"/>
          <w:szCs w:val="32"/>
        </w:rPr>
      </w:pPr>
    </w:p>
    <w:p w14:paraId="0BD7B766">
      <w:pPr>
        <w:adjustRightInd w:val="0"/>
        <w:snapToGrid w:val="0"/>
        <w:spacing w:line="360" w:lineRule="auto"/>
        <w:jc w:val="center"/>
        <w:rPr>
          <w:rFonts w:hint="default" w:ascii="Arial Narrow" w:hAnsi="Arial Narrow" w:eastAsia="仿宋_GB2312" w:cs="Arial Narrow"/>
          <w:b/>
          <w:spacing w:val="100"/>
          <w:sz w:val="32"/>
          <w:szCs w:val="32"/>
        </w:rPr>
      </w:pPr>
    </w:p>
    <w:p w14:paraId="57034DB8">
      <w:pPr>
        <w:adjustRightInd w:val="0"/>
        <w:snapToGrid w:val="0"/>
        <w:spacing w:line="360" w:lineRule="auto"/>
        <w:jc w:val="center"/>
        <w:rPr>
          <w:rFonts w:hint="default" w:ascii="Arial Narrow" w:hAnsi="Arial Narrow" w:eastAsia="仿宋_GB2312" w:cs="Arial Narrow"/>
          <w:b/>
          <w:spacing w:val="100"/>
          <w:sz w:val="32"/>
          <w:szCs w:val="32"/>
        </w:rPr>
      </w:pPr>
    </w:p>
    <w:p w14:paraId="694FCF53">
      <w:pPr>
        <w:adjustRightInd w:val="0"/>
        <w:snapToGrid w:val="0"/>
        <w:spacing w:line="360" w:lineRule="auto"/>
        <w:jc w:val="center"/>
        <w:rPr>
          <w:rFonts w:hint="default" w:ascii="Arial Narrow" w:hAnsi="Arial Narrow" w:eastAsia="仿宋_GB2312" w:cs="Arial Narrow"/>
          <w:b/>
          <w:spacing w:val="100"/>
          <w:sz w:val="32"/>
          <w:szCs w:val="32"/>
        </w:rPr>
      </w:pPr>
    </w:p>
    <w:p w14:paraId="39073095">
      <w:pPr>
        <w:spacing w:line="360" w:lineRule="auto"/>
        <w:jc w:val="center"/>
        <w:rPr>
          <w:rFonts w:hint="default" w:ascii="Arial Narrow" w:hAnsi="Arial Narrow" w:eastAsia="仿宋_GB2312" w:cs="Arial Narrow"/>
          <w:sz w:val="32"/>
          <w:szCs w:val="32"/>
        </w:rPr>
      </w:pPr>
    </w:p>
    <w:p w14:paraId="03F10F57">
      <w:pPr>
        <w:spacing w:line="360" w:lineRule="auto"/>
        <w:jc w:val="center"/>
        <w:rPr>
          <w:rFonts w:hint="default" w:ascii="Arial Narrow" w:hAnsi="Arial Narrow" w:eastAsia="仿宋_GB2312" w:cs="Arial Narrow"/>
          <w:sz w:val="32"/>
          <w:szCs w:val="32"/>
        </w:rPr>
      </w:pPr>
    </w:p>
    <w:p w14:paraId="42F8B4BE">
      <w:pPr>
        <w:spacing w:line="360" w:lineRule="auto"/>
        <w:jc w:val="center"/>
        <w:rPr>
          <w:rFonts w:hint="default" w:ascii="Arial Narrow" w:hAnsi="Arial Narrow" w:eastAsia="仿宋_GB2312" w:cs="Arial Narrow"/>
          <w:sz w:val="32"/>
          <w:szCs w:val="32"/>
        </w:rPr>
      </w:pPr>
    </w:p>
    <w:p w14:paraId="1936FAE5">
      <w:pPr>
        <w:spacing w:line="360" w:lineRule="auto"/>
        <w:jc w:val="center"/>
        <w:rPr>
          <w:rFonts w:hint="default" w:ascii="Arial Narrow" w:hAnsi="Arial Narrow" w:eastAsia="仿宋_GB2312" w:cs="Arial Narrow"/>
          <w:sz w:val="32"/>
          <w:szCs w:val="32"/>
          <w:highlight w:val="none"/>
        </w:rPr>
      </w:pPr>
      <w:r>
        <w:rPr>
          <w:rFonts w:hint="default" w:ascii="Arial Narrow" w:hAnsi="Arial Narrow" w:eastAsia="仿宋_GB2312" w:cs="Arial Narrow"/>
          <w:sz w:val="32"/>
          <w:szCs w:val="32"/>
          <w:highlight w:val="none"/>
        </w:rPr>
        <w:t>重庆铭鸿金全会计师事务所有限责任公司</w:t>
      </w:r>
    </w:p>
    <w:p w14:paraId="1F31DE3F">
      <w:pPr>
        <w:spacing w:line="360" w:lineRule="auto"/>
        <w:jc w:val="center"/>
        <w:rPr>
          <w:rFonts w:hint="default" w:ascii="Arial Narrow" w:hAnsi="Arial Narrow" w:eastAsia="仿宋_GB2312" w:cs="Arial Narrow"/>
          <w:b/>
          <w:spacing w:val="100"/>
          <w:sz w:val="52"/>
          <w:szCs w:val="52"/>
        </w:rPr>
        <w:sectPr>
          <w:footerReference r:id="rId3" w:type="default"/>
          <w:pgSz w:w="11907" w:h="16840"/>
          <w:pgMar w:top="1418" w:right="1418" w:bottom="1134" w:left="1701" w:header="851" w:footer="851" w:gutter="0"/>
          <w:pgNumType w:start="1"/>
          <w:cols w:space="425" w:num="1"/>
          <w:docGrid w:linePitch="312" w:charSpace="0"/>
        </w:sectPr>
      </w:pPr>
      <w:r>
        <w:rPr>
          <w:rFonts w:hint="default" w:ascii="Arial Narrow" w:hAnsi="Arial Narrow" w:eastAsia="仿宋_GB2312" w:cs="Arial Narrow"/>
          <w:sz w:val="32"/>
          <w:szCs w:val="32"/>
          <w:highlight w:val="none"/>
        </w:rPr>
        <w:t>二</w:t>
      </w:r>
      <w:r>
        <w:rPr>
          <w:rFonts w:hint="eastAsia" w:ascii="Arial Narrow" w:hAnsi="Arial Narrow" w:eastAsia="仿宋_GB2312" w:cs="Arial Narrow"/>
          <w:sz w:val="32"/>
          <w:szCs w:val="32"/>
          <w:highlight w:val="none"/>
          <w:lang w:val="en-US" w:eastAsia="zh-CN"/>
        </w:rPr>
        <w:t>〇</w:t>
      </w:r>
      <w:r>
        <w:rPr>
          <w:rFonts w:hint="default" w:ascii="Arial Narrow" w:hAnsi="Arial Narrow" w:eastAsia="仿宋_GB2312" w:cs="Arial Narrow"/>
          <w:sz w:val="32"/>
          <w:szCs w:val="32"/>
          <w:highlight w:val="none"/>
        </w:rPr>
        <w:t>二</w:t>
      </w:r>
      <w:r>
        <w:rPr>
          <w:rFonts w:hint="eastAsia" w:ascii="Arial Narrow" w:hAnsi="Arial Narrow" w:eastAsia="仿宋_GB2312" w:cs="Arial Narrow"/>
          <w:sz w:val="32"/>
          <w:szCs w:val="32"/>
          <w:highlight w:val="none"/>
          <w:lang w:val="en-US" w:eastAsia="zh-CN"/>
        </w:rPr>
        <w:t>四</w:t>
      </w:r>
      <w:r>
        <w:rPr>
          <w:rFonts w:hint="default" w:ascii="Arial Narrow" w:hAnsi="Arial Narrow" w:eastAsia="仿宋_GB2312" w:cs="Arial Narrow"/>
          <w:sz w:val="32"/>
          <w:szCs w:val="32"/>
          <w:highlight w:val="none"/>
        </w:rPr>
        <w:t>年六月</w:t>
      </w:r>
      <w:bookmarkEnd w:id="0"/>
      <w:bookmarkEnd w:id="1"/>
    </w:p>
    <w:p w14:paraId="2C6AC52F">
      <w:pPr>
        <w:spacing w:line="360" w:lineRule="auto"/>
        <w:jc w:val="center"/>
        <w:rPr>
          <w:rFonts w:hint="default" w:ascii="Arial Narrow" w:hAnsi="Arial Narrow" w:eastAsia="仿宋_GB2312" w:cs="Arial Narrow"/>
          <w:sz w:val="44"/>
          <w:szCs w:val="44"/>
        </w:rPr>
      </w:pPr>
      <w:r>
        <w:rPr>
          <w:rFonts w:hint="default" w:ascii="Arial Narrow" w:hAnsi="Arial Narrow" w:eastAsia="仿宋_GB2312" w:cs="Arial Narrow"/>
          <w:sz w:val="44"/>
          <w:szCs w:val="44"/>
        </w:rPr>
        <w:t>目  录</w:t>
      </w:r>
    </w:p>
    <w:p w14:paraId="4F2E3CE1">
      <w:pPr>
        <w:spacing w:line="360" w:lineRule="auto"/>
        <w:jc w:val="center"/>
        <w:rPr>
          <w:rFonts w:hint="default" w:ascii="Arial Narrow" w:hAnsi="Arial Narrow" w:eastAsia="仿宋_GB2312" w:cs="Arial Narrow"/>
          <w:sz w:val="24"/>
        </w:rPr>
      </w:pPr>
    </w:p>
    <w:p w14:paraId="120E6A79">
      <w:pPr>
        <w:pStyle w:val="6"/>
        <w:tabs>
          <w:tab w:val="right" w:leader="dot" w:pos="8788"/>
          <w:tab w:val="clear" w:pos="8778"/>
        </w:tabs>
        <w:rPr>
          <w:rFonts w:hint="default" w:ascii="Arial Narrow" w:hAnsi="Arial Narrow" w:cs="Arial Narrow"/>
          <w:sz w:val="32"/>
          <w:szCs w:val="40"/>
        </w:rPr>
      </w:pPr>
      <w:r>
        <w:rPr>
          <w:rStyle w:val="10"/>
          <w:rFonts w:hint="default" w:ascii="Arial Narrow" w:hAnsi="Arial Narrow" w:cs="Arial Narrow"/>
          <w:b w:val="0"/>
          <w:bCs w:val="0"/>
          <w:color w:val="auto"/>
          <w:sz w:val="32"/>
          <w:szCs w:val="32"/>
          <w:u w:val="none"/>
        </w:rPr>
        <w:fldChar w:fldCharType="begin"/>
      </w:r>
      <w:r>
        <w:rPr>
          <w:rStyle w:val="10"/>
          <w:rFonts w:hint="default" w:ascii="Arial Narrow" w:hAnsi="Arial Narrow" w:cs="Arial Narrow"/>
          <w:b w:val="0"/>
          <w:bCs w:val="0"/>
          <w:color w:val="auto"/>
          <w:sz w:val="32"/>
          <w:szCs w:val="32"/>
          <w:u w:val="none"/>
        </w:rPr>
        <w:instrText xml:space="preserve"> TOC \o "1-3" \h \z \u </w:instrText>
      </w:r>
      <w:r>
        <w:rPr>
          <w:rStyle w:val="10"/>
          <w:rFonts w:hint="default" w:ascii="Arial Narrow" w:hAnsi="Arial Narrow" w:cs="Arial Narrow"/>
          <w:b w:val="0"/>
          <w:bCs w:val="0"/>
          <w:color w:val="auto"/>
          <w:sz w:val="32"/>
          <w:szCs w:val="32"/>
          <w:u w:val="none"/>
        </w:rPr>
        <w:fldChar w:fldCharType="separate"/>
      </w: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_Toc16913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一、基本情况</w:t>
      </w:r>
      <w:r>
        <w:rPr>
          <w:rFonts w:hint="default" w:ascii="Arial Narrow" w:hAnsi="Arial Narrow" w:cs="Arial Narrow"/>
          <w:sz w:val="32"/>
          <w:szCs w:val="40"/>
        </w:rPr>
        <w:tab/>
      </w:r>
      <w:r>
        <w:rPr>
          <w:rFonts w:hint="default" w:ascii="Arial Narrow" w:hAnsi="Arial Narrow" w:cs="Arial Narrow"/>
          <w:sz w:val="32"/>
          <w:szCs w:val="40"/>
        </w:rPr>
        <w:fldChar w:fldCharType="begin"/>
      </w:r>
      <w:r>
        <w:rPr>
          <w:rFonts w:hint="default" w:ascii="Arial Narrow" w:hAnsi="Arial Narrow" w:cs="Arial Narrow"/>
          <w:sz w:val="32"/>
          <w:szCs w:val="40"/>
        </w:rPr>
        <w:instrText xml:space="preserve"> PAGEREF _Toc16913 \h </w:instrText>
      </w:r>
      <w:r>
        <w:rPr>
          <w:rFonts w:hint="default" w:ascii="Arial Narrow" w:hAnsi="Arial Narrow" w:cs="Arial Narrow"/>
          <w:sz w:val="32"/>
          <w:szCs w:val="40"/>
        </w:rPr>
        <w:fldChar w:fldCharType="separate"/>
      </w:r>
      <w:r>
        <w:rPr>
          <w:rFonts w:hint="default" w:ascii="Arial Narrow" w:hAnsi="Arial Narrow" w:cs="Arial Narrow"/>
          <w:sz w:val="32"/>
          <w:szCs w:val="40"/>
        </w:rPr>
        <w:t>1</w:t>
      </w:r>
      <w:r>
        <w:rPr>
          <w:rFonts w:hint="default" w:ascii="Arial Narrow" w:hAnsi="Arial Narrow"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60F1D99D">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_Toc23772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kern w:val="0"/>
          <w:sz w:val="32"/>
          <w:szCs w:val="40"/>
        </w:rPr>
        <w:t>（一）项目情况</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_Toc23772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1</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110FA576">
      <w:pPr>
        <w:pStyle w:val="6"/>
        <w:tabs>
          <w:tab w:val="right" w:leader="dot" w:pos="8788"/>
          <w:tab w:val="clear" w:pos="8778"/>
        </w:tabs>
        <w:rPr>
          <w:rFonts w:hint="default" w:ascii="Arial Narrow" w:hAnsi="Arial Narrow"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_Toc15549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二、绩效评价工作情况</w:t>
      </w:r>
      <w:r>
        <w:rPr>
          <w:rFonts w:hint="default" w:ascii="Arial Narrow" w:hAnsi="Arial Narrow" w:cs="Arial Narrow"/>
          <w:sz w:val="32"/>
          <w:szCs w:val="40"/>
        </w:rPr>
        <w:tab/>
      </w:r>
      <w:r>
        <w:rPr>
          <w:rFonts w:hint="default" w:ascii="Arial Narrow" w:hAnsi="Arial Narrow" w:cs="Arial Narrow"/>
          <w:sz w:val="32"/>
          <w:szCs w:val="40"/>
        </w:rPr>
        <w:fldChar w:fldCharType="begin"/>
      </w:r>
      <w:r>
        <w:rPr>
          <w:rFonts w:hint="default" w:ascii="Arial Narrow" w:hAnsi="Arial Narrow" w:cs="Arial Narrow"/>
          <w:sz w:val="32"/>
          <w:szCs w:val="40"/>
        </w:rPr>
        <w:instrText xml:space="preserve"> PAGEREF _Toc15549 \h </w:instrText>
      </w:r>
      <w:r>
        <w:rPr>
          <w:rFonts w:hint="default" w:ascii="Arial Narrow" w:hAnsi="Arial Narrow" w:cs="Arial Narrow"/>
          <w:sz w:val="32"/>
          <w:szCs w:val="40"/>
        </w:rPr>
        <w:fldChar w:fldCharType="separate"/>
      </w:r>
      <w:r>
        <w:rPr>
          <w:rFonts w:hint="default" w:ascii="Arial Narrow" w:hAnsi="Arial Narrow" w:cs="Arial Narrow"/>
          <w:sz w:val="32"/>
          <w:szCs w:val="40"/>
        </w:rPr>
        <w:t>1</w:t>
      </w:r>
      <w:r>
        <w:rPr>
          <w:rFonts w:hint="default" w:ascii="Arial Narrow" w:hAnsi="Arial Narrow"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0130CB51">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_Toc16578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（一）绩效评价目的</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_Toc16578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1</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39BED4C">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_Toc27751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（二）绩效评价的基本内容</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_Toc27751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1</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DD14442">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_Toc6730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（三）绩效评价依据</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_Toc6730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2</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5704E133">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_Toc13920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（四）绩效评价原则和指标体系</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_Toc13920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2</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BA2FFED">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_Toc2127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（五）绩效评价标准和评价方法</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_Toc2127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4</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6CB53D22">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_Toc6555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（六）绩效评价工作过程</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_Toc6555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5</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3D2D1553">
      <w:pPr>
        <w:pStyle w:val="6"/>
        <w:tabs>
          <w:tab w:val="right" w:leader="dot" w:pos="8788"/>
          <w:tab w:val="clear" w:pos="8778"/>
        </w:tabs>
        <w:rPr>
          <w:rFonts w:hint="default" w:ascii="Arial Narrow" w:hAnsi="Arial Narrow"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_Toc9054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三、项目评价结论</w:t>
      </w:r>
      <w:r>
        <w:rPr>
          <w:rFonts w:hint="default" w:ascii="Arial Narrow" w:hAnsi="Arial Narrow" w:cs="Arial Narrow"/>
          <w:sz w:val="32"/>
          <w:szCs w:val="40"/>
        </w:rPr>
        <w:tab/>
      </w:r>
      <w:r>
        <w:rPr>
          <w:rFonts w:hint="default" w:ascii="Arial Narrow" w:hAnsi="Arial Narrow" w:cs="Arial Narrow"/>
          <w:sz w:val="32"/>
          <w:szCs w:val="40"/>
        </w:rPr>
        <w:fldChar w:fldCharType="begin"/>
      </w:r>
      <w:r>
        <w:rPr>
          <w:rFonts w:hint="default" w:ascii="Arial Narrow" w:hAnsi="Arial Narrow" w:cs="Arial Narrow"/>
          <w:sz w:val="32"/>
          <w:szCs w:val="40"/>
        </w:rPr>
        <w:instrText xml:space="preserve"> PAGEREF _Toc9054 \h </w:instrText>
      </w:r>
      <w:r>
        <w:rPr>
          <w:rFonts w:hint="default" w:ascii="Arial Narrow" w:hAnsi="Arial Narrow" w:cs="Arial Narrow"/>
          <w:sz w:val="32"/>
          <w:szCs w:val="40"/>
        </w:rPr>
        <w:fldChar w:fldCharType="separate"/>
      </w:r>
      <w:r>
        <w:rPr>
          <w:rFonts w:hint="default" w:ascii="Arial Narrow" w:hAnsi="Arial Narrow" w:cs="Arial Narrow"/>
          <w:sz w:val="32"/>
          <w:szCs w:val="40"/>
        </w:rPr>
        <w:t>5</w:t>
      </w:r>
      <w:r>
        <w:rPr>
          <w:rFonts w:hint="default" w:ascii="Arial Narrow" w:hAnsi="Arial Narrow"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3473BD8D">
      <w:pPr>
        <w:pStyle w:val="6"/>
        <w:tabs>
          <w:tab w:val="right" w:leader="dot" w:pos="8788"/>
          <w:tab w:val="clear" w:pos="8778"/>
        </w:tabs>
        <w:rPr>
          <w:rFonts w:hint="default" w:ascii="Arial Narrow" w:hAnsi="Arial Narrow"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_Toc5197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四、综合评价情况</w:t>
      </w:r>
      <w:r>
        <w:rPr>
          <w:rFonts w:hint="default" w:ascii="Arial Narrow" w:hAnsi="Arial Narrow" w:cs="Arial Narrow"/>
          <w:sz w:val="32"/>
          <w:szCs w:val="40"/>
        </w:rPr>
        <w:tab/>
      </w:r>
      <w:r>
        <w:rPr>
          <w:rFonts w:hint="default" w:ascii="Arial Narrow" w:hAnsi="Arial Narrow" w:cs="Arial Narrow"/>
          <w:sz w:val="32"/>
          <w:szCs w:val="40"/>
        </w:rPr>
        <w:fldChar w:fldCharType="begin"/>
      </w:r>
      <w:r>
        <w:rPr>
          <w:rFonts w:hint="default" w:ascii="Arial Narrow" w:hAnsi="Arial Narrow" w:cs="Arial Narrow"/>
          <w:sz w:val="32"/>
          <w:szCs w:val="40"/>
        </w:rPr>
        <w:instrText xml:space="preserve"> PAGEREF _Toc5197 \h </w:instrText>
      </w:r>
      <w:r>
        <w:rPr>
          <w:rFonts w:hint="default" w:ascii="Arial Narrow" w:hAnsi="Arial Narrow" w:cs="Arial Narrow"/>
          <w:sz w:val="32"/>
          <w:szCs w:val="40"/>
        </w:rPr>
        <w:fldChar w:fldCharType="separate"/>
      </w:r>
      <w:r>
        <w:rPr>
          <w:rFonts w:hint="default" w:ascii="Arial Narrow" w:hAnsi="Arial Narrow" w:cs="Arial Narrow"/>
          <w:sz w:val="32"/>
          <w:szCs w:val="40"/>
        </w:rPr>
        <w:t>5</w:t>
      </w:r>
      <w:r>
        <w:rPr>
          <w:rFonts w:hint="default" w:ascii="Arial Narrow" w:hAnsi="Arial Narrow"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1B9C801F">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_Toc329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（一）资金管理</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_Toc329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5</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1A6CEA04">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_Toc31659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（二）项目管理</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_Toc31659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5</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05703EB7">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_Toc1651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（三）使用成效及通报情况</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_Toc1651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6</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3B95FD06">
      <w:pPr>
        <w:pStyle w:val="6"/>
        <w:tabs>
          <w:tab w:val="right" w:leader="dot" w:pos="8788"/>
          <w:tab w:val="clear" w:pos="8778"/>
        </w:tabs>
        <w:rPr>
          <w:rFonts w:hint="default" w:ascii="Arial Narrow" w:hAnsi="Arial Narrow"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_Toc32390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五、存在的问题和建议</w:t>
      </w:r>
      <w:r>
        <w:rPr>
          <w:rFonts w:hint="default" w:ascii="Arial Narrow" w:hAnsi="Arial Narrow" w:cs="Arial Narrow"/>
          <w:sz w:val="32"/>
          <w:szCs w:val="40"/>
        </w:rPr>
        <w:tab/>
      </w:r>
      <w:r>
        <w:rPr>
          <w:rFonts w:hint="default" w:ascii="Arial Narrow" w:hAnsi="Arial Narrow" w:cs="Arial Narrow"/>
          <w:sz w:val="32"/>
          <w:szCs w:val="40"/>
        </w:rPr>
        <w:fldChar w:fldCharType="begin"/>
      </w:r>
      <w:r>
        <w:rPr>
          <w:rFonts w:hint="default" w:ascii="Arial Narrow" w:hAnsi="Arial Narrow" w:cs="Arial Narrow"/>
          <w:sz w:val="32"/>
          <w:szCs w:val="40"/>
        </w:rPr>
        <w:instrText xml:space="preserve"> PAGEREF _Toc32390 \h </w:instrText>
      </w:r>
      <w:r>
        <w:rPr>
          <w:rFonts w:hint="default" w:ascii="Arial Narrow" w:hAnsi="Arial Narrow" w:cs="Arial Narrow"/>
          <w:sz w:val="32"/>
          <w:szCs w:val="40"/>
        </w:rPr>
        <w:fldChar w:fldCharType="separate"/>
      </w:r>
      <w:r>
        <w:rPr>
          <w:rFonts w:hint="default" w:ascii="Arial Narrow" w:hAnsi="Arial Narrow" w:cs="Arial Narrow"/>
          <w:sz w:val="32"/>
          <w:szCs w:val="40"/>
        </w:rPr>
        <w:t>6</w:t>
      </w:r>
      <w:r>
        <w:rPr>
          <w:rFonts w:hint="default" w:ascii="Arial Narrow" w:hAnsi="Arial Narrow"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781B89AC">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_Toc31352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（一）存在问题</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_Toc31352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6</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40767F9C">
      <w:pPr>
        <w:pStyle w:val="6"/>
        <w:tabs>
          <w:tab w:val="right" w:leader="dot" w:pos="8788"/>
          <w:tab w:val="clear" w:pos="8778"/>
        </w:tabs>
        <w:rPr>
          <w:rFonts w:hint="default" w:ascii="Arial Narrow" w:hAnsi="Arial Narrow"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_Toc4564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（二）建议</w:t>
      </w:r>
      <w:r>
        <w:rPr>
          <w:rFonts w:hint="default" w:ascii="Arial Narrow" w:hAnsi="Arial Narrow" w:cs="Arial Narrow"/>
          <w:b w:val="0"/>
          <w:bCs w:val="0"/>
          <w:sz w:val="32"/>
          <w:szCs w:val="40"/>
        </w:rPr>
        <w:tab/>
      </w:r>
      <w:r>
        <w:rPr>
          <w:rFonts w:hint="default" w:ascii="Arial Narrow" w:hAnsi="Arial Narrow" w:cs="Arial Narrow"/>
          <w:b w:val="0"/>
          <w:bCs w:val="0"/>
          <w:sz w:val="32"/>
          <w:szCs w:val="40"/>
        </w:rPr>
        <w:fldChar w:fldCharType="begin"/>
      </w:r>
      <w:r>
        <w:rPr>
          <w:rFonts w:hint="default" w:ascii="Arial Narrow" w:hAnsi="Arial Narrow" w:cs="Arial Narrow"/>
          <w:b w:val="0"/>
          <w:bCs w:val="0"/>
          <w:sz w:val="32"/>
          <w:szCs w:val="40"/>
        </w:rPr>
        <w:instrText xml:space="preserve"> PAGEREF _Toc4564 \h </w:instrText>
      </w:r>
      <w:r>
        <w:rPr>
          <w:rFonts w:hint="default" w:ascii="Arial Narrow" w:hAnsi="Arial Narrow" w:cs="Arial Narrow"/>
          <w:b w:val="0"/>
          <w:bCs w:val="0"/>
          <w:sz w:val="32"/>
          <w:szCs w:val="40"/>
        </w:rPr>
        <w:fldChar w:fldCharType="separate"/>
      </w:r>
      <w:r>
        <w:rPr>
          <w:rFonts w:hint="default" w:ascii="Arial Narrow" w:hAnsi="Arial Narrow" w:cs="Arial Narrow"/>
          <w:b w:val="0"/>
          <w:bCs w:val="0"/>
          <w:sz w:val="32"/>
          <w:szCs w:val="40"/>
        </w:rPr>
        <w:t>6</w:t>
      </w:r>
      <w:r>
        <w:rPr>
          <w:rFonts w:hint="default" w:ascii="Arial Narrow" w:hAnsi="Arial Narrow"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F42DF0B">
      <w:pPr>
        <w:pStyle w:val="12"/>
        <w:spacing w:line="460" w:lineRule="exact"/>
        <w:rPr>
          <w:rFonts w:hint="default" w:ascii="Arial Narrow" w:hAnsi="Arial Narrow" w:eastAsia="仿宋_GB2312" w:cs="Arial Narrow"/>
          <w:bCs/>
          <w:w w:val="80"/>
        </w:rPr>
        <w:sectPr>
          <w:footerReference r:id="rId4" w:type="default"/>
          <w:pgSz w:w="11907" w:h="16840"/>
          <w:pgMar w:top="1418" w:right="1418" w:bottom="1134" w:left="1701" w:header="851" w:footer="851" w:gutter="0"/>
          <w:pgNumType w:start="1"/>
          <w:cols w:space="425" w:num="1"/>
          <w:docGrid w:linePitch="312" w:charSpace="0"/>
        </w:sectPr>
      </w:pPr>
      <w:r>
        <w:rPr>
          <w:rStyle w:val="10"/>
          <w:rFonts w:hint="default" w:ascii="Arial Narrow" w:hAnsi="Arial Narrow" w:eastAsia="仿宋_GB2312" w:cs="Arial Narrow"/>
          <w:color w:val="auto"/>
          <w:sz w:val="32"/>
          <w:szCs w:val="32"/>
          <w:u w:val="none"/>
        </w:rPr>
        <w:fldChar w:fldCharType="end"/>
      </w:r>
    </w:p>
    <w:p w14:paraId="4A76CED0">
      <w:pPr>
        <w:widowControl/>
        <w:jc w:val="distribute"/>
        <w:rPr>
          <w:rFonts w:hint="default" w:ascii="Arial Narrow" w:hAnsi="Arial Narrow" w:eastAsia="仿宋_GB2312" w:cs="Arial Narrow"/>
          <w:bCs/>
          <w:kern w:val="0"/>
          <w:sz w:val="28"/>
          <w:szCs w:val="28"/>
        </w:rPr>
      </w:pPr>
      <w:r>
        <w:rPr>
          <w:rFonts w:hint="default" w:ascii="Arial Narrow" w:hAnsi="Arial Narrow" w:eastAsia="仿宋_GB2312" w:cs="Arial Narrow"/>
          <w:b/>
          <w:kern w:val="0"/>
          <w:sz w:val="72"/>
          <w:szCs w:val="72"/>
        </w:rPr>
        <w:t>重庆铭鸿金全会计师事务所</w:t>
      </w:r>
    </w:p>
    <w:p w14:paraId="013552BB">
      <w:pPr>
        <w:widowControl/>
        <w:spacing w:line="360" w:lineRule="auto"/>
        <w:ind w:right="-2"/>
        <w:jc w:val="distribute"/>
        <w:rPr>
          <w:rFonts w:hint="default" w:ascii="Arial Narrow" w:hAnsi="Arial Narrow" w:eastAsia="仿宋_GB2312" w:cs="Arial Narrow"/>
          <w:kern w:val="0"/>
          <w:sz w:val="28"/>
          <w:szCs w:val="28"/>
          <w:lang w:eastAsia="zh-TW"/>
        </w:rPr>
      </w:pPr>
      <w:r>
        <w:rPr>
          <w:rFonts w:hint="default" w:ascii="Arial Narrow" w:hAnsi="Arial Narrow" w:eastAsia="仿宋_GB2312" w:cs="Arial Narrow"/>
          <w:b/>
          <w:kern w:val="0"/>
          <w:sz w:val="32"/>
          <w:szCs w:val="20"/>
          <w:lang w:eastAsia="zh-TW"/>
        </w:rPr>
        <w:t xml:space="preserve">Chongqing </w:t>
      </w:r>
      <w:r>
        <w:rPr>
          <w:rFonts w:hint="default" w:ascii="Arial Narrow" w:hAnsi="Arial Narrow" w:eastAsia="仿宋_GB2312" w:cs="Arial Narrow"/>
          <w:b/>
          <w:kern w:val="0"/>
          <w:sz w:val="32"/>
          <w:szCs w:val="20"/>
        </w:rPr>
        <w:t>MingHong</w:t>
      </w:r>
      <w:r>
        <w:rPr>
          <w:rFonts w:hint="default" w:ascii="Arial Narrow" w:hAnsi="Arial Narrow" w:eastAsia="仿宋_GB2312" w:cs="Arial Narrow"/>
          <w:b/>
          <w:kern w:val="0"/>
          <w:sz w:val="32"/>
          <w:szCs w:val="20"/>
          <w:lang w:eastAsia="zh-TW"/>
        </w:rPr>
        <w:t xml:space="preserve"> </w:t>
      </w:r>
      <w:r>
        <w:rPr>
          <w:rFonts w:hint="default" w:ascii="Arial Narrow" w:hAnsi="Arial Narrow" w:eastAsia="仿宋_GB2312" w:cs="Arial Narrow"/>
          <w:b/>
          <w:kern w:val="0"/>
          <w:sz w:val="32"/>
          <w:szCs w:val="20"/>
        </w:rPr>
        <w:t>JinQuan</w:t>
      </w:r>
      <w:r>
        <w:rPr>
          <w:rFonts w:hint="default" w:ascii="Arial Narrow" w:hAnsi="Arial Narrow" w:eastAsia="仿宋_GB2312" w:cs="Arial Narrow"/>
          <w:b/>
          <w:kern w:val="0"/>
          <w:sz w:val="32"/>
          <w:szCs w:val="20"/>
          <w:lang w:eastAsia="zh-TW"/>
        </w:rPr>
        <w:t xml:space="preserve"> Certified Public Accountants</w:t>
      </w:r>
    </w:p>
    <w:p w14:paraId="1EAD3FA6">
      <w:pPr>
        <w:spacing w:line="360" w:lineRule="auto"/>
        <w:jc w:val="center"/>
        <w:rPr>
          <w:rFonts w:hint="default" w:ascii="Arial Narrow" w:hAnsi="Arial Narrow" w:eastAsia="仿宋_GB2312" w:cs="Arial Narrow"/>
          <w:sz w:val="28"/>
          <w:szCs w:val="28"/>
        </w:rPr>
      </w:pPr>
      <w:r>
        <w:rPr>
          <w:rFonts w:hint="default" w:ascii="Arial Narrow" w:hAnsi="Arial Narrow" w:eastAsia="仿宋_GB2312" w:cs="Arial Narrow"/>
          <w:kern w:val="0"/>
          <w:sz w:val="28"/>
          <w:szCs w:val="28"/>
        </w:rPr>
        <w:t>铭</w:t>
      </w:r>
      <w:r>
        <w:rPr>
          <w:rFonts w:hint="default" w:ascii="Arial Narrow" w:hAnsi="Arial Narrow" w:eastAsia="仿宋_GB2312" w:cs="Arial Narrow"/>
          <w:sz w:val="28"/>
          <w:szCs w:val="28"/>
        </w:rPr>
        <w:t>鸿咨字〔2024〕第</w:t>
      </w:r>
      <w:r>
        <w:rPr>
          <w:rFonts w:hint="default" w:ascii="Arial Narrow" w:hAnsi="Arial Narrow" w:eastAsia="仿宋_GB2312" w:cs="Arial Narrow"/>
          <w:sz w:val="28"/>
          <w:szCs w:val="28"/>
          <w:lang w:val="en-US" w:eastAsia="zh-CN"/>
        </w:rPr>
        <w:t>0005</w:t>
      </w:r>
      <w:r>
        <w:rPr>
          <w:rFonts w:hint="default" w:ascii="Arial Narrow" w:hAnsi="Arial Narrow" w:eastAsia="仿宋_GB2312" w:cs="Arial Narrow"/>
          <w:sz w:val="28"/>
          <w:szCs w:val="28"/>
        </w:rPr>
        <w:t>号</w:t>
      </w:r>
    </w:p>
    <w:p w14:paraId="7DA1923A">
      <w:pPr>
        <w:spacing w:line="360" w:lineRule="auto"/>
        <w:jc w:val="distribute"/>
        <w:rPr>
          <w:rFonts w:hint="default" w:ascii="Arial Narrow" w:hAnsi="Arial Narrow" w:eastAsia="仿宋_GB2312" w:cs="Arial Narrow"/>
          <w:w w:val="94"/>
        </w:rPr>
      </w:pPr>
      <w:r>
        <w:rPr>
          <w:rFonts w:hint="default" w:ascii="Arial Narrow" w:hAnsi="Arial Narrow" w:eastAsia="仿宋_GB2312" w:cs="Arial Narrow"/>
          <w:b/>
          <w:bCs/>
          <w:w w:val="94"/>
          <w:sz w:val="36"/>
          <w:szCs w:val="36"/>
        </w:rPr>
        <w:t>━━━━━━━━━━━━ ★ ━━━━━━━━━━━</w:t>
      </w:r>
      <w:bookmarkStart w:id="2" w:name="_Hlk51614207"/>
      <w:r>
        <w:rPr>
          <w:rFonts w:hint="default" w:ascii="Arial Narrow" w:hAnsi="Arial Narrow" w:eastAsia="仿宋_GB2312" w:cs="Arial Narrow"/>
          <w:b/>
          <w:bCs/>
          <w:w w:val="94"/>
          <w:sz w:val="36"/>
          <w:szCs w:val="36"/>
        </w:rPr>
        <w:t>━</w:t>
      </w:r>
      <w:bookmarkEnd w:id="2"/>
    </w:p>
    <w:p w14:paraId="495C3630">
      <w:pPr>
        <w:adjustRightInd w:val="0"/>
        <w:snapToGrid w:val="0"/>
        <w:spacing w:line="360" w:lineRule="auto"/>
        <w:jc w:val="center"/>
        <w:rPr>
          <w:rStyle w:val="10"/>
          <w:rFonts w:hint="default" w:ascii="Arial Narrow" w:hAnsi="Arial Narrow" w:eastAsia="仿宋_GB2312" w:cs="Arial Narrow"/>
          <w:b/>
          <w:color w:val="auto"/>
          <w:sz w:val="36"/>
          <w:szCs w:val="36"/>
          <w:u w:val="none"/>
          <w:lang w:eastAsia="zh-CN"/>
        </w:rPr>
      </w:pPr>
      <w:r>
        <w:rPr>
          <w:rStyle w:val="10"/>
          <w:rFonts w:hint="default" w:ascii="Arial Narrow" w:hAnsi="Arial Narrow" w:eastAsia="仿宋_GB2312" w:cs="Arial Narrow"/>
          <w:b/>
          <w:color w:val="auto"/>
          <w:sz w:val="36"/>
          <w:szCs w:val="36"/>
          <w:u w:val="none"/>
        </w:rPr>
        <w:t>铜梁区“2023年太平镇坪漆村集团经济项目</w:t>
      </w:r>
      <w:r>
        <w:rPr>
          <w:rStyle w:val="10"/>
          <w:rFonts w:hint="default" w:ascii="Arial Narrow" w:hAnsi="Arial Narrow" w:eastAsia="仿宋_GB2312" w:cs="Arial Narrow"/>
          <w:b/>
          <w:color w:val="auto"/>
          <w:sz w:val="36"/>
          <w:szCs w:val="36"/>
          <w:u w:val="none"/>
          <w:lang w:eastAsia="zh-CN"/>
        </w:rPr>
        <w:t>”</w:t>
      </w:r>
    </w:p>
    <w:p w14:paraId="3BF9C3E1">
      <w:pPr>
        <w:adjustRightInd w:val="0"/>
        <w:snapToGrid w:val="0"/>
        <w:spacing w:line="360" w:lineRule="auto"/>
        <w:jc w:val="center"/>
        <w:rPr>
          <w:rFonts w:hint="default" w:ascii="Arial Narrow" w:hAnsi="Arial Narrow" w:eastAsia="仿宋_GB2312" w:cs="Arial Narrow"/>
          <w:b/>
          <w:sz w:val="36"/>
          <w:szCs w:val="36"/>
        </w:rPr>
      </w:pPr>
      <w:r>
        <w:rPr>
          <w:rStyle w:val="10"/>
          <w:rFonts w:hint="default" w:ascii="Arial Narrow" w:hAnsi="Arial Narrow" w:eastAsia="仿宋_GB2312" w:cs="Arial Narrow"/>
          <w:b/>
          <w:color w:val="auto"/>
          <w:sz w:val="36"/>
          <w:szCs w:val="36"/>
          <w:u w:val="none"/>
        </w:rPr>
        <w:t>财政专项衔接资金</w:t>
      </w:r>
      <w:r>
        <w:rPr>
          <w:rFonts w:hint="default" w:ascii="Arial Narrow" w:hAnsi="Arial Narrow" w:eastAsia="仿宋_GB2312" w:cs="Arial Narrow"/>
          <w:b/>
          <w:sz w:val="36"/>
          <w:szCs w:val="36"/>
        </w:rPr>
        <w:t>绩效评价报告</w:t>
      </w:r>
    </w:p>
    <w:p w14:paraId="47F5AFD2">
      <w:pPr>
        <w:pStyle w:val="13"/>
        <w:spacing w:line="360" w:lineRule="auto"/>
        <w:ind w:firstLine="480" w:firstLineChars="200"/>
        <w:jc w:val="both"/>
        <w:rPr>
          <w:rFonts w:hint="default" w:ascii="Arial Narrow" w:hAnsi="Arial Narrow" w:eastAsia="仿宋_GB2312" w:cs="Arial Narrow"/>
          <w:color w:val="auto"/>
        </w:rPr>
      </w:pPr>
      <w:r>
        <w:rPr>
          <w:rFonts w:hint="default" w:ascii="Arial Narrow" w:hAnsi="Arial Narrow" w:eastAsia="仿宋_GB2312" w:cs="Arial Narrow"/>
          <w:color w:val="auto"/>
        </w:rPr>
        <w:t>为深入贯彻落实党的十九大</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全面实施绩效管理</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决策部署，进一步提高政府投入资金的使用效益，促进公共服务资源的优化配置，根据《中华人民共和国预算法》、《项目支出绩效评价管理办法》（财预〔2020〕10号）</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《重庆市市级政策和项目预算绩效管理办法（试行）》（渝财绩〔2019〕19号）</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受重庆市铜梁区财政局（以下简称</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财政局</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）的委托，我们对</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重庆市铜梁区太平镇坪漆村2023年集团经济项目</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财政专项衔接资金进行绩效评价，现将评价情况报告如下：</w:t>
      </w:r>
    </w:p>
    <w:p w14:paraId="2C9D21D5">
      <w:pPr>
        <w:spacing w:before="240" w:beforeLines="100" w:line="360" w:lineRule="auto"/>
        <w:ind w:firstLine="482" w:firstLineChars="200"/>
        <w:jc w:val="left"/>
        <w:outlineLvl w:val="0"/>
        <w:rPr>
          <w:rFonts w:hint="default" w:ascii="Arial Narrow" w:hAnsi="Arial Narrow" w:eastAsia="仿宋_GB2312" w:cs="Arial Narrow"/>
          <w:b/>
          <w:sz w:val="24"/>
        </w:rPr>
      </w:pPr>
      <w:bookmarkStart w:id="3" w:name="_Toc20766"/>
      <w:bookmarkStart w:id="4" w:name="_Toc16913"/>
      <w:bookmarkStart w:id="5" w:name="_Toc169624358"/>
      <w:r>
        <w:rPr>
          <w:rFonts w:hint="default" w:ascii="Arial Narrow" w:hAnsi="Arial Narrow" w:eastAsia="仿宋_GB2312" w:cs="Arial Narrow"/>
          <w:b/>
          <w:sz w:val="24"/>
        </w:rPr>
        <w:t>一、基本情况</w:t>
      </w:r>
      <w:bookmarkEnd w:id="3"/>
      <w:bookmarkEnd w:id="4"/>
      <w:bookmarkEnd w:id="5"/>
    </w:p>
    <w:p w14:paraId="64AD378B">
      <w:pPr>
        <w:spacing w:before="120" w:beforeLines="50" w:line="360" w:lineRule="auto"/>
        <w:ind w:firstLine="482" w:firstLineChars="200"/>
        <w:jc w:val="left"/>
        <w:outlineLvl w:val="0"/>
        <w:rPr>
          <w:rFonts w:hint="default" w:ascii="Arial Narrow" w:hAnsi="Arial Narrow" w:eastAsia="仿宋_GB2312" w:cs="Arial Narrow"/>
          <w:b/>
          <w:bCs/>
          <w:kern w:val="0"/>
          <w:sz w:val="24"/>
        </w:rPr>
      </w:pPr>
      <w:bookmarkStart w:id="6" w:name="_Toc23772"/>
      <w:bookmarkStart w:id="7" w:name="_Toc27255"/>
      <w:bookmarkStart w:id="8" w:name="_Toc169624359"/>
      <w:r>
        <w:rPr>
          <w:rFonts w:hint="default" w:ascii="Arial Narrow" w:hAnsi="Arial Narrow" w:eastAsia="仿宋_GB2312" w:cs="Arial Narrow"/>
          <w:b/>
          <w:bCs/>
          <w:kern w:val="0"/>
          <w:sz w:val="24"/>
        </w:rPr>
        <w:t>（一）项目情况</w:t>
      </w:r>
      <w:bookmarkEnd w:id="6"/>
      <w:bookmarkEnd w:id="7"/>
      <w:bookmarkEnd w:id="8"/>
    </w:p>
    <w:p w14:paraId="7D1A5080">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项目名称：太平镇</w:t>
      </w:r>
      <w:bookmarkStart w:id="9" w:name="_Hlk171497320"/>
      <w:r>
        <w:rPr>
          <w:rFonts w:hint="default" w:ascii="Arial Narrow" w:hAnsi="Arial Narrow" w:eastAsia="仿宋_GB2312" w:cs="Arial Narrow"/>
          <w:kern w:val="0"/>
          <w:sz w:val="24"/>
        </w:rPr>
        <w:t>坪漆村2023年集团经济项目</w:t>
      </w:r>
      <w:bookmarkEnd w:id="9"/>
    </w:p>
    <w:p w14:paraId="60843324">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实施单位：铜梁区太平镇坪漆村股份经济合作联合社</w:t>
      </w:r>
    </w:p>
    <w:p w14:paraId="71C825E8">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项目内容：新建管理房124.58平方米、兔棚1064.28平方米、集尿池90立方米及其室外附属工程等。</w:t>
      </w:r>
    </w:p>
    <w:p w14:paraId="4D8AD6C9">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项目资金安排情况：该项目2023年总投资163万元，上级补助资金100万元，捐赠资金50万元，其余为自筹资金。</w:t>
      </w:r>
    </w:p>
    <w:p w14:paraId="41AFAA59">
      <w:pPr>
        <w:spacing w:line="360" w:lineRule="auto"/>
        <w:ind w:firstLine="482" w:firstLineChars="200"/>
        <w:jc w:val="left"/>
        <w:outlineLvl w:val="0"/>
        <w:rPr>
          <w:rFonts w:hint="default" w:ascii="Arial Narrow" w:hAnsi="Arial Narrow" w:eastAsia="仿宋_GB2312" w:cs="Arial Narrow"/>
          <w:b/>
          <w:sz w:val="24"/>
        </w:rPr>
      </w:pPr>
      <w:bookmarkStart w:id="10" w:name="_Toc169624360"/>
      <w:bookmarkStart w:id="11" w:name="_Toc27585"/>
      <w:bookmarkStart w:id="12" w:name="_Toc15549"/>
      <w:r>
        <w:rPr>
          <w:rFonts w:hint="default" w:ascii="Arial Narrow" w:hAnsi="Arial Narrow" w:eastAsia="仿宋_GB2312" w:cs="Arial Narrow"/>
          <w:b/>
          <w:sz w:val="24"/>
        </w:rPr>
        <w:t>二、绩效评价工作情况</w:t>
      </w:r>
      <w:bookmarkEnd w:id="10"/>
      <w:bookmarkEnd w:id="11"/>
      <w:bookmarkEnd w:id="12"/>
    </w:p>
    <w:p w14:paraId="0432EC07">
      <w:pPr>
        <w:spacing w:line="360" w:lineRule="auto"/>
        <w:ind w:firstLine="482" w:firstLineChars="200"/>
        <w:jc w:val="left"/>
        <w:outlineLvl w:val="0"/>
        <w:rPr>
          <w:rFonts w:hint="default" w:ascii="Arial Narrow" w:hAnsi="Arial Narrow" w:eastAsia="仿宋_GB2312" w:cs="Arial Narrow"/>
          <w:b/>
          <w:sz w:val="24"/>
        </w:rPr>
      </w:pPr>
      <w:bookmarkStart w:id="13" w:name="_Toc169624361"/>
      <w:bookmarkStart w:id="14" w:name="_Toc16578"/>
      <w:bookmarkStart w:id="15" w:name="_Toc513775099"/>
      <w:bookmarkStart w:id="16" w:name="_Toc5076"/>
      <w:r>
        <w:rPr>
          <w:rFonts w:hint="default" w:ascii="Arial Narrow" w:hAnsi="Arial Narrow" w:eastAsia="仿宋_GB2312" w:cs="Arial Narrow"/>
          <w:b/>
          <w:sz w:val="24"/>
        </w:rPr>
        <w:t>（一）绩效评价目的</w:t>
      </w:r>
      <w:bookmarkEnd w:id="13"/>
      <w:bookmarkEnd w:id="14"/>
      <w:bookmarkEnd w:id="15"/>
      <w:bookmarkEnd w:id="16"/>
    </w:p>
    <w:p w14:paraId="193E98F5">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通过实施财政重点绩效评价，总结项目实施主要成效，分析影响项目绩效的主要问题及成因，为进一步加强财政资金管理、提高资金使用效益提供依据。</w:t>
      </w:r>
    </w:p>
    <w:p w14:paraId="4AB3D8B8">
      <w:pPr>
        <w:spacing w:line="360" w:lineRule="auto"/>
        <w:ind w:firstLine="482" w:firstLineChars="200"/>
        <w:jc w:val="left"/>
        <w:outlineLvl w:val="0"/>
        <w:rPr>
          <w:rFonts w:hint="default" w:ascii="Arial Narrow" w:hAnsi="Arial Narrow" w:eastAsia="仿宋_GB2312" w:cs="Arial Narrow"/>
          <w:b/>
          <w:sz w:val="24"/>
        </w:rPr>
      </w:pPr>
      <w:bookmarkStart w:id="17" w:name="_Toc169624362"/>
      <w:bookmarkStart w:id="18" w:name="_Toc27751"/>
      <w:bookmarkStart w:id="19" w:name="_Toc7154"/>
      <w:bookmarkStart w:id="20" w:name="_Toc513775100"/>
      <w:r>
        <w:rPr>
          <w:rFonts w:hint="default" w:ascii="Arial Narrow" w:hAnsi="Arial Narrow" w:eastAsia="仿宋_GB2312" w:cs="Arial Narrow"/>
          <w:b/>
          <w:sz w:val="24"/>
        </w:rPr>
        <w:t>（二）绩效评价的基本内容</w:t>
      </w:r>
      <w:bookmarkEnd w:id="17"/>
      <w:bookmarkEnd w:id="18"/>
      <w:bookmarkEnd w:id="19"/>
    </w:p>
    <w:p w14:paraId="604F591A">
      <w:pPr>
        <w:pStyle w:val="13"/>
        <w:spacing w:line="360" w:lineRule="auto"/>
        <w:ind w:firstLine="480" w:firstLineChars="200"/>
        <w:rPr>
          <w:rFonts w:hint="default" w:ascii="Arial Narrow" w:hAnsi="Arial Narrow" w:eastAsia="仿宋_GB2312" w:cs="Arial Narrow"/>
          <w:color w:val="auto"/>
        </w:rPr>
      </w:pPr>
      <w:bookmarkStart w:id="21" w:name="_Toc166332968"/>
      <w:r>
        <w:rPr>
          <w:rFonts w:hint="default" w:ascii="Arial Narrow" w:hAnsi="Arial Narrow" w:eastAsia="仿宋_GB2312" w:cs="Arial Narrow"/>
          <w:color w:val="auto"/>
        </w:rPr>
        <w:t>1</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绩效目标的设定情况；</w:t>
      </w:r>
    </w:p>
    <w:p w14:paraId="3A54E63F">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资金投入和使用情况；</w:t>
      </w:r>
    </w:p>
    <w:p w14:paraId="7172D6C2">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为实现绩效目标制定的制度、采取的措施等；</w:t>
      </w:r>
    </w:p>
    <w:p w14:paraId="7B870012">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绩效目标的实现程度及效果；</w:t>
      </w:r>
    </w:p>
    <w:p w14:paraId="6ACB432E">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根据实际情况需要评价的其他内容。</w:t>
      </w:r>
    </w:p>
    <w:p w14:paraId="234AA53C">
      <w:pPr>
        <w:spacing w:line="360" w:lineRule="auto"/>
        <w:ind w:firstLine="482" w:firstLineChars="200"/>
        <w:jc w:val="left"/>
        <w:outlineLvl w:val="0"/>
        <w:rPr>
          <w:rFonts w:hint="default" w:ascii="Arial Narrow" w:hAnsi="Arial Narrow" w:eastAsia="仿宋_GB2312" w:cs="Arial Narrow"/>
          <w:b/>
          <w:sz w:val="24"/>
        </w:rPr>
      </w:pPr>
      <w:bookmarkStart w:id="22" w:name="_Toc6730"/>
      <w:bookmarkStart w:id="23" w:name="_Toc169624363"/>
      <w:bookmarkStart w:id="24" w:name="_Toc13829"/>
      <w:r>
        <w:rPr>
          <w:rFonts w:hint="default" w:ascii="Arial Narrow" w:hAnsi="Arial Narrow" w:eastAsia="仿宋_GB2312" w:cs="Arial Narrow"/>
          <w:b/>
          <w:sz w:val="24"/>
        </w:rPr>
        <w:t>（三）绩效评价依据</w:t>
      </w:r>
      <w:bookmarkEnd w:id="20"/>
      <w:bookmarkEnd w:id="21"/>
      <w:bookmarkEnd w:id="22"/>
      <w:bookmarkEnd w:id="23"/>
      <w:bookmarkEnd w:id="24"/>
      <w:bookmarkStart w:id="25" w:name="_Toc335040595"/>
    </w:p>
    <w:p w14:paraId="6A98C557">
      <w:pPr>
        <w:pStyle w:val="13"/>
        <w:spacing w:line="360" w:lineRule="auto"/>
        <w:ind w:firstLine="480" w:firstLineChars="200"/>
        <w:rPr>
          <w:rFonts w:hint="default" w:ascii="Arial Narrow" w:hAnsi="Arial Narrow" w:eastAsia="仿宋_GB2312" w:cs="Arial Narrow"/>
          <w:color w:val="auto"/>
          <w:lang w:eastAsia="zh-CN"/>
        </w:rPr>
      </w:pPr>
      <w:r>
        <w:rPr>
          <w:rFonts w:hint="default" w:ascii="Arial Narrow" w:hAnsi="Arial Narrow" w:eastAsia="仿宋_GB2312" w:cs="Arial Narrow"/>
          <w:color w:val="auto"/>
        </w:rPr>
        <w:t>1</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《重庆市铜梁区财政衔接推进乡村振兴补助资金绩效评价及考核办法》的通知（铜财〔2022〕678号）</w:t>
      </w:r>
      <w:r>
        <w:rPr>
          <w:rFonts w:hint="default" w:ascii="Arial Narrow" w:hAnsi="Arial Narrow" w:eastAsia="仿宋_GB2312" w:cs="Arial Narrow"/>
          <w:color w:val="auto"/>
          <w:lang w:eastAsia="zh-CN"/>
        </w:rPr>
        <w:t>；</w:t>
      </w:r>
    </w:p>
    <w:p w14:paraId="560C64B3">
      <w:pPr>
        <w:pStyle w:val="13"/>
        <w:numPr>
          <w:ilvl w:val="0"/>
          <w:numId w:val="0"/>
        </w:numPr>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2</w:t>
      </w:r>
      <w:bookmarkEnd w:id="25"/>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《重庆市铜梁区财政局关于开展2023年度项目财政重点绩效评价的通知</w:t>
      </w:r>
      <w:r>
        <w:rPr>
          <w:rFonts w:hint="default" w:ascii="Arial Narrow" w:hAnsi="Arial Narrow" w:eastAsia="仿宋_GB2312" w:cs="Arial Narrow"/>
          <w:color w:val="auto"/>
          <w:kern w:val="0"/>
          <w:sz w:val="24"/>
          <w:lang w:eastAsia="zh-CN"/>
        </w:rPr>
        <w:t>》（</w:t>
      </w:r>
      <w:r>
        <w:rPr>
          <w:rFonts w:hint="default" w:ascii="Arial Narrow" w:hAnsi="Arial Narrow" w:eastAsia="仿宋_GB2312" w:cs="Arial Narrow"/>
          <w:color w:val="auto"/>
        </w:rPr>
        <w:t>铜财〔2024〕237号）；</w:t>
      </w:r>
    </w:p>
    <w:p w14:paraId="7D32FED8">
      <w:pPr>
        <w:pStyle w:val="13"/>
        <w:numPr>
          <w:ilvl w:val="-1"/>
          <w:numId w:val="0"/>
        </w:numPr>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3.</w:t>
      </w:r>
      <w:r>
        <w:rPr>
          <w:rFonts w:hint="default" w:ascii="Arial Narrow" w:hAnsi="Arial Narrow" w:eastAsia="仿宋_GB2312" w:cs="Arial Narrow"/>
          <w:color w:val="auto"/>
        </w:rPr>
        <w:t>《重庆市财政衔接推进乡村振兴补助资金绩效评价及考核办法</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渝财农〔2022〕2号</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w:t>
      </w:r>
    </w:p>
    <w:p w14:paraId="5154F7BF">
      <w:pPr>
        <w:pStyle w:val="13"/>
        <w:numPr>
          <w:ilvl w:val="-1"/>
          <w:numId w:val="0"/>
        </w:numPr>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4.</w:t>
      </w:r>
      <w:r>
        <w:rPr>
          <w:rFonts w:hint="default" w:ascii="Arial Narrow" w:hAnsi="Arial Narrow" w:eastAsia="仿宋_GB2312" w:cs="Arial Narrow"/>
          <w:color w:val="auto"/>
        </w:rPr>
        <w:t>《铜梁区区级政策和项目预算绩效管理办法</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试行</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》（铜财〔2022〕41号）；</w:t>
      </w:r>
    </w:p>
    <w:p w14:paraId="0EA783D9">
      <w:pPr>
        <w:pStyle w:val="13"/>
        <w:numPr>
          <w:ilvl w:val="-1"/>
          <w:numId w:val="0"/>
        </w:numPr>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5.</w:t>
      </w:r>
      <w:r>
        <w:rPr>
          <w:rFonts w:hint="default" w:ascii="Arial Narrow" w:hAnsi="Arial Narrow" w:eastAsia="仿宋_GB2312" w:cs="Arial Narrow"/>
          <w:color w:val="auto"/>
        </w:rPr>
        <w:t>《重庆市财政局等6部门关于加强财政衔接推进乡村振兴补助资金使用管理的实施意见》（渝财农〔2022〕73号）；</w:t>
      </w:r>
    </w:p>
    <w:p w14:paraId="2AF668DD">
      <w:pPr>
        <w:pStyle w:val="13"/>
        <w:numPr>
          <w:ilvl w:val="-1"/>
          <w:numId w:val="0"/>
        </w:numPr>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6.</w:t>
      </w:r>
      <w:r>
        <w:rPr>
          <w:rFonts w:hint="default" w:ascii="Arial Narrow" w:hAnsi="Arial Narrow" w:eastAsia="仿宋_GB2312" w:cs="Arial Narrow"/>
          <w:color w:val="auto"/>
        </w:rPr>
        <w:t>《铜梁区巩固拓展脱贫攻坚成果和衔接乡村振兴项目库建设管理实施细则》（铜乡振〔2021〕7号）；</w:t>
      </w:r>
    </w:p>
    <w:p w14:paraId="38771145">
      <w:pPr>
        <w:pStyle w:val="13"/>
        <w:numPr>
          <w:ilvl w:val="-1"/>
          <w:numId w:val="0"/>
        </w:numPr>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7.</w:t>
      </w:r>
      <w:r>
        <w:rPr>
          <w:rFonts w:hint="default" w:ascii="Arial Narrow" w:hAnsi="Arial Narrow" w:eastAsia="仿宋_GB2312" w:cs="Arial Narrow"/>
          <w:color w:val="auto"/>
        </w:rPr>
        <w:t>《铜梁区财政衔接推进乡村振兴补助资金项目公告公示实施办法》（铜委农办〔2021〕19号）；</w:t>
      </w:r>
    </w:p>
    <w:p w14:paraId="3E4806B6">
      <w:pPr>
        <w:pStyle w:val="13"/>
        <w:snapToGrid/>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8.</w:t>
      </w:r>
      <w:r>
        <w:rPr>
          <w:rFonts w:hint="default" w:ascii="Arial Narrow" w:hAnsi="Arial Narrow" w:eastAsia="仿宋_GB2312" w:cs="Arial Narrow"/>
          <w:color w:val="auto"/>
        </w:rPr>
        <w:t>《项目支出绩效评价管理办法》（财预〔2020〕10号）；</w:t>
      </w:r>
    </w:p>
    <w:p w14:paraId="42192553">
      <w:pPr>
        <w:pStyle w:val="13"/>
        <w:snapToGrid/>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9.</w:t>
      </w:r>
      <w:r>
        <w:rPr>
          <w:rFonts w:hint="default" w:ascii="Arial Narrow" w:hAnsi="Arial Narrow" w:eastAsia="仿宋_GB2312" w:cs="Arial Narrow"/>
          <w:color w:val="auto"/>
        </w:rPr>
        <w:t>《重庆市市级政策和项目预算绩效管理办法》（渝财绩〔2019〕19号）；</w:t>
      </w:r>
    </w:p>
    <w:p w14:paraId="1D556964">
      <w:pPr>
        <w:pStyle w:val="13"/>
        <w:snapToGrid/>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10.</w:t>
      </w:r>
      <w:r>
        <w:rPr>
          <w:rFonts w:hint="default" w:ascii="Arial Narrow" w:hAnsi="Arial Narrow" w:eastAsia="仿宋_GB2312" w:cs="Arial Narrow"/>
          <w:color w:val="auto"/>
        </w:rPr>
        <w:t>《会计师事务所财政支出绩效评价业务指引》（注协</w:t>
      </w:r>
      <w:bookmarkStart w:id="26" w:name="_Hlk162597612"/>
      <w:r>
        <w:rPr>
          <w:rFonts w:hint="default" w:ascii="Arial Narrow" w:hAnsi="Arial Narrow" w:eastAsia="仿宋_GB2312" w:cs="Arial Narrow"/>
          <w:color w:val="auto"/>
        </w:rPr>
        <w:t>〔2016〕</w:t>
      </w:r>
      <w:bookmarkEnd w:id="26"/>
      <w:r>
        <w:rPr>
          <w:rFonts w:hint="default" w:ascii="Arial Narrow" w:hAnsi="Arial Narrow" w:eastAsia="仿宋_GB2312" w:cs="Arial Narrow"/>
          <w:color w:val="auto"/>
        </w:rPr>
        <w:t>10号）；</w:t>
      </w:r>
    </w:p>
    <w:p w14:paraId="476E4213">
      <w:pPr>
        <w:pStyle w:val="13"/>
        <w:snapToGrid/>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lang w:val="en-US" w:eastAsia="zh-CN"/>
        </w:rPr>
        <w:t>11.</w:t>
      </w:r>
      <w:r>
        <w:rPr>
          <w:rFonts w:hint="default" w:ascii="Arial Narrow" w:hAnsi="Arial Narrow" w:eastAsia="仿宋_GB2312" w:cs="Arial Narrow"/>
          <w:color w:val="auto"/>
        </w:rPr>
        <w:t>评价工作人员通过现场调查、核实等获得的资料等</w:t>
      </w:r>
      <w:r>
        <w:rPr>
          <w:rFonts w:hint="default" w:ascii="Arial Narrow" w:hAnsi="Arial Narrow" w:eastAsia="仿宋_GB2312" w:cs="Arial Narrow"/>
          <w:color w:val="auto"/>
          <w:lang w:eastAsia="zh-CN"/>
        </w:rPr>
        <w:t>。</w:t>
      </w:r>
    </w:p>
    <w:p w14:paraId="5618F026">
      <w:pPr>
        <w:spacing w:before="120" w:beforeLines="50" w:line="360" w:lineRule="auto"/>
        <w:ind w:firstLine="482" w:firstLineChars="200"/>
        <w:jc w:val="left"/>
        <w:outlineLvl w:val="0"/>
        <w:rPr>
          <w:rFonts w:hint="default" w:ascii="Arial Narrow" w:hAnsi="Arial Narrow" w:eastAsia="仿宋_GB2312" w:cs="Arial Narrow"/>
          <w:b/>
          <w:sz w:val="24"/>
        </w:rPr>
      </w:pPr>
      <w:bookmarkStart w:id="27" w:name="_Toc30261"/>
      <w:bookmarkStart w:id="28" w:name="_Toc13920"/>
      <w:bookmarkStart w:id="29" w:name="_Toc169624364"/>
      <w:r>
        <w:rPr>
          <w:rFonts w:hint="default" w:ascii="Arial Narrow" w:hAnsi="Arial Narrow" w:eastAsia="仿宋_GB2312" w:cs="Arial Narrow"/>
          <w:b/>
          <w:sz w:val="24"/>
        </w:rPr>
        <w:t>（四）绩效评价原则和指标体系</w:t>
      </w:r>
      <w:bookmarkEnd w:id="27"/>
      <w:bookmarkEnd w:id="28"/>
      <w:bookmarkEnd w:id="29"/>
    </w:p>
    <w:p w14:paraId="4E920D6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绩效评价主要遵循以下原则：</w:t>
      </w:r>
    </w:p>
    <w:p w14:paraId="64FEB11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（1）相关性原则。应当与绩效目标有直接的联系，能够恰当反映目标的实现程度。</w:t>
      </w:r>
    </w:p>
    <w:p w14:paraId="29B5346F">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（2）重要性原则。应当优先使用最具评价对象代表性、最能反映评价要求的核心指标。</w:t>
      </w:r>
    </w:p>
    <w:p w14:paraId="2871ACDD">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（3）可比性原则。对同类评价对象要设定共性的绩效评价指标，以便于评价结果可以相互比较。</w:t>
      </w:r>
    </w:p>
    <w:p w14:paraId="2A50BA31">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（4）系统性原则。应当将定量指标与定性指标相结合，系统反映财政支出所产生的社会效益和可持续影响等。</w:t>
      </w:r>
    </w:p>
    <w:p w14:paraId="2B9DE254">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（5）经济性原则。应当通俗易懂、简便易行，数据的获得应当考虑现实条件和可操作性，符合成本效益原则。</w:t>
      </w:r>
    </w:p>
    <w:p w14:paraId="5381922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绩效评价指标体系</w:t>
      </w:r>
    </w:p>
    <w:p w14:paraId="6276C96A">
      <w:pPr>
        <w:pStyle w:val="13"/>
        <w:spacing w:line="360" w:lineRule="auto"/>
        <w:ind w:firstLine="480" w:firstLineChars="200"/>
        <w:jc w:val="both"/>
        <w:rPr>
          <w:rFonts w:hint="default" w:ascii="Arial Narrow" w:hAnsi="Arial Narrow" w:eastAsia="仿宋_GB2312" w:cs="Arial Narrow"/>
          <w:color w:val="auto"/>
        </w:rPr>
      </w:pPr>
      <w:r>
        <w:rPr>
          <w:rFonts w:hint="default" w:ascii="Arial Narrow" w:hAnsi="Arial Narrow" w:eastAsia="仿宋_GB2312" w:cs="Arial Narrow"/>
          <w:color w:val="auto"/>
        </w:rPr>
        <w:t>根据《重庆市铜梁区财政衔接推进乡村振兴补助资金绩效评价及考核办法》的通知（铜财〔2022〕678号</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，本次绩效评价及考核指标体系如下：</w:t>
      </w:r>
    </w:p>
    <w:p w14:paraId="4CC1A9A8">
      <w:pPr>
        <w:pStyle w:val="13"/>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430"/>
        <w:gridCol w:w="2868"/>
        <w:gridCol w:w="3591"/>
      </w:tblGrid>
      <w:tr w14:paraId="3B23FED4">
        <w:tblPrEx>
          <w:tblCellMar>
            <w:top w:w="0" w:type="dxa"/>
            <w:left w:w="108" w:type="dxa"/>
            <w:bottom w:w="0" w:type="dxa"/>
            <w:right w:w="108" w:type="dxa"/>
          </w:tblCellMar>
        </w:tblPrEx>
        <w:trPr>
          <w:cantSplit/>
          <w:trHeight w:val="450"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C1C09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2B39FC2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458B1AF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430" w:type="dxa"/>
            <w:tcBorders>
              <w:top w:val="single" w:color="auto" w:sz="4" w:space="0"/>
              <w:left w:val="nil"/>
              <w:bottom w:val="single" w:color="auto" w:sz="4" w:space="0"/>
              <w:right w:val="single" w:color="auto" w:sz="4" w:space="0"/>
            </w:tcBorders>
            <w:shd w:val="clear" w:color="auto" w:fill="auto"/>
            <w:noWrap/>
            <w:vAlign w:val="center"/>
          </w:tcPr>
          <w:p w14:paraId="4994D6E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2868" w:type="dxa"/>
            <w:tcBorders>
              <w:top w:val="single" w:color="auto" w:sz="4" w:space="0"/>
              <w:left w:val="nil"/>
              <w:bottom w:val="single" w:color="auto" w:sz="4" w:space="0"/>
              <w:right w:val="single" w:color="auto" w:sz="4" w:space="0"/>
            </w:tcBorders>
            <w:shd w:val="clear" w:color="auto" w:fill="auto"/>
            <w:noWrap/>
            <w:vAlign w:val="center"/>
          </w:tcPr>
          <w:p w14:paraId="376CA41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1BBE57A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09F80143">
        <w:tblPrEx>
          <w:tblCellMar>
            <w:top w:w="0" w:type="dxa"/>
            <w:left w:w="108" w:type="dxa"/>
            <w:bottom w:w="0" w:type="dxa"/>
            <w:right w:w="108" w:type="dxa"/>
          </w:tblCellMar>
        </w:tblPrEx>
        <w:trPr>
          <w:cantSplit/>
          <w:trHeight w:val="17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8C5D0D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B0C4B8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1DAC3B7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430" w:type="dxa"/>
            <w:tcBorders>
              <w:top w:val="nil"/>
              <w:left w:val="nil"/>
              <w:bottom w:val="single" w:color="auto" w:sz="4" w:space="0"/>
              <w:right w:val="single" w:color="auto" w:sz="4" w:space="0"/>
            </w:tcBorders>
            <w:shd w:val="clear" w:color="auto" w:fill="auto"/>
            <w:vAlign w:val="center"/>
          </w:tcPr>
          <w:p w14:paraId="7CD1785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2868" w:type="dxa"/>
            <w:tcBorders>
              <w:top w:val="nil"/>
              <w:left w:val="nil"/>
              <w:bottom w:val="single" w:color="auto" w:sz="4" w:space="0"/>
              <w:right w:val="single" w:color="auto" w:sz="4" w:space="0"/>
            </w:tcBorders>
            <w:shd w:val="clear" w:color="auto" w:fill="auto"/>
            <w:vAlign w:val="center"/>
          </w:tcPr>
          <w:p w14:paraId="1310174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12DF464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053F006D">
        <w:tblPrEx>
          <w:tblCellMar>
            <w:top w:w="0" w:type="dxa"/>
            <w:left w:w="108" w:type="dxa"/>
            <w:bottom w:w="0" w:type="dxa"/>
            <w:right w:w="108" w:type="dxa"/>
          </w:tblCellMar>
        </w:tblPrEx>
        <w:trPr>
          <w:cantSplit/>
          <w:trHeight w:val="68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F80081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934B7AA">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6AB492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430" w:type="dxa"/>
            <w:tcBorders>
              <w:top w:val="nil"/>
              <w:left w:val="nil"/>
              <w:bottom w:val="single" w:color="auto" w:sz="4" w:space="0"/>
              <w:right w:val="single" w:color="auto" w:sz="4" w:space="0"/>
            </w:tcBorders>
            <w:shd w:val="clear" w:color="auto" w:fill="auto"/>
            <w:noWrap/>
            <w:vAlign w:val="center"/>
          </w:tcPr>
          <w:p w14:paraId="6B201BA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2868" w:type="dxa"/>
            <w:tcBorders>
              <w:top w:val="nil"/>
              <w:left w:val="nil"/>
              <w:bottom w:val="single" w:color="auto" w:sz="4" w:space="0"/>
              <w:right w:val="single" w:color="auto" w:sz="4" w:space="0"/>
            </w:tcBorders>
            <w:shd w:val="clear" w:color="auto" w:fill="auto"/>
            <w:vAlign w:val="center"/>
          </w:tcPr>
          <w:p w14:paraId="2FD719E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09730AE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3457862C">
        <w:tblPrEx>
          <w:tblCellMar>
            <w:top w:w="0" w:type="dxa"/>
            <w:left w:w="108" w:type="dxa"/>
            <w:bottom w:w="0" w:type="dxa"/>
            <w:right w:w="108" w:type="dxa"/>
          </w:tblCellMar>
        </w:tblPrEx>
        <w:trPr>
          <w:cantSplit/>
          <w:trHeight w:val="97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12D03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8E3E72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68A07D3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430" w:type="dxa"/>
            <w:tcBorders>
              <w:top w:val="nil"/>
              <w:left w:val="nil"/>
              <w:bottom w:val="single" w:color="auto" w:sz="4" w:space="0"/>
              <w:right w:val="single" w:color="auto" w:sz="4" w:space="0"/>
            </w:tcBorders>
            <w:shd w:val="clear" w:color="auto" w:fill="auto"/>
            <w:noWrap/>
            <w:vAlign w:val="center"/>
          </w:tcPr>
          <w:p w14:paraId="3D75B0D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868" w:type="dxa"/>
            <w:tcBorders>
              <w:top w:val="nil"/>
              <w:left w:val="nil"/>
              <w:bottom w:val="nil"/>
              <w:right w:val="nil"/>
            </w:tcBorders>
            <w:shd w:val="clear" w:color="auto" w:fill="auto"/>
            <w:vAlign w:val="center"/>
          </w:tcPr>
          <w:p w14:paraId="4DFAE82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0D7DBF0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p>
          <w:p w14:paraId="1931D13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2.入库项目具备实施条件（2分）；</w:t>
            </w:r>
          </w:p>
          <w:p w14:paraId="7392886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3.衔接资金用于项目库之外的项目（-5分）。</w:t>
            </w:r>
          </w:p>
        </w:tc>
      </w:tr>
      <w:tr w14:paraId="2273566E">
        <w:tblPrEx>
          <w:tblCellMar>
            <w:top w:w="0" w:type="dxa"/>
            <w:left w:w="108" w:type="dxa"/>
            <w:bottom w:w="0" w:type="dxa"/>
            <w:right w:w="108" w:type="dxa"/>
          </w:tblCellMar>
        </w:tblPrEx>
        <w:trPr>
          <w:cantSplit/>
          <w:trHeight w:val="1357"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0D42CA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16F07E25">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287884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430" w:type="dxa"/>
            <w:tcBorders>
              <w:top w:val="nil"/>
              <w:left w:val="nil"/>
              <w:bottom w:val="single" w:color="auto" w:sz="4" w:space="0"/>
              <w:right w:val="single" w:color="auto" w:sz="4" w:space="0"/>
            </w:tcBorders>
            <w:shd w:val="clear" w:color="auto" w:fill="auto"/>
            <w:noWrap/>
            <w:vAlign w:val="center"/>
          </w:tcPr>
          <w:p w14:paraId="7CAF065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2868" w:type="dxa"/>
            <w:tcBorders>
              <w:top w:val="single" w:color="auto" w:sz="4" w:space="0"/>
              <w:left w:val="nil"/>
              <w:bottom w:val="single" w:color="auto" w:sz="4" w:space="0"/>
              <w:right w:val="single" w:color="auto" w:sz="4" w:space="0"/>
            </w:tcBorders>
            <w:shd w:val="clear" w:color="auto" w:fill="auto"/>
            <w:vAlign w:val="center"/>
          </w:tcPr>
          <w:p w14:paraId="5F63A78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051F68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p>
          <w:p w14:paraId="7AB37C9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2.开展绩效监控不少于1次（2分）；</w:t>
            </w:r>
          </w:p>
          <w:p w14:paraId="5948208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3.对绩效目标偏离项目采取纠偏措施（2分）；</w:t>
            </w:r>
          </w:p>
          <w:p w14:paraId="74F4A39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4.项目实施完毕后立即开展绩效自评，并形成绩效自评报告及绩效自评表。（2分）</w:t>
            </w:r>
          </w:p>
          <w:p w14:paraId="039FA64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5.项目绩效是否达到预期。（2分）</w:t>
            </w:r>
          </w:p>
        </w:tc>
      </w:tr>
      <w:tr w14:paraId="689CF913">
        <w:tblPrEx>
          <w:tblCellMar>
            <w:top w:w="0" w:type="dxa"/>
            <w:left w:w="108" w:type="dxa"/>
            <w:bottom w:w="0" w:type="dxa"/>
            <w:right w:w="108" w:type="dxa"/>
          </w:tblCellMar>
        </w:tblPrEx>
        <w:trPr>
          <w:cantSplit/>
          <w:trHeight w:val="9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64F88D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19F8A133">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CF7203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430" w:type="dxa"/>
            <w:tcBorders>
              <w:top w:val="nil"/>
              <w:left w:val="nil"/>
              <w:bottom w:val="single" w:color="auto" w:sz="4" w:space="0"/>
              <w:right w:val="single" w:color="auto" w:sz="4" w:space="0"/>
            </w:tcBorders>
            <w:shd w:val="clear" w:color="auto" w:fill="auto"/>
            <w:vAlign w:val="center"/>
          </w:tcPr>
          <w:p w14:paraId="2689F05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2868" w:type="dxa"/>
            <w:tcBorders>
              <w:top w:val="nil"/>
              <w:left w:val="nil"/>
              <w:bottom w:val="single" w:color="auto" w:sz="4" w:space="0"/>
              <w:right w:val="single" w:color="auto" w:sz="4" w:space="0"/>
            </w:tcBorders>
            <w:shd w:val="clear" w:color="auto" w:fill="auto"/>
            <w:vAlign w:val="center"/>
          </w:tcPr>
          <w:p w14:paraId="06DB5FF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C795C2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p>
          <w:p w14:paraId="0E2D2E1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2.是否定期对项目实施情况进行监督检查，对检查中发现的问题进行整改；（2分）</w:t>
            </w:r>
          </w:p>
          <w:p w14:paraId="18B0DF8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3.是否按照项目实施节点按时提交项目报账资料；（1分）</w:t>
            </w:r>
          </w:p>
          <w:p w14:paraId="2E6AF32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4.日常管理资料是否及时归档整理；（1分）</w:t>
            </w:r>
          </w:p>
          <w:p w14:paraId="58296D1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5.项目完工后是否在规定时间内进行验收。（1分）</w:t>
            </w:r>
          </w:p>
        </w:tc>
      </w:tr>
      <w:tr w14:paraId="5FA05EBE">
        <w:tblPrEx>
          <w:tblCellMar>
            <w:top w:w="0" w:type="dxa"/>
            <w:left w:w="108" w:type="dxa"/>
            <w:bottom w:w="0" w:type="dxa"/>
            <w:right w:w="108" w:type="dxa"/>
          </w:tblCellMar>
        </w:tblPrEx>
        <w:trPr>
          <w:cantSplit/>
          <w:trHeight w:val="9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F2EC75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1A46CF04">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9E0BA4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430" w:type="dxa"/>
            <w:tcBorders>
              <w:top w:val="nil"/>
              <w:left w:val="nil"/>
              <w:bottom w:val="single" w:color="auto" w:sz="4" w:space="0"/>
              <w:right w:val="single" w:color="auto" w:sz="4" w:space="0"/>
            </w:tcBorders>
            <w:shd w:val="clear" w:color="auto" w:fill="auto"/>
            <w:noWrap/>
            <w:vAlign w:val="center"/>
          </w:tcPr>
          <w:p w14:paraId="3DAC533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2868" w:type="dxa"/>
            <w:tcBorders>
              <w:top w:val="nil"/>
              <w:left w:val="nil"/>
              <w:bottom w:val="single" w:color="auto" w:sz="4" w:space="0"/>
              <w:right w:val="single" w:color="auto" w:sz="4" w:space="0"/>
            </w:tcBorders>
            <w:shd w:val="clear" w:color="auto" w:fill="auto"/>
            <w:vAlign w:val="center"/>
          </w:tcPr>
          <w:p w14:paraId="2396B84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86354F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p>
          <w:p w14:paraId="1618969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1.7月末支出进度评分4分。资金支出进度达到全区平均进度或者序时进度的，得满分；未达到的按照与序时进度的比例扣分；</w:t>
            </w:r>
          </w:p>
          <w:p w14:paraId="09D6287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2.10月中旬支出进度评分4分。资金支出进度达到全区平均进度或者序时进度的，得满分；未达到的按照与序时进度的比例扣分；</w:t>
            </w:r>
          </w:p>
          <w:p w14:paraId="3D0082F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3541D593">
        <w:tblPrEx>
          <w:tblCellMar>
            <w:top w:w="0" w:type="dxa"/>
            <w:left w:w="108" w:type="dxa"/>
            <w:bottom w:w="0" w:type="dxa"/>
            <w:right w:w="108" w:type="dxa"/>
          </w:tblCellMar>
        </w:tblPrEx>
        <w:trPr>
          <w:cantSplit/>
          <w:trHeight w:val="1917"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99FE2C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2DCB24E9">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6E8778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430" w:type="dxa"/>
            <w:tcBorders>
              <w:top w:val="nil"/>
              <w:left w:val="nil"/>
              <w:bottom w:val="single" w:color="auto" w:sz="4" w:space="0"/>
              <w:right w:val="single" w:color="auto" w:sz="4" w:space="0"/>
            </w:tcBorders>
            <w:shd w:val="clear" w:color="auto" w:fill="auto"/>
            <w:noWrap/>
            <w:vAlign w:val="center"/>
          </w:tcPr>
          <w:p w14:paraId="6D9BDC3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2868" w:type="dxa"/>
            <w:tcBorders>
              <w:top w:val="nil"/>
              <w:left w:val="nil"/>
              <w:bottom w:val="single" w:color="auto" w:sz="4" w:space="0"/>
              <w:right w:val="single" w:color="auto" w:sz="4" w:space="0"/>
            </w:tcBorders>
            <w:shd w:val="clear" w:color="auto" w:fill="auto"/>
            <w:vAlign w:val="center"/>
          </w:tcPr>
          <w:p w14:paraId="74F9810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3EFE7C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p>
          <w:p w14:paraId="12F36C0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2.跟踪督促及各类检查发现问题整改到位情况，满分5分，根据未整改问题比例扣减；</w:t>
            </w:r>
          </w:p>
          <w:p w14:paraId="7440454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72762E9C">
        <w:tblPrEx>
          <w:tblCellMar>
            <w:top w:w="0" w:type="dxa"/>
            <w:left w:w="108" w:type="dxa"/>
            <w:bottom w:w="0" w:type="dxa"/>
            <w:right w:w="108" w:type="dxa"/>
          </w:tblCellMar>
        </w:tblPrEx>
        <w:trPr>
          <w:cantSplit/>
          <w:trHeight w:val="72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D94E05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69633212">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C27375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430" w:type="dxa"/>
            <w:tcBorders>
              <w:top w:val="nil"/>
              <w:left w:val="nil"/>
              <w:bottom w:val="single" w:color="auto" w:sz="4" w:space="0"/>
              <w:right w:val="single" w:color="auto" w:sz="4" w:space="0"/>
            </w:tcBorders>
            <w:shd w:val="clear" w:color="auto" w:fill="auto"/>
            <w:noWrap/>
            <w:vAlign w:val="center"/>
          </w:tcPr>
          <w:p w14:paraId="1A8765C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868" w:type="dxa"/>
            <w:tcBorders>
              <w:top w:val="nil"/>
              <w:left w:val="nil"/>
              <w:bottom w:val="single" w:color="auto" w:sz="4" w:space="0"/>
              <w:right w:val="single" w:color="auto" w:sz="4" w:space="0"/>
            </w:tcBorders>
            <w:shd w:val="clear" w:color="auto" w:fill="auto"/>
            <w:vAlign w:val="center"/>
          </w:tcPr>
          <w:p w14:paraId="6E710A5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5A2B17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p>
          <w:p w14:paraId="676650A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2.档案管理是否完整、合规、真实。（1分）</w:t>
            </w:r>
          </w:p>
        </w:tc>
      </w:tr>
      <w:tr w14:paraId="74947FC2">
        <w:tblPrEx>
          <w:tblCellMar>
            <w:top w:w="0" w:type="dxa"/>
            <w:left w:w="108" w:type="dxa"/>
            <w:bottom w:w="0" w:type="dxa"/>
            <w:right w:w="108" w:type="dxa"/>
          </w:tblCellMar>
        </w:tblPrEx>
        <w:trPr>
          <w:cantSplit/>
          <w:trHeight w:val="1589"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B23C98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41E17971">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DD5795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430" w:type="dxa"/>
            <w:tcBorders>
              <w:top w:val="nil"/>
              <w:left w:val="nil"/>
              <w:bottom w:val="single" w:color="auto" w:sz="4" w:space="0"/>
              <w:right w:val="single" w:color="auto" w:sz="4" w:space="0"/>
            </w:tcBorders>
            <w:shd w:val="clear" w:color="auto" w:fill="auto"/>
            <w:noWrap/>
            <w:vAlign w:val="center"/>
          </w:tcPr>
          <w:p w14:paraId="2242A11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2868" w:type="dxa"/>
            <w:tcBorders>
              <w:top w:val="nil"/>
              <w:left w:val="nil"/>
              <w:bottom w:val="single" w:color="auto" w:sz="4" w:space="0"/>
              <w:right w:val="single" w:color="auto" w:sz="4" w:space="0"/>
            </w:tcBorders>
            <w:shd w:val="clear" w:color="auto" w:fill="auto"/>
            <w:vAlign w:val="center"/>
          </w:tcPr>
          <w:p w14:paraId="08366E1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C9E3C7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p>
          <w:p w14:paraId="5696A5D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1.抽查区级公示公开情况，满分3分，未完整公开酌情扣分；</w:t>
            </w:r>
          </w:p>
          <w:p w14:paraId="0D906C9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2.抽查镇级公示公开情况，满分3分，未完整公开酌情扣分；</w:t>
            </w:r>
          </w:p>
          <w:p w14:paraId="4BA998E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3.抽查村级公示公开情况，满分3分，未完整公开酌情扣分。</w:t>
            </w:r>
          </w:p>
        </w:tc>
      </w:tr>
      <w:tr w14:paraId="697080AB">
        <w:tblPrEx>
          <w:tblCellMar>
            <w:top w:w="0" w:type="dxa"/>
            <w:left w:w="108" w:type="dxa"/>
            <w:bottom w:w="0" w:type="dxa"/>
            <w:right w:w="108" w:type="dxa"/>
          </w:tblCellMar>
        </w:tblPrEx>
        <w:trPr>
          <w:cantSplit/>
          <w:trHeight w:val="24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DF5AEA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4197BE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0BF3CA1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430" w:type="dxa"/>
            <w:tcBorders>
              <w:top w:val="nil"/>
              <w:left w:val="nil"/>
              <w:bottom w:val="single" w:color="auto" w:sz="4" w:space="0"/>
              <w:right w:val="single" w:color="auto" w:sz="4" w:space="0"/>
            </w:tcBorders>
            <w:shd w:val="clear" w:color="auto" w:fill="auto"/>
            <w:noWrap/>
            <w:vAlign w:val="center"/>
          </w:tcPr>
          <w:p w14:paraId="36EA21F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2868" w:type="dxa"/>
            <w:tcBorders>
              <w:top w:val="nil"/>
              <w:left w:val="nil"/>
              <w:bottom w:val="single" w:color="auto" w:sz="4" w:space="0"/>
              <w:right w:val="single" w:color="auto" w:sz="4" w:space="0"/>
            </w:tcBorders>
            <w:shd w:val="clear" w:color="auto" w:fill="auto"/>
            <w:vAlign w:val="center"/>
          </w:tcPr>
          <w:p w14:paraId="720780E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C63287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p>
          <w:p w14:paraId="7B459B6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满分35分，根据抽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项目情况赋分。项目管理各环节，每存在一例不符合相关规定的，扣0.5分，扣完为止。</w:t>
            </w:r>
          </w:p>
        </w:tc>
      </w:tr>
      <w:tr w14:paraId="5CAF72CC">
        <w:tblPrEx>
          <w:tblCellMar>
            <w:top w:w="0" w:type="dxa"/>
            <w:left w:w="108" w:type="dxa"/>
            <w:bottom w:w="0" w:type="dxa"/>
            <w:right w:w="108" w:type="dxa"/>
          </w:tblCellMar>
        </w:tblPrEx>
        <w:trPr>
          <w:cantSplit/>
          <w:trHeight w:val="90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1404B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2EB6FA1D">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9A8707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430" w:type="dxa"/>
            <w:tcBorders>
              <w:top w:val="nil"/>
              <w:left w:val="nil"/>
              <w:bottom w:val="single" w:color="auto" w:sz="4" w:space="0"/>
              <w:right w:val="single" w:color="auto" w:sz="4" w:space="0"/>
            </w:tcBorders>
            <w:shd w:val="clear" w:color="auto" w:fill="auto"/>
            <w:vAlign w:val="center"/>
          </w:tcPr>
          <w:p w14:paraId="6466012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868" w:type="dxa"/>
            <w:tcBorders>
              <w:top w:val="nil"/>
              <w:left w:val="nil"/>
              <w:bottom w:val="single" w:color="auto" w:sz="4" w:space="0"/>
              <w:right w:val="single" w:color="auto" w:sz="4" w:space="0"/>
            </w:tcBorders>
            <w:shd w:val="clear" w:color="auto" w:fill="auto"/>
            <w:vAlign w:val="center"/>
          </w:tcPr>
          <w:p w14:paraId="15DF727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58916F9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12CD51D2">
        <w:tblPrEx>
          <w:tblCellMar>
            <w:top w:w="0" w:type="dxa"/>
            <w:left w:w="108" w:type="dxa"/>
            <w:bottom w:w="0" w:type="dxa"/>
            <w:right w:w="108" w:type="dxa"/>
          </w:tblCellMar>
        </w:tblPrEx>
        <w:trPr>
          <w:cantSplit/>
          <w:trHeight w:val="114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213412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66014E8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179AD5A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430" w:type="dxa"/>
            <w:tcBorders>
              <w:top w:val="nil"/>
              <w:left w:val="nil"/>
              <w:bottom w:val="single" w:color="auto" w:sz="4" w:space="0"/>
              <w:right w:val="single" w:color="auto" w:sz="4" w:space="0"/>
            </w:tcBorders>
            <w:shd w:val="clear" w:color="auto" w:fill="auto"/>
            <w:vAlign w:val="center"/>
          </w:tcPr>
          <w:p w14:paraId="5DAB074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868" w:type="dxa"/>
            <w:tcBorders>
              <w:top w:val="nil"/>
              <w:left w:val="nil"/>
              <w:bottom w:val="single" w:color="auto" w:sz="4" w:space="0"/>
              <w:right w:val="single" w:color="auto" w:sz="4" w:space="0"/>
            </w:tcBorders>
            <w:shd w:val="clear" w:color="auto" w:fill="auto"/>
            <w:vAlign w:val="center"/>
          </w:tcPr>
          <w:p w14:paraId="21A96AB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6DCFF56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p>
          <w:p w14:paraId="7265854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19B0747A">
        <w:tblPrEx>
          <w:tblCellMar>
            <w:top w:w="0" w:type="dxa"/>
            <w:left w:w="108" w:type="dxa"/>
            <w:bottom w:w="0" w:type="dxa"/>
            <w:right w:w="108" w:type="dxa"/>
          </w:tblCellMar>
        </w:tblPrEx>
        <w:trPr>
          <w:cantSplit/>
          <w:trHeight w:val="7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4217B6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00669BC1">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1BD495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430" w:type="dxa"/>
            <w:tcBorders>
              <w:top w:val="nil"/>
              <w:left w:val="nil"/>
              <w:bottom w:val="single" w:color="auto" w:sz="4" w:space="0"/>
              <w:right w:val="single" w:color="auto" w:sz="4" w:space="0"/>
            </w:tcBorders>
            <w:shd w:val="clear" w:color="auto" w:fill="auto"/>
            <w:vAlign w:val="center"/>
          </w:tcPr>
          <w:p w14:paraId="5925C71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2868" w:type="dxa"/>
            <w:tcBorders>
              <w:top w:val="nil"/>
              <w:left w:val="nil"/>
              <w:bottom w:val="single" w:color="auto" w:sz="4" w:space="0"/>
              <w:right w:val="single" w:color="auto" w:sz="4" w:space="0"/>
            </w:tcBorders>
            <w:shd w:val="clear" w:color="auto" w:fill="auto"/>
            <w:vAlign w:val="center"/>
          </w:tcPr>
          <w:p w14:paraId="6129FBC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557C0C4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06B186D8">
      <w:pPr>
        <w:spacing w:before="120" w:beforeLines="50" w:line="360" w:lineRule="auto"/>
        <w:ind w:firstLine="482" w:firstLineChars="200"/>
        <w:jc w:val="left"/>
        <w:outlineLvl w:val="0"/>
        <w:rPr>
          <w:rFonts w:hint="default" w:ascii="Arial Narrow" w:hAnsi="Arial Narrow" w:eastAsia="仿宋_GB2312" w:cs="Arial Narrow"/>
          <w:b/>
          <w:sz w:val="24"/>
        </w:rPr>
      </w:pPr>
      <w:bookmarkStart w:id="30" w:name="_Toc169624365"/>
      <w:bookmarkStart w:id="31" w:name="_Toc22878"/>
      <w:bookmarkStart w:id="32" w:name="_Toc2127"/>
      <w:r>
        <w:rPr>
          <w:rFonts w:hint="default" w:ascii="Arial Narrow" w:hAnsi="Arial Narrow" w:eastAsia="仿宋_GB2312" w:cs="Arial Narrow"/>
          <w:b/>
          <w:sz w:val="24"/>
        </w:rPr>
        <w:t>（五）绩效评价标准和评价方法</w:t>
      </w:r>
      <w:bookmarkEnd w:id="30"/>
      <w:bookmarkEnd w:id="31"/>
      <w:bookmarkEnd w:id="32"/>
    </w:p>
    <w:p w14:paraId="398DD69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绩效评价标准</w:t>
      </w:r>
    </w:p>
    <w:p w14:paraId="4A9DBDCE">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绩效评价标准采用定量评分，满分为100分。指标分值我们是根据确定的指标内容及项目实施的具体情况综合分析确定的，详见附件。</w:t>
      </w:r>
    </w:p>
    <w:p w14:paraId="3D870722">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绩效评价结果分为优（得分</w:t>
      </w:r>
      <w:bookmarkStart w:id="33" w:name="_Hlk162596803"/>
      <w:r>
        <w:rPr>
          <w:rFonts w:hint="default" w:ascii="Arial Narrow" w:hAnsi="Arial Narrow" w:eastAsia="仿宋_GB2312" w:cs="Arial Narrow"/>
          <w:color w:val="auto"/>
        </w:rPr>
        <w:t>≥90</w:t>
      </w:r>
      <w:bookmarkEnd w:id="33"/>
      <w:r>
        <w:rPr>
          <w:rFonts w:hint="default" w:ascii="Arial Narrow" w:hAnsi="Arial Narrow" w:eastAsia="仿宋_GB2312" w:cs="Arial Narrow"/>
          <w:color w:val="auto"/>
        </w:rPr>
        <w:t>）、良</w:t>
      </w:r>
      <w:bookmarkStart w:id="34" w:name="_Hlk168473502"/>
      <w:r>
        <w:rPr>
          <w:rFonts w:hint="default" w:ascii="Arial Narrow" w:hAnsi="Arial Narrow" w:eastAsia="仿宋_GB2312" w:cs="Arial Narrow"/>
          <w:color w:val="auto"/>
        </w:rPr>
        <w:t>（90＞得分≥80）</w:t>
      </w:r>
      <w:bookmarkEnd w:id="34"/>
      <w:r>
        <w:rPr>
          <w:rFonts w:hint="default" w:ascii="Arial Narrow" w:hAnsi="Arial Narrow" w:eastAsia="仿宋_GB2312" w:cs="Arial Narrow"/>
          <w:color w:val="auto"/>
        </w:rPr>
        <w:t>、中（80＞得分≥60）、差（得分＜60）四个等级，按百分制综合得分高低按分值划段确定。</w:t>
      </w:r>
    </w:p>
    <w:p w14:paraId="7218FA2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绩效评价方法</w:t>
      </w:r>
    </w:p>
    <w:p w14:paraId="0E3A493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绩效评价技术方法主要有成本效益分析法、比较法、因素分析法、最低成本法、公众评判法等。</w:t>
      </w:r>
    </w:p>
    <w:p w14:paraId="3D27313B">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成本效益分析法。是指将一定时期内的支出与效益进行对比分析，以评价绩效目标的实现程度。</w:t>
      </w:r>
    </w:p>
    <w:p w14:paraId="236FD750">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比较法。是指通过对绩效目标与实施效果、历史与当期情况、不同部门和地区同类支出的比较，综合分析绩效目标实现程度。</w:t>
      </w:r>
    </w:p>
    <w:p w14:paraId="355836F4">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因素分析法。是指通过综合分析影响绩效目标实现、实施效果的内外因素，评价绩效目标实现程度。</w:t>
      </w:r>
    </w:p>
    <w:p w14:paraId="016C8FB6">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最低成本法。是指对效益确定不易计量的多个同类对象的实施成本进行比较，评价绩效目标实现程度。</w:t>
      </w:r>
    </w:p>
    <w:p w14:paraId="5D5F7C6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公众评判法。是指通过专家评估、公众问卷及抽样调查等对预算支出效果进行评判，评价绩效目标实现程度。</w:t>
      </w:r>
    </w:p>
    <w:p w14:paraId="25F73EEA">
      <w:pPr>
        <w:spacing w:line="360" w:lineRule="auto"/>
        <w:ind w:firstLine="482" w:firstLineChars="200"/>
        <w:jc w:val="left"/>
        <w:outlineLvl w:val="0"/>
        <w:rPr>
          <w:rFonts w:hint="default" w:ascii="Arial Narrow" w:hAnsi="Arial Narrow" w:eastAsia="仿宋_GB2312" w:cs="Arial Narrow"/>
          <w:b/>
          <w:sz w:val="24"/>
        </w:rPr>
      </w:pPr>
      <w:bookmarkStart w:id="35" w:name="_Toc437528932"/>
      <w:bookmarkStart w:id="36" w:name="_Toc6555"/>
      <w:bookmarkStart w:id="37" w:name="_Toc169624366"/>
      <w:bookmarkStart w:id="38" w:name="_Toc6114"/>
      <w:r>
        <w:rPr>
          <w:rFonts w:hint="default" w:ascii="Arial Narrow" w:hAnsi="Arial Narrow" w:eastAsia="仿宋_GB2312" w:cs="Arial Narrow"/>
          <w:b/>
          <w:sz w:val="24"/>
        </w:rPr>
        <w:t>（六）绩效评价</w:t>
      </w:r>
      <w:bookmarkEnd w:id="35"/>
      <w:r>
        <w:rPr>
          <w:rFonts w:hint="default" w:ascii="Arial Narrow" w:hAnsi="Arial Narrow" w:eastAsia="仿宋_GB2312" w:cs="Arial Narrow"/>
          <w:b/>
          <w:sz w:val="24"/>
        </w:rPr>
        <w:t>工作过程</w:t>
      </w:r>
      <w:bookmarkEnd w:id="36"/>
      <w:bookmarkEnd w:id="37"/>
      <w:bookmarkEnd w:id="38"/>
    </w:p>
    <w:p w14:paraId="54860512">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经铜梁区财政局确定为</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2023年财政专项衔接资金项目</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项目绩效评价服务单位后我所成立了绩效评价工作小组。</w:t>
      </w:r>
    </w:p>
    <w:p w14:paraId="5975C81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根据项目实际情况收集项目基础资料及数据深入了解项目整体情况。</w:t>
      </w:r>
    </w:p>
    <w:p w14:paraId="345D28DC">
      <w:pPr>
        <w:pStyle w:val="13"/>
        <w:spacing w:line="360" w:lineRule="auto"/>
        <w:ind w:firstLine="480" w:firstLineChars="200"/>
        <w:rPr>
          <w:rFonts w:hint="default" w:ascii="Arial Narrow" w:hAnsi="Arial Narrow" w:eastAsia="仿宋_GB2312" w:cs="Arial Narrow"/>
          <w:color w:val="auto"/>
          <w:lang w:eastAsia="zh-CN"/>
        </w:rPr>
      </w:pPr>
      <w:r>
        <w:rPr>
          <w:rFonts w:hint="default" w:ascii="Arial Narrow" w:hAnsi="Arial Narrow" w:eastAsia="仿宋_GB2312" w:cs="Arial Narrow"/>
          <w:color w:val="auto"/>
        </w:rPr>
        <w:t>3</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组织实施现场调查、检查、走访等具体工作</w:t>
      </w:r>
      <w:r>
        <w:rPr>
          <w:rFonts w:hint="default" w:ascii="Arial Narrow" w:hAnsi="Arial Narrow" w:eastAsia="仿宋_GB2312" w:cs="Arial Narrow"/>
          <w:color w:val="auto"/>
          <w:lang w:eastAsia="zh-CN"/>
        </w:rPr>
        <w:t>。</w:t>
      </w:r>
    </w:p>
    <w:p w14:paraId="56C2E364">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w:t>
      </w:r>
      <w:r>
        <w:rPr>
          <w:rFonts w:hint="default" w:ascii="Arial Narrow" w:hAnsi="Arial Narrow" w:eastAsia="仿宋_GB2312" w:cs="Arial Narrow"/>
          <w:color w:val="auto"/>
          <w:lang w:val="en-US" w:eastAsia="zh-CN"/>
        </w:rPr>
        <w:t>.</w:t>
      </w:r>
      <w:r>
        <w:rPr>
          <w:rFonts w:hint="default" w:ascii="Arial Narrow" w:hAnsi="Arial Narrow" w:eastAsia="仿宋_GB2312" w:cs="Arial Narrow"/>
          <w:color w:val="auto"/>
        </w:rPr>
        <w:t>依据收集到的项目相关资料和数据，比照经贵单位审定的评价指标体系的评分标准，分别对项目评价打分，汇总后加权平均形成综合评价得分，并对该项目的绩效评价等级进行确认。</w:t>
      </w:r>
    </w:p>
    <w:p w14:paraId="4E3E3F46">
      <w:pPr>
        <w:spacing w:line="360" w:lineRule="auto"/>
        <w:ind w:firstLine="482" w:firstLineChars="200"/>
        <w:jc w:val="left"/>
        <w:outlineLvl w:val="0"/>
        <w:rPr>
          <w:rFonts w:hint="default" w:ascii="Arial Narrow" w:hAnsi="Arial Narrow" w:eastAsia="仿宋_GB2312" w:cs="Arial Narrow"/>
          <w:b/>
          <w:sz w:val="24"/>
        </w:rPr>
      </w:pPr>
      <w:bookmarkStart w:id="39" w:name="_Toc437528933"/>
      <w:bookmarkStart w:id="40" w:name="_Toc27337"/>
      <w:bookmarkStart w:id="41" w:name="_Toc169624367"/>
      <w:bookmarkStart w:id="42" w:name="_Toc9054"/>
      <w:r>
        <w:rPr>
          <w:rFonts w:hint="default" w:ascii="Arial Narrow" w:hAnsi="Arial Narrow" w:eastAsia="仿宋_GB2312" w:cs="Arial Narrow"/>
          <w:b/>
          <w:sz w:val="24"/>
        </w:rPr>
        <w:t>三、项目评价</w:t>
      </w:r>
      <w:bookmarkEnd w:id="39"/>
      <w:r>
        <w:rPr>
          <w:rFonts w:hint="default" w:ascii="Arial Narrow" w:hAnsi="Arial Narrow" w:eastAsia="仿宋_GB2312" w:cs="Arial Narrow"/>
          <w:b/>
          <w:sz w:val="24"/>
        </w:rPr>
        <w:t>结论</w:t>
      </w:r>
      <w:bookmarkEnd w:id="40"/>
      <w:bookmarkEnd w:id="41"/>
      <w:bookmarkEnd w:id="42"/>
    </w:p>
    <w:p w14:paraId="40576F5D">
      <w:pPr>
        <w:spacing w:line="360" w:lineRule="auto"/>
        <w:ind w:firstLine="480" w:firstLineChars="200"/>
        <w:jc w:val="left"/>
        <w:rPr>
          <w:rFonts w:hint="default" w:ascii="Arial Narrow" w:hAnsi="Arial Narrow" w:eastAsia="仿宋_GB2312" w:cs="Arial Narrow"/>
          <w:b/>
          <w:bCs/>
          <w:sz w:val="28"/>
          <w:szCs w:val="28"/>
        </w:rPr>
      </w:pPr>
      <w:r>
        <w:rPr>
          <w:rFonts w:hint="default" w:ascii="Arial Narrow" w:hAnsi="Arial Narrow" w:eastAsia="仿宋_GB2312" w:cs="Arial Narrow"/>
          <w:sz w:val="24"/>
        </w:rPr>
        <w:t>重庆市铜梁区</w:t>
      </w:r>
      <w:r>
        <w:rPr>
          <w:rFonts w:hint="default" w:ascii="Arial Narrow" w:hAnsi="Arial Narrow" w:eastAsia="仿宋_GB2312" w:cs="Arial Narrow"/>
          <w:kern w:val="0"/>
          <w:sz w:val="24"/>
        </w:rPr>
        <w:t>太平镇坪漆村2023年集体经济</w:t>
      </w:r>
      <w:r>
        <w:rPr>
          <w:rFonts w:hint="default" w:ascii="Arial Narrow" w:hAnsi="Arial Narrow" w:eastAsia="仿宋_GB2312" w:cs="Arial Narrow"/>
          <w:sz w:val="24"/>
        </w:rPr>
        <w:t>项目绩效评价得分95.00分，绩效评价等级为：优。</w:t>
      </w:r>
    </w:p>
    <w:p w14:paraId="4AC2D552">
      <w:pPr>
        <w:spacing w:line="360" w:lineRule="auto"/>
        <w:ind w:firstLine="482" w:firstLineChars="200"/>
        <w:outlineLvl w:val="0"/>
        <w:rPr>
          <w:rFonts w:hint="default" w:ascii="Arial Narrow" w:hAnsi="Arial Narrow" w:eastAsia="仿宋_GB2312" w:cs="Arial Narrow"/>
          <w:b/>
          <w:sz w:val="24"/>
        </w:rPr>
      </w:pPr>
      <w:bookmarkStart w:id="43" w:name="_Toc13163"/>
      <w:bookmarkStart w:id="44" w:name="_Toc169624368"/>
      <w:bookmarkStart w:id="45" w:name="_Toc5197"/>
      <w:r>
        <w:rPr>
          <w:rFonts w:hint="default" w:ascii="Arial Narrow" w:hAnsi="Arial Narrow" w:eastAsia="仿宋_GB2312" w:cs="Arial Narrow"/>
          <w:b/>
          <w:sz w:val="24"/>
        </w:rPr>
        <w:t>四、综合评价情况</w:t>
      </w:r>
      <w:bookmarkEnd w:id="43"/>
      <w:bookmarkEnd w:id="44"/>
      <w:bookmarkEnd w:id="45"/>
    </w:p>
    <w:p w14:paraId="6C590718">
      <w:pPr>
        <w:spacing w:line="360" w:lineRule="auto"/>
        <w:ind w:firstLine="482" w:firstLineChars="200"/>
        <w:jc w:val="left"/>
        <w:outlineLvl w:val="0"/>
        <w:rPr>
          <w:rFonts w:hint="default" w:ascii="Arial Narrow" w:hAnsi="Arial Narrow" w:eastAsia="仿宋_GB2312" w:cs="Arial Narrow"/>
          <w:b/>
          <w:sz w:val="24"/>
        </w:rPr>
      </w:pPr>
      <w:bookmarkStart w:id="46" w:name="_Toc169624369"/>
      <w:bookmarkStart w:id="47" w:name="_Toc329"/>
      <w:bookmarkStart w:id="48" w:name="_Toc3955"/>
      <w:r>
        <w:rPr>
          <w:rFonts w:hint="default" w:ascii="Arial Narrow" w:hAnsi="Arial Narrow" w:eastAsia="仿宋_GB2312" w:cs="Arial Narrow"/>
          <w:b/>
          <w:sz w:val="24"/>
        </w:rPr>
        <w:t>（一）资金管理</w:t>
      </w:r>
      <w:bookmarkEnd w:id="46"/>
      <w:bookmarkEnd w:id="47"/>
      <w:bookmarkEnd w:id="48"/>
    </w:p>
    <w:p w14:paraId="4D418B88">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1</w:t>
      </w:r>
      <w:r>
        <w:rPr>
          <w:rStyle w:val="10"/>
          <w:rFonts w:hint="default" w:ascii="Arial Narrow" w:hAnsi="Arial Narrow" w:eastAsia="仿宋_GB2312" w:cs="Arial Narrow"/>
          <w:color w:val="auto"/>
          <w:sz w:val="24"/>
          <w:u w:val="none"/>
          <w:lang w:val="en-US" w:eastAsia="zh-CN"/>
        </w:rPr>
        <w:t>.</w:t>
      </w:r>
      <w:r>
        <w:rPr>
          <w:rStyle w:val="10"/>
          <w:rFonts w:hint="default" w:ascii="Arial Narrow" w:hAnsi="Arial Narrow" w:eastAsia="仿宋_GB2312" w:cs="Arial Narrow"/>
          <w:color w:val="auto"/>
          <w:sz w:val="24"/>
          <w:u w:val="none"/>
        </w:rPr>
        <w:t>财政衔接资金安排情况</w:t>
      </w:r>
    </w:p>
    <w:p w14:paraId="6856D3B0">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项目按照《重庆市财政局关于提前下达2023年市财政衔接推进乡村振兴补助资金预算的通知》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渝财农〔2022〕146</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、《关于下达2023年提前批市级财政衔接推进乡村振兴补助资金项目安排计划的通知》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铜委农办〔2022〕24号</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、《关于调整2023年小额信贷贴息等5个财政衔接资金项目资金使用计划的通知》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铜乡振〔2023〕20号</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等相关政策性文件规定落实衔接资金。</w:t>
      </w:r>
    </w:p>
    <w:p w14:paraId="5CECEBA3">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资金分解下达进度</w:t>
      </w:r>
    </w:p>
    <w:p w14:paraId="3AD19FE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项目资金从区财政局下达资金文件时间到区级业务主管部门下达项目及资金计划文件时间间隔小于30天。</w:t>
      </w:r>
    </w:p>
    <w:p w14:paraId="78B70BBA">
      <w:pPr>
        <w:spacing w:line="360" w:lineRule="auto"/>
        <w:ind w:firstLine="482" w:firstLineChars="200"/>
        <w:jc w:val="left"/>
        <w:outlineLvl w:val="0"/>
        <w:rPr>
          <w:rFonts w:hint="default" w:ascii="Arial Narrow" w:hAnsi="Arial Narrow" w:eastAsia="仿宋_GB2312" w:cs="Arial Narrow"/>
          <w:b/>
          <w:sz w:val="24"/>
        </w:rPr>
      </w:pPr>
      <w:bookmarkStart w:id="49" w:name="_Toc11198"/>
      <w:bookmarkStart w:id="50" w:name="_Toc169624370"/>
      <w:bookmarkStart w:id="51" w:name="_Toc31659"/>
      <w:r>
        <w:rPr>
          <w:rFonts w:hint="default" w:ascii="Arial Narrow" w:hAnsi="Arial Narrow" w:eastAsia="仿宋_GB2312" w:cs="Arial Narrow"/>
          <w:b/>
          <w:sz w:val="24"/>
        </w:rPr>
        <w:t>（二）项目管理</w:t>
      </w:r>
      <w:bookmarkEnd w:id="49"/>
      <w:bookmarkEnd w:id="50"/>
      <w:bookmarkEnd w:id="51"/>
    </w:p>
    <w:p w14:paraId="1612ECA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1</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项目库建设管理情况</w:t>
      </w:r>
    </w:p>
    <w:p w14:paraId="2FC8EF26">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项目入库及时充分、程序规范、内容完整，制定和切合实际的实施方案，具备实施条件，衔接资金未用于项目库之外的项目。</w:t>
      </w:r>
    </w:p>
    <w:p w14:paraId="71C2370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项目绩效管理情况</w:t>
      </w:r>
    </w:p>
    <w:p w14:paraId="1FA8E5D5">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及时制定了明确的绩效目标，实施过程中对绩效目标进行监控，对绩效目标偏离项目采取纠偏措施。在项目实施完毕后开展了绩效自评，并形成绩效自评表，项目绩效基本达到预期</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项目实施完毕后未及时形成自评报告。</w:t>
      </w:r>
    </w:p>
    <w:p w14:paraId="24EAB796">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3</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项目建设管理情况</w:t>
      </w:r>
    </w:p>
    <w:p w14:paraId="0219E3D4">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项目实施方案不存在变更情况，</w:t>
      </w:r>
      <w:r>
        <w:rPr>
          <w:rFonts w:hint="default" w:ascii="Arial Narrow" w:hAnsi="Arial Narrow" w:eastAsia="仿宋_GB2312" w:cs="Arial Narrow"/>
          <w:sz w:val="24"/>
          <w:lang w:eastAsia="zh-CN"/>
        </w:rPr>
        <w:t>实施过程</w:t>
      </w:r>
      <w:r>
        <w:rPr>
          <w:rFonts w:hint="default" w:ascii="Arial Narrow" w:hAnsi="Arial Narrow" w:eastAsia="仿宋_GB2312" w:cs="Arial Narrow"/>
          <w:sz w:val="24"/>
        </w:rPr>
        <w:t>中由铜梁区太平镇人民政府进行监督检查，检查中未发现重大问题，项目按照实施节点按时提交项目报账资料，项目资料归档整理及时。</w:t>
      </w:r>
    </w:p>
    <w:p w14:paraId="79C181EA">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4</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预算执行率情况</w:t>
      </w:r>
    </w:p>
    <w:p w14:paraId="32F914B2">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该项目于2023年12月底资金预算执行率达到100%</w:t>
      </w:r>
      <w:r>
        <w:rPr>
          <w:rFonts w:hint="default" w:ascii="Arial Narrow" w:hAnsi="Arial Narrow" w:eastAsia="仿宋_GB2312" w:cs="Arial Narrow"/>
          <w:sz w:val="24"/>
          <w:lang w:eastAsia="zh-CN"/>
        </w:rPr>
        <w:t>，</w:t>
      </w:r>
      <w:r>
        <w:rPr>
          <w:rFonts w:hint="default" w:ascii="Arial Narrow" w:hAnsi="Arial Narrow" w:eastAsia="仿宋_GB2312" w:cs="Arial Narrow"/>
          <w:sz w:val="24"/>
          <w:lang w:val="en-US" w:eastAsia="zh-CN"/>
        </w:rPr>
        <w:t>项目资金支付进度较晚，扣3分。</w:t>
      </w:r>
    </w:p>
    <w:p w14:paraId="37B14D4B">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5</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跟踪督促及发现问题整改情况</w:t>
      </w:r>
    </w:p>
    <w:p w14:paraId="7298D1FE">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通过实施单位提供的监控表、自评表等资料显示，本项目实施单位定期开展项目实施和资金支出进度等跟踪督促，跟踪督促及各类检查发现问题整改到位。</w:t>
      </w:r>
    </w:p>
    <w:p w14:paraId="2EE083CC">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6</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账务处理及档案管理等情况</w:t>
      </w:r>
    </w:p>
    <w:p w14:paraId="32126272">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未见该项目会计凭证，档案管理不整齐</w:t>
      </w:r>
      <w:r>
        <w:rPr>
          <w:rFonts w:hint="default" w:ascii="Arial Narrow" w:hAnsi="Arial Narrow" w:eastAsia="仿宋_GB2312" w:cs="Arial Narrow"/>
          <w:sz w:val="24"/>
          <w:lang w:eastAsia="zh-CN"/>
        </w:rPr>
        <w:t>，</w:t>
      </w:r>
      <w:r>
        <w:rPr>
          <w:rFonts w:hint="default" w:ascii="Arial Narrow" w:hAnsi="Arial Narrow" w:eastAsia="仿宋_GB2312" w:cs="Arial Narrow"/>
          <w:sz w:val="24"/>
          <w:lang w:val="en-US" w:eastAsia="zh-CN"/>
        </w:rPr>
        <w:t>扣2分</w:t>
      </w:r>
    </w:p>
    <w:p w14:paraId="3B55228F">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7</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信息公开和公告公示制度落实情况</w:t>
      </w:r>
    </w:p>
    <w:p w14:paraId="3C5400A5">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铜梁区衔接资金涉及村镇按照《铜梁区财政衔接推进乡村振兴补助资金项目公告公示实施办法》（铜委农办〔2021〕19号）对年度资金计划完成情况及实施情况进行公示。</w:t>
      </w:r>
    </w:p>
    <w:p w14:paraId="19EF3CF5">
      <w:pPr>
        <w:spacing w:line="360" w:lineRule="auto"/>
        <w:ind w:firstLine="482" w:firstLineChars="200"/>
        <w:jc w:val="left"/>
        <w:outlineLvl w:val="0"/>
        <w:rPr>
          <w:rFonts w:hint="default" w:ascii="Arial Narrow" w:hAnsi="Arial Narrow" w:eastAsia="仿宋_GB2312" w:cs="Arial Narrow"/>
          <w:b/>
          <w:sz w:val="24"/>
        </w:rPr>
      </w:pPr>
      <w:bookmarkStart w:id="52" w:name="_Toc169624371"/>
      <w:bookmarkStart w:id="53" w:name="_Toc3874"/>
      <w:bookmarkStart w:id="54" w:name="_Toc1651"/>
      <w:r>
        <w:rPr>
          <w:rFonts w:hint="default" w:ascii="Arial Narrow" w:hAnsi="Arial Narrow" w:eastAsia="仿宋_GB2312" w:cs="Arial Narrow"/>
          <w:b/>
          <w:sz w:val="24"/>
        </w:rPr>
        <w:t>（三）</w:t>
      </w:r>
      <w:bookmarkEnd w:id="52"/>
      <w:r>
        <w:rPr>
          <w:rFonts w:hint="default" w:ascii="Arial Narrow" w:hAnsi="Arial Narrow" w:eastAsia="仿宋_GB2312" w:cs="Arial Narrow"/>
          <w:b/>
          <w:sz w:val="24"/>
        </w:rPr>
        <w:t>使用成效及通报情况</w:t>
      </w:r>
      <w:bookmarkEnd w:id="53"/>
      <w:bookmarkEnd w:id="54"/>
    </w:p>
    <w:p w14:paraId="08A33EBB">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1</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资金使用效益</w:t>
      </w:r>
    </w:p>
    <w:p w14:paraId="17D540C7">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项目总体资金均专款专用，项目完成进度和及时性达到计划预期目的。完成项目的质量能够达标，完成进行了自评、项目资金完整。</w:t>
      </w:r>
    </w:p>
    <w:p w14:paraId="02CB5A17">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w:t>
      </w:r>
      <w:r>
        <w:rPr>
          <w:rFonts w:hint="default" w:ascii="Arial Narrow" w:hAnsi="Arial Narrow" w:eastAsia="仿宋_GB2312" w:cs="Arial Narrow"/>
          <w:sz w:val="24"/>
          <w:lang w:val="en-US" w:eastAsia="zh-CN"/>
        </w:rPr>
        <w:t>.</w:t>
      </w:r>
      <w:r>
        <w:rPr>
          <w:rFonts w:hint="default" w:ascii="Arial Narrow" w:hAnsi="Arial Narrow" w:eastAsia="仿宋_GB2312" w:cs="Arial Narrow"/>
          <w:sz w:val="24"/>
        </w:rPr>
        <w:t>通报情况</w:t>
      </w:r>
    </w:p>
    <w:p w14:paraId="38F9A8F6">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项目实施管理日常表现良好，未被通报和问题反馈情况。</w:t>
      </w:r>
    </w:p>
    <w:p w14:paraId="1004AC79">
      <w:pPr>
        <w:adjustRightInd/>
        <w:snapToGrid/>
        <w:spacing w:line="360" w:lineRule="auto"/>
        <w:ind w:firstLine="482" w:firstLineChars="200"/>
        <w:outlineLvl w:val="0"/>
        <w:rPr>
          <w:rFonts w:hint="default" w:ascii="Arial Narrow" w:hAnsi="Arial Narrow" w:eastAsia="仿宋_GB2312" w:cs="Arial Narrow"/>
          <w:b/>
          <w:sz w:val="24"/>
        </w:rPr>
      </w:pPr>
      <w:bookmarkStart w:id="55" w:name="_Toc32390"/>
      <w:r>
        <w:rPr>
          <w:rFonts w:hint="default" w:ascii="Arial Narrow" w:hAnsi="Arial Narrow" w:eastAsia="仿宋_GB2312" w:cs="Arial Narrow"/>
          <w:b/>
          <w:sz w:val="24"/>
        </w:rPr>
        <w:t>五、存在的问题和建议</w:t>
      </w:r>
      <w:bookmarkEnd w:id="55"/>
    </w:p>
    <w:p w14:paraId="11BB69F3">
      <w:pPr>
        <w:spacing w:line="360" w:lineRule="auto"/>
        <w:ind w:firstLine="482" w:firstLineChars="200"/>
        <w:jc w:val="left"/>
        <w:outlineLvl w:val="0"/>
        <w:rPr>
          <w:rFonts w:hint="default" w:ascii="Arial Narrow" w:hAnsi="Arial Narrow" w:eastAsia="仿宋_GB2312" w:cs="Arial Narrow"/>
          <w:b/>
          <w:sz w:val="24"/>
        </w:rPr>
      </w:pPr>
      <w:bookmarkStart w:id="56" w:name="_Toc31352"/>
      <w:bookmarkStart w:id="57" w:name="_Toc8151"/>
      <w:bookmarkStart w:id="58" w:name="_Toc169624372"/>
      <w:r>
        <w:rPr>
          <w:rFonts w:hint="default" w:ascii="Arial Narrow" w:hAnsi="Arial Narrow" w:eastAsia="仿宋_GB2312" w:cs="Arial Narrow"/>
          <w:b/>
          <w:sz w:val="24"/>
        </w:rPr>
        <w:t>（一）存在问题</w:t>
      </w:r>
      <w:bookmarkEnd w:id="56"/>
      <w:bookmarkEnd w:id="57"/>
      <w:bookmarkEnd w:id="58"/>
    </w:p>
    <w:p w14:paraId="2EC5665C">
      <w:pPr>
        <w:adjustRightInd w:val="0"/>
        <w:snapToGrid w:val="0"/>
        <w:spacing w:line="360" w:lineRule="auto"/>
        <w:ind w:firstLine="480" w:firstLineChars="200"/>
        <w:rPr>
          <w:rFonts w:hint="default" w:ascii="Arial Narrow" w:hAnsi="Arial Narrow" w:eastAsia="仿宋_GB2312" w:cs="Arial Narrow"/>
          <w:sz w:val="24"/>
        </w:rPr>
      </w:pPr>
      <w:bookmarkStart w:id="59" w:name="_Toc169624373"/>
      <w:r>
        <w:rPr>
          <w:rFonts w:hint="default" w:ascii="Arial Narrow" w:hAnsi="Arial Narrow" w:eastAsia="仿宋_GB2312" w:cs="Arial Narrow"/>
          <w:sz w:val="24"/>
        </w:rPr>
        <w:t>日常档案管理资料整理不完整。</w:t>
      </w:r>
    </w:p>
    <w:p w14:paraId="74903518">
      <w:pPr>
        <w:spacing w:line="360" w:lineRule="auto"/>
        <w:ind w:firstLine="482" w:firstLineChars="200"/>
        <w:jc w:val="left"/>
        <w:outlineLvl w:val="0"/>
        <w:rPr>
          <w:rFonts w:hint="default" w:ascii="Arial Narrow" w:hAnsi="Arial Narrow" w:eastAsia="仿宋_GB2312" w:cs="Arial Narrow"/>
          <w:b/>
          <w:sz w:val="24"/>
        </w:rPr>
      </w:pPr>
      <w:bookmarkStart w:id="60" w:name="_Toc20999"/>
      <w:bookmarkStart w:id="61" w:name="_Toc4564"/>
      <w:r>
        <w:rPr>
          <w:rFonts w:hint="default" w:ascii="Arial Narrow" w:hAnsi="Arial Narrow" w:eastAsia="仿宋_GB2312" w:cs="Arial Narrow"/>
          <w:b/>
          <w:sz w:val="24"/>
        </w:rPr>
        <w:t>（二）建议</w:t>
      </w:r>
      <w:bookmarkEnd w:id="59"/>
      <w:bookmarkEnd w:id="60"/>
      <w:bookmarkEnd w:id="61"/>
    </w:p>
    <w:p w14:paraId="786CA44C">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建议及时检查归档资料是否完备，以保持资料的完整性；避免造成资料的缺失遗漏。</w:t>
      </w:r>
    </w:p>
    <w:p w14:paraId="51CD751B">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p>
    <w:p w14:paraId="4F29F1D3">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p>
    <w:p w14:paraId="68DBFF8D">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p>
    <w:p w14:paraId="019E3F2F">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p>
    <w:p w14:paraId="6DC5779C">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p>
    <w:p w14:paraId="3AA1AC67">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p>
    <w:p w14:paraId="4250A3A6">
      <w:pPr>
        <w:adjustRightInd w:val="0"/>
        <w:snapToGrid w:val="0"/>
        <w:spacing w:line="360" w:lineRule="auto"/>
        <w:ind w:firstLine="420" w:firstLineChars="200"/>
        <w:rPr>
          <w:rStyle w:val="10"/>
          <w:rFonts w:hint="default" w:ascii="Arial Narrow" w:hAnsi="Arial Narrow" w:eastAsia="仿宋_GB2312" w:cs="Arial Narrow"/>
          <w:color w:val="auto"/>
          <w:u w:val="none"/>
        </w:rPr>
      </w:pPr>
    </w:p>
    <w:p w14:paraId="4F57956A">
      <w:pPr>
        <w:adjustRightInd w:val="0"/>
        <w:snapToGrid w:val="0"/>
        <w:spacing w:line="360" w:lineRule="auto"/>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附件：1.绩效评价指标体系及评分结果表；</w:t>
      </w:r>
    </w:p>
    <w:p w14:paraId="020FE6DC">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2.会计师事务所营业执照和资质复印件。</w:t>
      </w:r>
    </w:p>
    <w:p w14:paraId="4A870378">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5A90ED8B">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273FFDE5">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76403081">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21C324AB">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623D03F1">
      <w:pPr>
        <w:adjustRightInd w:val="0"/>
        <w:snapToGrid w:val="0"/>
        <w:spacing w:line="360" w:lineRule="auto"/>
        <w:jc w:val="right"/>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重庆铭鸿金全会计师事务所有限责任公司</w:t>
      </w:r>
    </w:p>
    <w:p w14:paraId="37ADEA2C">
      <w:pPr>
        <w:adjustRightInd w:val="0"/>
        <w:snapToGrid w:val="0"/>
        <w:spacing w:line="360" w:lineRule="auto"/>
        <w:ind w:right="960" w:firstLine="4800" w:firstLineChars="2000"/>
        <w:jc w:val="right"/>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二</w:t>
      </w:r>
      <w:r>
        <w:rPr>
          <w:rStyle w:val="10"/>
          <w:rFonts w:hint="eastAsia" w:ascii="Arial Narrow" w:hAnsi="Arial Narrow" w:eastAsia="仿宋_GB2312" w:cs="Arial Narrow"/>
          <w:color w:val="auto"/>
          <w:sz w:val="24"/>
          <w:u w:val="none"/>
          <w:lang w:val="en-US" w:eastAsia="zh-CN"/>
        </w:rPr>
        <w:t>〇</w:t>
      </w:r>
      <w:bookmarkStart w:id="62" w:name="_GoBack"/>
      <w:bookmarkEnd w:id="62"/>
      <w:r>
        <w:rPr>
          <w:rStyle w:val="10"/>
          <w:rFonts w:hint="default" w:ascii="Arial Narrow" w:hAnsi="Arial Narrow" w:eastAsia="仿宋_GB2312" w:cs="Arial Narrow"/>
          <w:color w:val="auto"/>
          <w:sz w:val="24"/>
          <w:u w:val="none"/>
        </w:rPr>
        <w:t>二四年六月三十日</w:t>
      </w:r>
    </w:p>
    <w:sectPr>
      <w:headerReference r:id="rId5" w:type="default"/>
      <w:footerReference r:id="rId6"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A8B2678B-D0EA-459A-B98C-FC0F50FD74C9}"/>
  </w:font>
  <w:font w:name="仿宋_GB2312">
    <w:panose1 w:val="02010609030101010101"/>
    <w:charset w:val="86"/>
    <w:family w:val="modern"/>
    <w:pitch w:val="default"/>
    <w:sig w:usb0="00000001" w:usb1="080E0000" w:usb2="00000000" w:usb3="00000000" w:csb0="00040000" w:csb1="00000000"/>
    <w:embedRegular r:id="rId2" w:fontKey="{FB2FE99E-C539-40C7-97E1-EA6631C2C4C3}"/>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01C22">
    <w:pPr>
      <w:pStyle w:val="4"/>
      <w:jc w:val="both"/>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DD6B6">
    <w:pPr>
      <w:pStyle w:val="4"/>
      <w:jc w:val="both"/>
      <w:rPr>
        <w:rFonts w:hint="eastAsia"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9DA31">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E7B868">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4E7B868">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4C182">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37917"/>
    <w:rsid w:val="000769EE"/>
    <w:rsid w:val="000B617E"/>
    <w:rsid w:val="000E6BD3"/>
    <w:rsid w:val="0010003E"/>
    <w:rsid w:val="00104568"/>
    <w:rsid w:val="00143A99"/>
    <w:rsid w:val="00164C87"/>
    <w:rsid w:val="001A42EB"/>
    <w:rsid w:val="001E0132"/>
    <w:rsid w:val="001E1E3E"/>
    <w:rsid w:val="001F3624"/>
    <w:rsid w:val="001F43AE"/>
    <w:rsid w:val="00216472"/>
    <w:rsid w:val="00226E7E"/>
    <w:rsid w:val="00276D1C"/>
    <w:rsid w:val="00282997"/>
    <w:rsid w:val="002C36AE"/>
    <w:rsid w:val="002C5020"/>
    <w:rsid w:val="002C7EFA"/>
    <w:rsid w:val="00324E2F"/>
    <w:rsid w:val="0037066E"/>
    <w:rsid w:val="003B42BF"/>
    <w:rsid w:val="00414A58"/>
    <w:rsid w:val="004200C2"/>
    <w:rsid w:val="00420AA7"/>
    <w:rsid w:val="00421C71"/>
    <w:rsid w:val="0049336E"/>
    <w:rsid w:val="004C38B4"/>
    <w:rsid w:val="004D2A6E"/>
    <w:rsid w:val="00501A64"/>
    <w:rsid w:val="00572DD6"/>
    <w:rsid w:val="005F01BA"/>
    <w:rsid w:val="0061417A"/>
    <w:rsid w:val="0069678B"/>
    <w:rsid w:val="006C0625"/>
    <w:rsid w:val="006C20BA"/>
    <w:rsid w:val="006E75D6"/>
    <w:rsid w:val="0073019B"/>
    <w:rsid w:val="00740E9D"/>
    <w:rsid w:val="00741402"/>
    <w:rsid w:val="007A6BE6"/>
    <w:rsid w:val="007B3212"/>
    <w:rsid w:val="00842151"/>
    <w:rsid w:val="00856815"/>
    <w:rsid w:val="008755F5"/>
    <w:rsid w:val="008952B1"/>
    <w:rsid w:val="008D4F7C"/>
    <w:rsid w:val="008E609D"/>
    <w:rsid w:val="00983CB7"/>
    <w:rsid w:val="009921D1"/>
    <w:rsid w:val="009957B8"/>
    <w:rsid w:val="00A30E47"/>
    <w:rsid w:val="00A352D4"/>
    <w:rsid w:val="00A95CA5"/>
    <w:rsid w:val="00AD04FB"/>
    <w:rsid w:val="00AD28CC"/>
    <w:rsid w:val="00AE470F"/>
    <w:rsid w:val="00AF58DD"/>
    <w:rsid w:val="00B134A6"/>
    <w:rsid w:val="00B332FD"/>
    <w:rsid w:val="00B83394"/>
    <w:rsid w:val="00BB3674"/>
    <w:rsid w:val="00BC7BED"/>
    <w:rsid w:val="00BE0F7E"/>
    <w:rsid w:val="00BE660C"/>
    <w:rsid w:val="00C107C7"/>
    <w:rsid w:val="00C12443"/>
    <w:rsid w:val="00C35442"/>
    <w:rsid w:val="00C60A62"/>
    <w:rsid w:val="00CB54FB"/>
    <w:rsid w:val="00CF470A"/>
    <w:rsid w:val="00D254D3"/>
    <w:rsid w:val="00D26E16"/>
    <w:rsid w:val="00D415D5"/>
    <w:rsid w:val="00D876A9"/>
    <w:rsid w:val="00DB55F0"/>
    <w:rsid w:val="00E05910"/>
    <w:rsid w:val="00E23D6E"/>
    <w:rsid w:val="00E27A95"/>
    <w:rsid w:val="00E80BDA"/>
    <w:rsid w:val="00EA2EFA"/>
    <w:rsid w:val="00EE593E"/>
    <w:rsid w:val="00F31EBE"/>
    <w:rsid w:val="00F54C3F"/>
    <w:rsid w:val="00F61D28"/>
    <w:rsid w:val="00F64D50"/>
    <w:rsid w:val="00F6551E"/>
    <w:rsid w:val="00F725F6"/>
    <w:rsid w:val="00F90C52"/>
    <w:rsid w:val="00FD1A79"/>
    <w:rsid w:val="00FE1E65"/>
    <w:rsid w:val="00FF5AA5"/>
    <w:rsid w:val="01ED0131"/>
    <w:rsid w:val="02717C9D"/>
    <w:rsid w:val="03A013D6"/>
    <w:rsid w:val="066272F6"/>
    <w:rsid w:val="06BC2AEB"/>
    <w:rsid w:val="0B23265C"/>
    <w:rsid w:val="0C955D75"/>
    <w:rsid w:val="0D8B6C53"/>
    <w:rsid w:val="10FD0312"/>
    <w:rsid w:val="120E6874"/>
    <w:rsid w:val="24CC3981"/>
    <w:rsid w:val="270731DD"/>
    <w:rsid w:val="29223F33"/>
    <w:rsid w:val="30731707"/>
    <w:rsid w:val="357129F4"/>
    <w:rsid w:val="371050B8"/>
    <w:rsid w:val="388F5D53"/>
    <w:rsid w:val="39C402C4"/>
    <w:rsid w:val="3DF24001"/>
    <w:rsid w:val="3FA17496"/>
    <w:rsid w:val="3FB6105E"/>
    <w:rsid w:val="400849FC"/>
    <w:rsid w:val="442B1F35"/>
    <w:rsid w:val="45947F31"/>
    <w:rsid w:val="4A2E5059"/>
    <w:rsid w:val="4DF1278B"/>
    <w:rsid w:val="55E372AA"/>
    <w:rsid w:val="567F61F6"/>
    <w:rsid w:val="597E13FC"/>
    <w:rsid w:val="60087B46"/>
    <w:rsid w:val="60761837"/>
    <w:rsid w:val="629B4EDD"/>
    <w:rsid w:val="64503960"/>
    <w:rsid w:val="66B26E3C"/>
    <w:rsid w:val="698A1257"/>
    <w:rsid w:val="6B981F13"/>
    <w:rsid w:val="6C0B491D"/>
    <w:rsid w:val="6F330373"/>
    <w:rsid w:val="6F354AE8"/>
    <w:rsid w:val="705B5834"/>
    <w:rsid w:val="7061180A"/>
    <w:rsid w:val="71CB0748"/>
    <w:rsid w:val="71E31D57"/>
    <w:rsid w:val="73A04CBB"/>
    <w:rsid w:val="79D53C74"/>
    <w:rsid w:val="7AFE2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5350</Words>
  <Characters>5687</Characters>
  <Lines>49</Lines>
  <Paragraphs>13</Paragraphs>
  <TotalTime>14</TotalTime>
  <ScaleCrop>false</ScaleCrop>
  <LinksUpToDate>false</LinksUpToDate>
  <CharactersWithSpaces>5713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2024-11-20T01:12:02Z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