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EFD28">
      <w:pPr>
        <w:spacing w:line="360" w:lineRule="auto"/>
        <w:jc w:val="center"/>
        <w:rPr>
          <w:rFonts w:ascii="Arial Narrow" w:hAnsi="Arial Narrow" w:eastAsiaTheme="minorEastAsia"/>
          <w:b/>
          <w:bCs/>
          <w:sz w:val="36"/>
          <w:szCs w:val="36"/>
        </w:rPr>
      </w:pPr>
    </w:p>
    <w:p w14:paraId="76C21146">
      <w:pPr>
        <w:spacing w:line="360" w:lineRule="auto"/>
        <w:jc w:val="center"/>
        <w:rPr>
          <w:rFonts w:ascii="Arial Narrow" w:hAnsi="Arial Narrow" w:eastAsiaTheme="minorEastAsia"/>
          <w:b/>
          <w:bCs/>
          <w:sz w:val="36"/>
          <w:szCs w:val="36"/>
        </w:rPr>
      </w:pPr>
    </w:p>
    <w:p w14:paraId="305B3814">
      <w:pPr>
        <w:spacing w:line="360" w:lineRule="auto"/>
        <w:jc w:val="center"/>
        <w:rPr>
          <w:rFonts w:ascii="Arial Narrow" w:hAnsi="Arial Narrow" w:eastAsiaTheme="minorEastAsia"/>
          <w:b/>
          <w:bCs/>
          <w:sz w:val="36"/>
          <w:szCs w:val="36"/>
        </w:rPr>
      </w:pPr>
    </w:p>
    <w:p w14:paraId="5A5C4769">
      <w:pPr>
        <w:spacing w:line="360" w:lineRule="auto"/>
        <w:jc w:val="center"/>
        <w:rPr>
          <w:rFonts w:ascii="Arial Narrow" w:hAnsi="Arial Narrow" w:eastAsiaTheme="minorEastAsia"/>
          <w:b/>
          <w:bCs/>
          <w:sz w:val="36"/>
          <w:szCs w:val="36"/>
        </w:rPr>
      </w:pPr>
    </w:p>
    <w:p w14:paraId="1DB75B3C">
      <w:pPr>
        <w:adjustRightInd w:val="0"/>
        <w:snapToGrid w:val="0"/>
        <w:spacing w:line="360" w:lineRule="auto"/>
        <w:jc w:val="center"/>
        <w:rPr>
          <w:rFonts w:ascii="Arial Narrow" w:hAnsi="Arial Narrow" w:eastAsiaTheme="minorEastAsia"/>
          <w:b/>
          <w:sz w:val="44"/>
          <w:szCs w:val="44"/>
        </w:rPr>
      </w:pPr>
      <w:bookmarkStart w:id="0" w:name="_Hlk170378626"/>
      <w:r>
        <w:rPr>
          <w:rFonts w:ascii="Arial Narrow" w:hAnsi="Arial Narrow" w:eastAsiaTheme="minorEastAsia"/>
          <w:b/>
          <w:sz w:val="44"/>
          <w:szCs w:val="44"/>
        </w:rPr>
        <w:t>重庆市铜梁区高楼镇涪江村柑橘园建设</w:t>
      </w:r>
      <w:r>
        <w:rPr>
          <w:rFonts w:hint="eastAsia" w:ascii="Arial Narrow" w:hAnsi="Arial Narrow" w:eastAsiaTheme="minorEastAsia"/>
          <w:b/>
          <w:sz w:val="44"/>
          <w:szCs w:val="44"/>
          <w:lang w:val="en-US" w:eastAsia="zh-CN"/>
        </w:rPr>
        <w:t>等</w:t>
      </w:r>
      <w:r>
        <w:rPr>
          <w:rFonts w:ascii="Arial Narrow" w:hAnsi="Arial Narrow" w:eastAsiaTheme="minorEastAsia"/>
          <w:b/>
          <w:sz w:val="44"/>
          <w:szCs w:val="44"/>
        </w:rPr>
        <w:t>2个项目</w:t>
      </w:r>
      <w:bookmarkEnd w:id="0"/>
      <w:r>
        <w:rPr>
          <w:rFonts w:ascii="Arial Narrow" w:hAnsi="Arial Narrow" w:eastAsiaTheme="minorEastAsia"/>
          <w:b/>
          <w:sz w:val="44"/>
          <w:szCs w:val="44"/>
        </w:rPr>
        <w:t>财政专项衔接资金</w:t>
      </w:r>
    </w:p>
    <w:p w14:paraId="3BCBF901">
      <w:pPr>
        <w:adjustRightInd w:val="0"/>
        <w:snapToGrid w:val="0"/>
        <w:spacing w:line="360" w:lineRule="auto"/>
        <w:jc w:val="center"/>
        <w:rPr>
          <w:rFonts w:ascii="Arial Narrow" w:hAnsi="Arial Narrow" w:eastAsiaTheme="minorEastAsia"/>
          <w:b/>
          <w:sz w:val="44"/>
          <w:szCs w:val="44"/>
        </w:rPr>
      </w:pPr>
    </w:p>
    <w:p w14:paraId="663B9031">
      <w:pPr>
        <w:adjustRightInd w:val="0"/>
        <w:snapToGrid w:val="0"/>
        <w:spacing w:line="360" w:lineRule="auto"/>
        <w:jc w:val="center"/>
        <w:rPr>
          <w:rFonts w:ascii="Arial Narrow" w:hAnsi="Arial Narrow" w:eastAsiaTheme="minorEastAsia"/>
          <w:b/>
          <w:sz w:val="44"/>
          <w:szCs w:val="44"/>
        </w:rPr>
      </w:pPr>
    </w:p>
    <w:p w14:paraId="3EB14176">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r>
        <w:rPr>
          <w:rFonts w:ascii="Arial Narrow" w:hAnsi="Arial Narrow" w:eastAsiaTheme="minorEastAsia"/>
          <w:b/>
          <w:w w:val="102"/>
          <w:sz w:val="44"/>
          <w:szCs w:val="44"/>
        </w:rPr>
        <w:t>绩效评价</w:t>
      </w:r>
      <w:bookmarkStart w:id="1" w:name="_Toc488637980"/>
      <w:bookmarkStart w:id="2" w:name="_Toc488804777"/>
      <w:r>
        <w:rPr>
          <w:rFonts w:ascii="Arial Narrow" w:hAnsi="Arial Narrow" w:eastAsiaTheme="minorEastAsia"/>
          <w:b/>
          <w:w w:val="102"/>
          <w:sz w:val="44"/>
          <w:szCs w:val="44"/>
        </w:rPr>
        <w:t>报告</w:t>
      </w:r>
    </w:p>
    <w:p w14:paraId="3985E80A">
      <w:pPr>
        <w:spacing w:line="360" w:lineRule="auto"/>
        <w:jc w:val="center"/>
        <w:rPr>
          <w:rFonts w:ascii="Arial Narrow" w:hAnsi="Arial Narrow" w:eastAsiaTheme="minorEastAsia"/>
          <w:bCs/>
          <w:sz w:val="32"/>
          <w:szCs w:val="32"/>
        </w:rPr>
      </w:pPr>
      <w:r>
        <w:rPr>
          <w:rFonts w:ascii="Arial Narrow" w:hAnsi="Arial Narrow" w:eastAsiaTheme="minorEastAsia"/>
          <w:bCs/>
          <w:sz w:val="32"/>
          <w:szCs w:val="32"/>
        </w:rPr>
        <w:t>铭鸿咨字【2024】第0037号</w:t>
      </w:r>
    </w:p>
    <w:p w14:paraId="66ED9DF3">
      <w:pPr>
        <w:adjustRightInd w:val="0"/>
        <w:snapToGrid w:val="0"/>
        <w:spacing w:line="360" w:lineRule="auto"/>
        <w:jc w:val="center"/>
        <w:rPr>
          <w:rFonts w:ascii="Arial Narrow" w:hAnsi="Arial Narrow" w:eastAsiaTheme="minorEastAsia"/>
          <w:b/>
          <w:spacing w:val="100"/>
          <w:sz w:val="32"/>
          <w:szCs w:val="32"/>
        </w:rPr>
      </w:pPr>
    </w:p>
    <w:p w14:paraId="254AA502">
      <w:pPr>
        <w:adjustRightInd w:val="0"/>
        <w:snapToGrid w:val="0"/>
        <w:spacing w:line="360" w:lineRule="auto"/>
        <w:jc w:val="center"/>
        <w:rPr>
          <w:rFonts w:ascii="Arial Narrow" w:hAnsi="Arial Narrow" w:eastAsiaTheme="minorEastAsia"/>
          <w:b/>
          <w:spacing w:val="100"/>
          <w:sz w:val="32"/>
          <w:szCs w:val="32"/>
        </w:rPr>
      </w:pPr>
    </w:p>
    <w:p w14:paraId="4707C7DA">
      <w:pPr>
        <w:adjustRightInd w:val="0"/>
        <w:snapToGrid w:val="0"/>
        <w:spacing w:line="360" w:lineRule="auto"/>
        <w:jc w:val="center"/>
        <w:rPr>
          <w:rFonts w:ascii="Arial Narrow" w:hAnsi="Arial Narrow" w:eastAsiaTheme="minorEastAsia"/>
          <w:b/>
          <w:spacing w:val="100"/>
          <w:sz w:val="32"/>
          <w:szCs w:val="32"/>
        </w:rPr>
      </w:pPr>
    </w:p>
    <w:p w14:paraId="76D876EB">
      <w:pPr>
        <w:adjustRightInd w:val="0"/>
        <w:snapToGrid w:val="0"/>
        <w:spacing w:line="360" w:lineRule="auto"/>
        <w:jc w:val="center"/>
        <w:rPr>
          <w:rFonts w:ascii="Arial Narrow" w:hAnsi="Arial Narrow" w:eastAsiaTheme="minorEastAsia"/>
          <w:b/>
          <w:spacing w:val="100"/>
          <w:sz w:val="32"/>
          <w:szCs w:val="32"/>
        </w:rPr>
      </w:pPr>
    </w:p>
    <w:p w14:paraId="5AF0DE4E">
      <w:pPr>
        <w:adjustRightInd w:val="0"/>
        <w:snapToGrid w:val="0"/>
        <w:spacing w:line="360" w:lineRule="auto"/>
        <w:jc w:val="center"/>
        <w:rPr>
          <w:rFonts w:ascii="Arial Narrow" w:hAnsi="Arial Narrow" w:eastAsiaTheme="minorEastAsia"/>
          <w:b/>
          <w:spacing w:val="100"/>
          <w:sz w:val="32"/>
          <w:szCs w:val="32"/>
        </w:rPr>
      </w:pPr>
    </w:p>
    <w:p w14:paraId="6AFDB577">
      <w:pPr>
        <w:adjustRightInd w:val="0"/>
        <w:snapToGrid w:val="0"/>
        <w:spacing w:line="360" w:lineRule="auto"/>
        <w:jc w:val="center"/>
        <w:rPr>
          <w:rFonts w:ascii="Arial Narrow" w:hAnsi="Arial Narrow" w:eastAsiaTheme="minorEastAsia"/>
          <w:b/>
          <w:spacing w:val="100"/>
          <w:sz w:val="32"/>
          <w:szCs w:val="32"/>
        </w:rPr>
      </w:pPr>
    </w:p>
    <w:p w14:paraId="5C088D32">
      <w:pPr>
        <w:adjustRightInd w:val="0"/>
        <w:snapToGrid w:val="0"/>
        <w:spacing w:line="360" w:lineRule="auto"/>
        <w:jc w:val="center"/>
        <w:rPr>
          <w:rFonts w:ascii="Arial Narrow" w:hAnsi="Arial Narrow" w:eastAsiaTheme="minorEastAsia"/>
          <w:b/>
          <w:spacing w:val="100"/>
          <w:sz w:val="32"/>
          <w:szCs w:val="32"/>
        </w:rPr>
      </w:pPr>
    </w:p>
    <w:p w14:paraId="4D859038">
      <w:pPr>
        <w:adjustRightInd w:val="0"/>
        <w:snapToGrid w:val="0"/>
        <w:spacing w:line="360" w:lineRule="auto"/>
        <w:jc w:val="center"/>
        <w:rPr>
          <w:rFonts w:ascii="Arial Narrow" w:hAnsi="Arial Narrow" w:eastAsiaTheme="minorEastAsia"/>
          <w:b/>
          <w:spacing w:val="100"/>
          <w:sz w:val="32"/>
          <w:szCs w:val="32"/>
        </w:rPr>
      </w:pPr>
    </w:p>
    <w:p w14:paraId="74CDCE0D">
      <w:pPr>
        <w:adjustRightInd w:val="0"/>
        <w:snapToGrid w:val="0"/>
        <w:spacing w:line="360" w:lineRule="auto"/>
        <w:jc w:val="center"/>
        <w:rPr>
          <w:rFonts w:ascii="Arial Narrow" w:hAnsi="Arial Narrow" w:eastAsiaTheme="minorEastAsia"/>
          <w:b/>
          <w:spacing w:val="100"/>
          <w:sz w:val="32"/>
          <w:szCs w:val="32"/>
        </w:rPr>
      </w:pPr>
    </w:p>
    <w:p w14:paraId="3AFC4188">
      <w:pPr>
        <w:adjustRightInd w:val="0"/>
        <w:snapToGrid w:val="0"/>
        <w:spacing w:line="360" w:lineRule="auto"/>
        <w:jc w:val="center"/>
        <w:rPr>
          <w:rFonts w:ascii="Arial Narrow" w:hAnsi="Arial Narrow" w:eastAsiaTheme="minorEastAsia"/>
          <w:b/>
          <w:spacing w:val="100"/>
          <w:sz w:val="32"/>
          <w:szCs w:val="32"/>
        </w:rPr>
      </w:pPr>
    </w:p>
    <w:p w14:paraId="1ACFD914">
      <w:pPr>
        <w:spacing w:line="360" w:lineRule="auto"/>
        <w:jc w:val="center"/>
        <w:rPr>
          <w:rFonts w:ascii="Arial Narrow" w:hAnsi="Arial Narrow" w:eastAsiaTheme="minorEastAsia"/>
          <w:sz w:val="32"/>
          <w:szCs w:val="32"/>
        </w:rPr>
      </w:pPr>
      <w:r>
        <w:rPr>
          <w:rFonts w:ascii="Arial Narrow" w:hAnsi="Arial Narrow" w:eastAsiaTheme="minorEastAsia"/>
          <w:sz w:val="32"/>
          <w:szCs w:val="32"/>
        </w:rPr>
        <w:t>重庆铭鸿金全会计师事务所有限</w:t>
      </w:r>
      <w:r>
        <w:rPr>
          <w:rFonts w:hint="eastAsia" w:ascii="Arial Narrow" w:hAnsi="Arial Narrow" w:eastAsiaTheme="minorEastAsia"/>
          <w:sz w:val="32"/>
          <w:szCs w:val="32"/>
        </w:rPr>
        <w:t>责任</w:t>
      </w:r>
      <w:r>
        <w:rPr>
          <w:rFonts w:ascii="Arial Narrow" w:hAnsi="Arial Narrow" w:eastAsiaTheme="minorEastAsia"/>
          <w:sz w:val="32"/>
          <w:szCs w:val="32"/>
        </w:rPr>
        <w:t>公司</w:t>
      </w:r>
    </w:p>
    <w:p w14:paraId="0D92EE90">
      <w:pPr>
        <w:spacing w:line="360" w:lineRule="auto"/>
        <w:jc w:val="center"/>
        <w:rPr>
          <w:rFonts w:ascii="Arial Narrow" w:hAnsi="Arial Narrow" w:eastAsiaTheme="minorEastAsia"/>
          <w:sz w:val="32"/>
          <w:szCs w:val="32"/>
        </w:rPr>
      </w:pP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ascii="Arial Narrow" w:hAnsi="Arial Narrow" w:eastAsiaTheme="minorEastAsia"/>
          <w:sz w:val="32"/>
          <w:szCs w:val="32"/>
        </w:rPr>
        <w:t>二</w:t>
      </w:r>
      <w:r>
        <w:rPr>
          <w:rFonts w:hint="eastAsia" w:ascii="Arial Narrow" w:hAnsi="Arial Narrow" w:eastAsiaTheme="minorEastAsia"/>
          <w:sz w:val="32"/>
          <w:szCs w:val="32"/>
          <w:lang w:eastAsia="zh-CN"/>
        </w:rPr>
        <w:t>四</w:t>
      </w:r>
      <w:r>
        <w:rPr>
          <w:rFonts w:ascii="Arial Narrow" w:hAnsi="Arial Narrow" w:eastAsiaTheme="minorEastAsia"/>
          <w:sz w:val="32"/>
          <w:szCs w:val="32"/>
        </w:rPr>
        <w:t>年六月</w:t>
      </w:r>
    </w:p>
    <w:p w14:paraId="32B2FD63">
      <w:pPr>
        <w:spacing w:line="360" w:lineRule="auto"/>
        <w:jc w:val="center"/>
        <w:rPr>
          <w:rFonts w:ascii="Arial Narrow" w:hAnsi="Arial Narrow" w:eastAsiaTheme="minorEastAsia"/>
          <w:sz w:val="44"/>
          <w:szCs w:val="44"/>
        </w:rPr>
      </w:pPr>
      <w:r>
        <w:rPr>
          <w:rFonts w:ascii="Arial Narrow" w:hAnsi="Arial Narrow" w:eastAsiaTheme="minorEastAsia"/>
          <w:b/>
          <w:spacing w:val="100"/>
          <w:sz w:val="52"/>
          <w:szCs w:val="52"/>
        </w:rPr>
        <w:br w:type="page"/>
      </w:r>
      <w:bookmarkEnd w:id="1"/>
      <w:bookmarkEnd w:id="2"/>
      <w:r>
        <w:rPr>
          <w:rFonts w:ascii="Arial Narrow" w:hAnsi="Arial Narrow" w:eastAsiaTheme="minorEastAsia"/>
          <w:sz w:val="44"/>
          <w:szCs w:val="44"/>
        </w:rPr>
        <w:t>目   录</w:t>
      </w:r>
    </w:p>
    <w:p w14:paraId="6E6B3DB1">
      <w:pPr>
        <w:spacing w:line="360" w:lineRule="auto"/>
        <w:jc w:val="center"/>
        <w:rPr>
          <w:rFonts w:ascii="Arial Narrow" w:hAnsi="Arial Narrow" w:eastAsiaTheme="minorEastAsia"/>
          <w:sz w:val="24"/>
        </w:rPr>
      </w:pPr>
    </w:p>
    <w:p w14:paraId="68F5CA56">
      <w:pPr>
        <w:pStyle w:val="7"/>
        <w:rPr>
          <w:rFonts w:asciiTheme="minorHAnsi" w:hAnsiTheme="minorHAnsi" w:eastAsiaTheme="minorEastAsia" w:cstheme="minorBidi"/>
          <w:b w:val="0"/>
          <w:bCs w:val="0"/>
          <w:szCs w:val="22"/>
          <w14:ligatures w14:val="standardContextual"/>
        </w:rPr>
      </w:pPr>
      <w:r>
        <w:rPr>
          <w:rStyle w:val="11"/>
          <w:rFonts w:eastAsiaTheme="minorEastAsia"/>
          <w:b w:val="0"/>
          <w:bCs w:val="0"/>
          <w:color w:val="auto"/>
          <w:szCs w:val="21"/>
          <w:u w:val="none"/>
        </w:rPr>
        <w:fldChar w:fldCharType="begin"/>
      </w:r>
      <w:r>
        <w:rPr>
          <w:rStyle w:val="11"/>
          <w:rFonts w:eastAsiaTheme="minorEastAsia"/>
          <w:b w:val="0"/>
          <w:bCs w:val="0"/>
          <w:color w:val="auto"/>
          <w:szCs w:val="21"/>
          <w:u w:val="none"/>
        </w:rPr>
        <w:instrText xml:space="preserve"> TOC \o "1-3" \h \z \u </w:instrText>
      </w:r>
      <w:r>
        <w:rPr>
          <w:rStyle w:val="11"/>
          <w:rFonts w:eastAsiaTheme="minorEastAsia"/>
          <w:b w:val="0"/>
          <w:bCs w:val="0"/>
          <w:color w:val="auto"/>
          <w:szCs w:val="21"/>
          <w:u w:val="none"/>
        </w:rPr>
        <w:fldChar w:fldCharType="separate"/>
      </w:r>
      <w:r>
        <w:fldChar w:fldCharType="begin"/>
      </w:r>
      <w:r>
        <w:instrText xml:space="preserve"> HYPERLINK \l "_Toc171670491" </w:instrText>
      </w:r>
      <w:r>
        <w:fldChar w:fldCharType="separate"/>
      </w:r>
      <w:r>
        <w:rPr>
          <w:rStyle w:val="11"/>
        </w:rPr>
        <w:t>一、基本情况</w:t>
      </w:r>
      <w:r>
        <w:tab/>
      </w:r>
      <w:r>
        <w:fldChar w:fldCharType="begin"/>
      </w:r>
      <w:r>
        <w:instrText xml:space="preserve"> PAGEREF _Toc171670491 \h </w:instrText>
      </w:r>
      <w:r>
        <w:fldChar w:fldCharType="separate"/>
      </w:r>
      <w:r>
        <w:t>1</w:t>
      </w:r>
      <w:r>
        <w:fldChar w:fldCharType="end"/>
      </w:r>
      <w:r>
        <w:fldChar w:fldCharType="end"/>
      </w:r>
    </w:p>
    <w:p w14:paraId="5CC48BD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"_Toc171670492" </w:instrText>
      </w:r>
      <w:r>
        <w:fldChar w:fldCharType="separate"/>
      </w:r>
      <w:r>
        <w:rPr>
          <w:rStyle w:val="11"/>
          <w:rFonts w:cs="宋体"/>
          <w:kern w:val="0"/>
        </w:rPr>
        <w:t>（一）项目情况</w:t>
      </w:r>
      <w:r>
        <w:tab/>
      </w:r>
      <w:r>
        <w:fldChar w:fldCharType="begin"/>
      </w:r>
      <w:r>
        <w:instrText xml:space="preserve"> PAGEREF _Toc171670492 \h </w:instrText>
      </w:r>
      <w:r>
        <w:fldChar w:fldCharType="separate"/>
      </w:r>
      <w:r>
        <w:t>1</w:t>
      </w:r>
      <w:r>
        <w:fldChar w:fldCharType="end"/>
      </w:r>
      <w:r>
        <w:fldChar w:fldCharType="end"/>
      </w:r>
    </w:p>
    <w:p w14:paraId="1E364AE9">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"_Toc171670493" </w:instrText>
      </w:r>
      <w:r>
        <w:fldChar w:fldCharType="separate"/>
      </w:r>
      <w:r>
        <w:rPr>
          <w:rStyle w:val="11"/>
        </w:rPr>
        <w:t>二、绩效评价工作情况</w:t>
      </w:r>
      <w:r>
        <w:tab/>
      </w:r>
      <w:r>
        <w:fldChar w:fldCharType="begin"/>
      </w:r>
      <w:r>
        <w:instrText xml:space="preserve"> PAGEREF _Toc171670493 \h </w:instrText>
      </w:r>
      <w:r>
        <w:fldChar w:fldCharType="separate"/>
      </w:r>
      <w:r>
        <w:t>1</w:t>
      </w:r>
      <w:r>
        <w:fldChar w:fldCharType="end"/>
      </w:r>
      <w:r>
        <w:fldChar w:fldCharType="end"/>
      </w:r>
    </w:p>
    <w:p w14:paraId="2073B84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"_Toc171670494" </w:instrText>
      </w:r>
      <w:r>
        <w:fldChar w:fldCharType="separate"/>
      </w:r>
      <w:r>
        <w:rPr>
          <w:rStyle w:val="11"/>
        </w:rPr>
        <w:t>（一）绩效评价目的</w:t>
      </w:r>
      <w:r>
        <w:tab/>
      </w:r>
      <w:r>
        <w:fldChar w:fldCharType="begin"/>
      </w:r>
      <w:r>
        <w:instrText xml:space="preserve"> PAGEREF _Toc171670494 \h </w:instrText>
      </w:r>
      <w:r>
        <w:fldChar w:fldCharType="separate"/>
      </w:r>
      <w:r>
        <w:t>2</w:t>
      </w:r>
      <w:r>
        <w:fldChar w:fldCharType="end"/>
      </w:r>
      <w:r>
        <w:fldChar w:fldCharType="end"/>
      </w:r>
    </w:p>
    <w:p w14:paraId="6ABF2B7C">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"_Toc171670495" </w:instrText>
      </w:r>
      <w:r>
        <w:fldChar w:fldCharType="separate"/>
      </w:r>
      <w:r>
        <w:rPr>
          <w:rStyle w:val="11"/>
        </w:rPr>
        <w:t>（二）绩效评价的基本内容</w:t>
      </w:r>
      <w:r>
        <w:tab/>
      </w:r>
      <w:r>
        <w:fldChar w:fldCharType="begin"/>
      </w:r>
      <w:r>
        <w:instrText xml:space="preserve"> PAGEREF _Toc171670495 \h </w:instrText>
      </w:r>
      <w:r>
        <w:fldChar w:fldCharType="separate"/>
      </w:r>
      <w:r>
        <w:t>2</w:t>
      </w:r>
      <w:r>
        <w:fldChar w:fldCharType="end"/>
      </w:r>
      <w:r>
        <w:fldChar w:fldCharType="end"/>
      </w:r>
    </w:p>
    <w:p w14:paraId="57237B82">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"_Toc171670496" </w:instrText>
      </w:r>
      <w:r>
        <w:fldChar w:fldCharType="separate"/>
      </w:r>
      <w:r>
        <w:rPr>
          <w:rStyle w:val="11"/>
        </w:rPr>
        <w:t>（三）绩效评价依据</w:t>
      </w:r>
      <w:r>
        <w:tab/>
      </w:r>
      <w:r>
        <w:fldChar w:fldCharType="begin"/>
      </w:r>
      <w:r>
        <w:instrText xml:space="preserve"> PAGEREF _Toc171670496 \h </w:instrText>
      </w:r>
      <w:r>
        <w:fldChar w:fldCharType="separate"/>
      </w:r>
      <w:r>
        <w:t>2</w:t>
      </w:r>
      <w:r>
        <w:fldChar w:fldCharType="end"/>
      </w:r>
      <w:r>
        <w:fldChar w:fldCharType="end"/>
      </w:r>
    </w:p>
    <w:p w14:paraId="41B768B2">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"_Toc171670497" </w:instrText>
      </w:r>
      <w:r>
        <w:fldChar w:fldCharType="separate"/>
      </w:r>
      <w:r>
        <w:rPr>
          <w:rStyle w:val="11"/>
        </w:rPr>
        <w:t>（四）绩效评价原则和指标体系</w:t>
      </w:r>
      <w:r>
        <w:tab/>
      </w:r>
      <w:r>
        <w:fldChar w:fldCharType="begin"/>
      </w:r>
      <w:r>
        <w:instrText xml:space="preserve"> PAGEREF _Toc171670497 \h </w:instrText>
      </w:r>
      <w:r>
        <w:fldChar w:fldCharType="separate"/>
      </w:r>
      <w:r>
        <w:t>2</w:t>
      </w:r>
      <w:r>
        <w:fldChar w:fldCharType="end"/>
      </w:r>
      <w:r>
        <w:fldChar w:fldCharType="end"/>
      </w:r>
    </w:p>
    <w:p w14:paraId="7BB2DC4A">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"_Toc171670498" </w:instrText>
      </w:r>
      <w:r>
        <w:fldChar w:fldCharType="separate"/>
      </w:r>
      <w:r>
        <w:rPr>
          <w:rStyle w:val="11"/>
        </w:rPr>
        <w:t>（五）绩效评价标准和评价方法</w:t>
      </w:r>
      <w:r>
        <w:tab/>
      </w:r>
      <w:r>
        <w:fldChar w:fldCharType="begin"/>
      </w:r>
      <w:r>
        <w:instrText xml:space="preserve"> PAGEREF _Toc171670498 \h </w:instrText>
      </w:r>
      <w:r>
        <w:fldChar w:fldCharType="separate"/>
      </w:r>
      <w:r>
        <w:t>5</w:t>
      </w:r>
      <w:r>
        <w:fldChar w:fldCharType="end"/>
      </w:r>
      <w:r>
        <w:fldChar w:fldCharType="end"/>
      </w:r>
    </w:p>
    <w:p w14:paraId="428ED1AF">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"_Toc171670499" </w:instrText>
      </w:r>
      <w:r>
        <w:fldChar w:fldCharType="separate"/>
      </w:r>
      <w:r>
        <w:rPr>
          <w:rStyle w:val="11"/>
        </w:rPr>
        <w:t>（六）绩效评价工作过程</w:t>
      </w:r>
      <w:r>
        <w:tab/>
      </w:r>
      <w:r>
        <w:fldChar w:fldCharType="begin"/>
      </w:r>
      <w:r>
        <w:instrText xml:space="preserve"> PAGEREF _Toc171670499 \h </w:instrText>
      </w:r>
      <w:r>
        <w:fldChar w:fldCharType="separate"/>
      </w:r>
      <w:r>
        <w:t>5</w:t>
      </w:r>
      <w:r>
        <w:fldChar w:fldCharType="end"/>
      </w:r>
      <w:r>
        <w:fldChar w:fldCharType="end"/>
      </w:r>
    </w:p>
    <w:p w14:paraId="6A0CA51A">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"_Toc171670500" </w:instrText>
      </w:r>
      <w:r>
        <w:fldChar w:fldCharType="separate"/>
      </w:r>
      <w:r>
        <w:rPr>
          <w:rStyle w:val="11"/>
        </w:rPr>
        <w:t>三、项目评价结论</w:t>
      </w:r>
      <w:r>
        <w:tab/>
      </w:r>
      <w:r>
        <w:fldChar w:fldCharType="begin"/>
      </w:r>
      <w:r>
        <w:instrText xml:space="preserve"> PAGEREF _Toc171670500 \h </w:instrText>
      </w:r>
      <w:r>
        <w:fldChar w:fldCharType="separate"/>
      </w:r>
      <w:r>
        <w:t>6</w:t>
      </w:r>
      <w:r>
        <w:fldChar w:fldCharType="end"/>
      </w:r>
      <w:r>
        <w:fldChar w:fldCharType="end"/>
      </w:r>
    </w:p>
    <w:p w14:paraId="1760A964">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"_Toc171670501" </w:instrText>
      </w:r>
      <w:r>
        <w:fldChar w:fldCharType="separate"/>
      </w:r>
      <w:r>
        <w:rPr>
          <w:rStyle w:val="11"/>
        </w:rPr>
        <w:t>四、综合评价情况</w:t>
      </w:r>
      <w:r>
        <w:tab/>
      </w:r>
      <w:r>
        <w:fldChar w:fldCharType="begin"/>
      </w:r>
      <w:r>
        <w:instrText xml:space="preserve"> PAGEREF _Toc171670501 \h </w:instrText>
      </w:r>
      <w:r>
        <w:fldChar w:fldCharType="separate"/>
      </w:r>
      <w:r>
        <w:t>6</w:t>
      </w:r>
      <w:r>
        <w:fldChar w:fldCharType="end"/>
      </w:r>
      <w:r>
        <w:fldChar w:fldCharType="end"/>
      </w:r>
    </w:p>
    <w:p w14:paraId="675A266D">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"_Toc171670502" </w:instrText>
      </w:r>
      <w:r>
        <w:fldChar w:fldCharType="separate"/>
      </w:r>
      <w:r>
        <w:rPr>
          <w:rStyle w:val="11"/>
        </w:rPr>
        <w:t>（一）资金管理</w:t>
      </w:r>
      <w:r>
        <w:tab/>
      </w:r>
      <w:r>
        <w:fldChar w:fldCharType="begin"/>
      </w:r>
      <w:r>
        <w:instrText xml:space="preserve"> PAGEREF _Toc171670502 \h </w:instrText>
      </w:r>
      <w:r>
        <w:fldChar w:fldCharType="separate"/>
      </w:r>
      <w:r>
        <w:t>6</w:t>
      </w:r>
      <w:r>
        <w:fldChar w:fldCharType="end"/>
      </w:r>
      <w:r>
        <w:fldChar w:fldCharType="end"/>
      </w:r>
    </w:p>
    <w:p w14:paraId="37E37A0A">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"_Toc171670503" </w:instrText>
      </w:r>
      <w:r>
        <w:fldChar w:fldCharType="separate"/>
      </w:r>
      <w:r>
        <w:rPr>
          <w:rStyle w:val="11"/>
        </w:rPr>
        <w:t>（二）项目管理</w:t>
      </w:r>
      <w:r>
        <w:tab/>
      </w:r>
      <w:r>
        <w:fldChar w:fldCharType="begin"/>
      </w:r>
      <w:r>
        <w:instrText xml:space="preserve"> PAGEREF _Toc171670503 \h </w:instrText>
      </w:r>
      <w:r>
        <w:fldChar w:fldCharType="separate"/>
      </w:r>
      <w:r>
        <w:t>6</w:t>
      </w:r>
      <w:r>
        <w:fldChar w:fldCharType="end"/>
      </w:r>
      <w:r>
        <w:fldChar w:fldCharType="end"/>
      </w:r>
    </w:p>
    <w:p w14:paraId="5265A2F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"_Toc171670504" </w:instrText>
      </w:r>
      <w:r>
        <w:fldChar w:fldCharType="separate"/>
      </w:r>
      <w:r>
        <w:rPr>
          <w:rStyle w:val="11"/>
        </w:rPr>
        <w:t>（三）使用成效及通报情况</w:t>
      </w:r>
      <w:r>
        <w:tab/>
      </w:r>
      <w:r>
        <w:fldChar w:fldCharType="begin"/>
      </w:r>
      <w:r>
        <w:instrText xml:space="preserve"> PAGEREF _Toc171670504 \h </w:instrText>
      </w:r>
      <w:r>
        <w:fldChar w:fldCharType="separate"/>
      </w:r>
      <w:r>
        <w:t>7</w:t>
      </w:r>
      <w:r>
        <w:fldChar w:fldCharType="end"/>
      </w:r>
      <w:r>
        <w:fldChar w:fldCharType="end"/>
      </w:r>
    </w:p>
    <w:p w14:paraId="4DB9F5F0">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"_Toc171670505" </w:instrText>
      </w:r>
      <w:r>
        <w:fldChar w:fldCharType="separate"/>
      </w:r>
      <w:r>
        <w:rPr>
          <w:rStyle w:val="11"/>
        </w:rPr>
        <w:t>五、存在的问题和建议</w:t>
      </w:r>
      <w:r>
        <w:tab/>
      </w:r>
      <w:r>
        <w:fldChar w:fldCharType="begin"/>
      </w:r>
      <w:r>
        <w:instrText xml:space="preserve"> PAGEREF _Toc171670505 \h </w:instrText>
      </w:r>
      <w:r>
        <w:fldChar w:fldCharType="separate"/>
      </w:r>
      <w:r>
        <w:t>7</w:t>
      </w:r>
      <w:r>
        <w:fldChar w:fldCharType="end"/>
      </w:r>
      <w:r>
        <w:fldChar w:fldCharType="end"/>
      </w:r>
    </w:p>
    <w:p w14:paraId="489E166A">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"_Toc171670506" </w:instrText>
      </w:r>
      <w:r>
        <w:fldChar w:fldCharType="separate"/>
      </w:r>
      <w:r>
        <w:rPr>
          <w:rStyle w:val="11"/>
        </w:rPr>
        <w:t>（一）存在问题</w:t>
      </w:r>
      <w:r>
        <w:tab/>
      </w:r>
      <w:r>
        <w:fldChar w:fldCharType="begin"/>
      </w:r>
      <w:r>
        <w:instrText xml:space="preserve"> PAGEREF _Toc171670506 \h </w:instrText>
      </w:r>
      <w:r>
        <w:fldChar w:fldCharType="separate"/>
      </w:r>
      <w:r>
        <w:t>7</w:t>
      </w:r>
      <w:r>
        <w:fldChar w:fldCharType="end"/>
      </w:r>
      <w:r>
        <w:fldChar w:fldCharType="end"/>
      </w:r>
    </w:p>
    <w:p w14:paraId="7A700028">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"_Toc171670507" </w:instrText>
      </w:r>
      <w:r>
        <w:fldChar w:fldCharType="separate"/>
      </w:r>
      <w:r>
        <w:rPr>
          <w:rStyle w:val="11"/>
        </w:rPr>
        <w:t>（二）建议</w:t>
      </w:r>
      <w:r>
        <w:tab/>
      </w:r>
      <w:r>
        <w:fldChar w:fldCharType="begin"/>
      </w:r>
      <w:r>
        <w:instrText xml:space="preserve"> PAGEREF _Toc171670507 \h </w:instrText>
      </w:r>
      <w:r>
        <w:fldChar w:fldCharType="separate"/>
      </w:r>
      <w:r>
        <w:t>7</w:t>
      </w:r>
      <w:r>
        <w:fldChar w:fldCharType="end"/>
      </w:r>
      <w:r>
        <w:fldChar w:fldCharType="end"/>
      </w:r>
    </w:p>
    <w:p w14:paraId="71935A19">
      <w:pPr>
        <w:pStyle w:val="13"/>
        <w:spacing w:line="460" w:lineRule="exact"/>
        <w:rPr>
          <w:rFonts w:ascii="Arial Narrow" w:hAnsi="Arial Narrow" w:eastAsiaTheme="minorEastAsia"/>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0C776934">
      <w:pPr>
        <w:spacing w:line="360" w:lineRule="auto"/>
        <w:jc w:val="right"/>
        <w:rPr>
          <w:rFonts w:ascii="Arial Narrow" w:hAnsi="Arial Narrow" w:eastAsiaTheme="minorEastAsia"/>
          <w:bCs/>
          <w:w w:val="80"/>
          <w:sz w:val="28"/>
          <w:szCs w:val="28"/>
        </w:rPr>
      </w:pPr>
    </w:p>
    <w:p w14:paraId="4DE98EEE">
      <w:pPr>
        <w:spacing w:line="360" w:lineRule="auto"/>
        <w:jc w:val="right"/>
        <w:rPr>
          <w:rFonts w:ascii="Arial Narrow" w:hAnsi="Arial Narrow" w:eastAsiaTheme="minorEastAsia"/>
          <w:bCs/>
          <w:w w:val="80"/>
          <w:sz w:val="28"/>
          <w:szCs w:val="28"/>
        </w:rPr>
      </w:pPr>
    </w:p>
    <w:p w14:paraId="28D76818">
      <w:pPr>
        <w:widowControl/>
        <w:jc w:val="distribute"/>
        <w:rPr>
          <w:rFonts w:ascii="Arial Narrow" w:hAnsi="Arial Narrow" w:cs="楷体" w:eastAsiaTheme="minorEastAsia"/>
          <w:bCs/>
          <w:kern w:val="0"/>
          <w:sz w:val="28"/>
          <w:szCs w:val="28"/>
        </w:rPr>
      </w:pPr>
      <w:r>
        <w:rPr>
          <w:rFonts w:ascii="Arial Narrow" w:hAnsi="Arial Narrow" w:cs="楷体" w:eastAsiaTheme="minorEastAsia"/>
          <w:b/>
          <w:kern w:val="0"/>
          <w:sz w:val="72"/>
          <w:szCs w:val="72"/>
        </w:rPr>
        <w:t>重庆铭鸿金全会计师事务所</w:t>
      </w:r>
    </w:p>
    <w:p w14:paraId="21549BE8">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 xml:space="preserve">Chongqing </w:t>
      </w:r>
      <w:r>
        <w:rPr>
          <w:rFonts w:ascii="Arial Narrow" w:hAnsi="Arial Narrow" w:eastAsiaTheme="minorEastAsia"/>
          <w:b/>
          <w:kern w:val="0"/>
          <w:sz w:val="32"/>
          <w:szCs w:val="20"/>
        </w:rPr>
        <w:t>MingHong</w:t>
      </w:r>
      <w:r>
        <w:rPr>
          <w:rFonts w:ascii="Arial Narrow" w:hAnsi="Arial Narrow" w:eastAsiaTheme="minorEastAsia"/>
          <w:b/>
          <w:kern w:val="0"/>
          <w:sz w:val="32"/>
          <w:szCs w:val="20"/>
          <w:lang w:eastAsia="zh-TW"/>
        </w:rPr>
        <w:t xml:space="preserve"> </w:t>
      </w:r>
      <w:r>
        <w:rPr>
          <w:rFonts w:ascii="Arial Narrow" w:hAnsi="Arial Narrow" w:eastAsiaTheme="minorEastAsia"/>
          <w:b/>
          <w:kern w:val="0"/>
          <w:sz w:val="32"/>
          <w:szCs w:val="20"/>
        </w:rPr>
        <w:t>JinQuan</w:t>
      </w:r>
      <w:r>
        <w:rPr>
          <w:rFonts w:ascii="Arial Narrow" w:hAnsi="Arial Narrow" w:eastAsiaTheme="minorEastAsia"/>
          <w:b/>
          <w:kern w:val="0"/>
          <w:sz w:val="32"/>
          <w:szCs w:val="20"/>
          <w:lang w:eastAsia="zh-TW"/>
        </w:rPr>
        <w:t xml:space="preserve"> Certified Public Accountants</w:t>
      </w:r>
    </w:p>
    <w:p w14:paraId="464CA82A">
      <w:pPr>
        <w:spacing w:line="360" w:lineRule="auto"/>
        <w:jc w:val="center"/>
        <w:rPr>
          <w:rFonts w:ascii="Arial Narrow" w:hAnsi="Arial Narrow" w:eastAsiaTheme="minorEastAsia"/>
          <w:sz w:val="28"/>
          <w:szCs w:val="28"/>
        </w:rPr>
      </w:pPr>
      <w:r>
        <w:rPr>
          <w:rFonts w:ascii="Arial Narrow" w:hAnsi="Arial Narrow" w:eastAsiaTheme="minorEastAsia"/>
          <w:kern w:val="0"/>
          <w:sz w:val="28"/>
          <w:szCs w:val="28"/>
        </w:rPr>
        <w:t>铭</w:t>
      </w:r>
      <w:r>
        <w:rPr>
          <w:rFonts w:ascii="Arial Narrow" w:hAnsi="Arial Narrow" w:eastAsiaTheme="minorEastAsia"/>
          <w:sz w:val="28"/>
          <w:szCs w:val="28"/>
        </w:rPr>
        <w:t>鸿咨字〔2024〕第0037号</w:t>
      </w:r>
    </w:p>
    <w:p w14:paraId="1A073974">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3" w:name="_Hlk51614207"/>
      <w:r>
        <w:rPr>
          <w:rFonts w:hint="eastAsia" w:ascii="宋体" w:hAnsi="宋体" w:cs="宋体"/>
          <w:b/>
          <w:bCs/>
          <w:w w:val="94"/>
          <w:sz w:val="36"/>
          <w:szCs w:val="36"/>
        </w:rPr>
        <w:t>━</w:t>
      </w:r>
      <w:bookmarkEnd w:id="3"/>
    </w:p>
    <w:p w14:paraId="1AEFBE3F">
      <w:pPr>
        <w:adjustRightInd w:val="0"/>
        <w:snapToGrid w:val="0"/>
        <w:spacing w:line="360" w:lineRule="auto"/>
        <w:jc w:val="center"/>
        <w:rPr>
          <w:rFonts w:ascii="Arial Narrow" w:hAnsi="Arial Narrow" w:eastAsiaTheme="minorEastAsia"/>
          <w:b/>
          <w:sz w:val="36"/>
          <w:szCs w:val="36"/>
        </w:rPr>
      </w:pPr>
      <w:r>
        <w:rPr>
          <w:rStyle w:val="11"/>
          <w:rFonts w:ascii="Arial Narrow" w:hAnsi="Arial Narrow" w:eastAsiaTheme="minorEastAsia"/>
          <w:b/>
          <w:color w:val="auto"/>
          <w:sz w:val="36"/>
          <w:szCs w:val="36"/>
          <w:u w:val="none"/>
        </w:rPr>
        <w:t>重庆市铜梁区高楼镇2个项目</w:t>
      </w:r>
      <w:r>
        <w:rPr>
          <w:rFonts w:ascii="Arial Narrow" w:hAnsi="Arial Narrow" w:eastAsiaTheme="minorEastAsia"/>
          <w:b/>
          <w:sz w:val="36"/>
          <w:szCs w:val="36"/>
        </w:rPr>
        <w:t>绩效评价报告</w:t>
      </w:r>
    </w:p>
    <w:p w14:paraId="696CE76E">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为深入贯彻落实党的十九大</w:t>
      </w:r>
      <w:r>
        <w:rPr>
          <w:rFonts w:hint="eastAsia" w:ascii="仿宋" w:hAnsi="仿宋" w:eastAsia="仿宋" w:cs="仿宋"/>
          <w:color w:val="auto"/>
        </w:rPr>
        <w:t>“</w:t>
      </w:r>
      <w:r>
        <w:rPr>
          <w:rFonts w:ascii="Arial Narrow" w:hAnsi="Arial Narrow" w:eastAsiaTheme="minorEastAsia"/>
          <w:color w:val="auto"/>
        </w:rPr>
        <w:t>全面实施绩效管理</w:t>
      </w:r>
      <w:r>
        <w:rPr>
          <w:rFonts w:hint="eastAsia" w:ascii="仿宋" w:hAnsi="仿宋" w:eastAsia="仿宋" w:cs="仿宋"/>
          <w:color w:val="auto"/>
        </w:rPr>
        <w:t>”</w:t>
      </w:r>
      <w:r>
        <w:rPr>
          <w:rFonts w:ascii="Arial Narrow" w:hAnsi="Arial Narrow" w:eastAsiaTheme="minorEastAsia"/>
          <w:color w:val="auto"/>
        </w:rPr>
        <w:t>决策部署，进一步提高政府投入资金的使用效益，促进公共服务资源的优化配置，根据《中华人民共和国预算法》、《项目支出绩效评价管理办法》（财预〔2020〕10号）</w:t>
      </w:r>
      <w:r>
        <w:rPr>
          <w:rFonts w:hint="eastAsia" w:ascii="Arial Narrow" w:hAnsi="Arial Narrow" w:eastAsiaTheme="minorEastAsia"/>
          <w:color w:val="auto"/>
          <w:lang w:eastAsia="zh-CN"/>
        </w:rPr>
        <w:t>、</w:t>
      </w:r>
      <w:r>
        <w:rPr>
          <w:rFonts w:ascii="Arial Narrow" w:hAnsi="Arial Narrow" w:eastAsiaTheme="minorEastAsia"/>
          <w:color w:val="auto"/>
        </w:rPr>
        <w:t>《重庆市市级政策和项目预算绩效管理办法（试行）》（渝财绩〔2019〕19号），受重庆市铜梁区财政局（以下简称</w:t>
      </w:r>
      <w:r>
        <w:rPr>
          <w:rFonts w:hint="eastAsia" w:ascii="仿宋" w:hAnsi="仿宋" w:eastAsia="仿宋" w:cs="仿宋"/>
          <w:color w:val="auto"/>
        </w:rPr>
        <w:t>“</w:t>
      </w:r>
      <w:r>
        <w:rPr>
          <w:rFonts w:ascii="Arial Narrow" w:hAnsi="Arial Narrow" w:eastAsiaTheme="minorEastAsia"/>
          <w:color w:val="auto"/>
        </w:rPr>
        <w:t>财政局</w:t>
      </w:r>
      <w:r>
        <w:rPr>
          <w:rFonts w:hint="eastAsia" w:ascii="仿宋" w:hAnsi="仿宋" w:eastAsia="仿宋" w:cs="仿宋"/>
          <w:color w:val="auto"/>
        </w:rPr>
        <w:t>”</w:t>
      </w:r>
      <w:r>
        <w:rPr>
          <w:rFonts w:ascii="Arial Narrow" w:hAnsi="Arial Narrow" w:eastAsiaTheme="minorEastAsia"/>
          <w:color w:val="auto"/>
        </w:rPr>
        <w:t>）的委托，我们对重庆市铜梁区高楼镇2个项目进行绩效评价，现将评价情况报告如下：</w:t>
      </w:r>
    </w:p>
    <w:p w14:paraId="4B518968">
      <w:pPr>
        <w:spacing w:before="240" w:beforeLines="100" w:line="360" w:lineRule="auto"/>
        <w:ind w:firstLine="482" w:firstLineChars="200"/>
        <w:jc w:val="left"/>
        <w:outlineLvl w:val="0"/>
        <w:rPr>
          <w:rFonts w:ascii="Arial Narrow" w:hAnsi="Arial Narrow" w:eastAsiaTheme="minorEastAsia"/>
          <w:b/>
          <w:sz w:val="24"/>
        </w:rPr>
      </w:pPr>
      <w:bookmarkStart w:id="4" w:name="_Toc171670491"/>
      <w:r>
        <w:rPr>
          <w:rFonts w:ascii="Arial Narrow" w:hAnsi="Arial Narrow" w:eastAsiaTheme="minorEastAsia"/>
          <w:b/>
          <w:sz w:val="24"/>
        </w:rPr>
        <w:t>一、基本情况</w:t>
      </w:r>
      <w:bookmarkEnd w:id="4"/>
    </w:p>
    <w:p w14:paraId="55F5D1E4">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5" w:name="_Toc171670492"/>
      <w:r>
        <w:rPr>
          <w:rFonts w:ascii="Arial Narrow" w:hAnsi="Arial Narrow" w:cs="宋体" w:eastAsiaTheme="minorEastAsia"/>
          <w:b/>
          <w:bCs/>
          <w:kern w:val="0"/>
          <w:sz w:val="24"/>
        </w:rPr>
        <w:t>（一）项目情况</w:t>
      </w:r>
      <w:bookmarkEnd w:id="5"/>
    </w:p>
    <w:p w14:paraId="0CAB4FFA">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1</w:t>
      </w:r>
      <w:r>
        <w:rPr>
          <w:rFonts w:hint="eastAsia" w:ascii="Arial Narrow" w:hAnsi="Arial Narrow" w:cs="宋体" w:eastAsiaTheme="minorEastAsia"/>
          <w:kern w:val="0"/>
          <w:sz w:val="24"/>
        </w:rPr>
        <w:t>.</w:t>
      </w:r>
      <w:r>
        <w:rPr>
          <w:rFonts w:ascii="Arial Narrow" w:hAnsi="Arial Narrow" w:cs="宋体" w:eastAsiaTheme="minorEastAsia"/>
          <w:kern w:val="0"/>
          <w:sz w:val="24"/>
        </w:rPr>
        <w:t>高楼镇涪江村柑橘园建设项目</w:t>
      </w:r>
    </w:p>
    <w:p w14:paraId="3CB534FB">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实施单位：重庆市铜梁区高楼镇涪江村股份经济合作联合社</w:t>
      </w:r>
    </w:p>
    <w:p w14:paraId="258579F5">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项目内容：建设保鲜库1座403.2立方米、选果房424平方米、气泡清洗机、皮筋分选机、枝条粉碎机、手动叉车、农用管理房18平方米（含地基平整)、农用工具房18平方米(含地基平整)。</w:t>
      </w:r>
    </w:p>
    <w:p w14:paraId="54427105">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项目资金安排情况：该项目2023年计划投入50万元，实际支付50万元，全部为上级专项资金50万元。</w:t>
      </w:r>
    </w:p>
    <w:p w14:paraId="183D482A">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2</w:t>
      </w:r>
      <w:bookmarkStart w:id="6" w:name="_Hlk170742469"/>
      <w:r>
        <w:rPr>
          <w:rFonts w:hint="eastAsia" w:ascii="Arial Narrow" w:hAnsi="Arial Narrow" w:cs="宋体" w:eastAsiaTheme="minorEastAsia"/>
          <w:kern w:val="0"/>
          <w:sz w:val="24"/>
        </w:rPr>
        <w:t>.</w:t>
      </w:r>
      <w:r>
        <w:rPr>
          <w:rFonts w:ascii="Arial Narrow" w:hAnsi="Arial Narrow" w:cs="宋体" w:eastAsiaTheme="minorEastAsia"/>
          <w:kern w:val="0"/>
          <w:sz w:val="24"/>
        </w:rPr>
        <w:t>高楼镇高楼村黑鸡原种场建设项目</w:t>
      </w:r>
    </w:p>
    <w:bookmarkEnd w:id="6"/>
    <w:p w14:paraId="46BC16B8">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实施单位：重庆市铜梁区高楼镇高楼村股份经济合作联合社</w:t>
      </w:r>
    </w:p>
    <w:p w14:paraId="4AF15431">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项目内容：原种场内其中1幢生产养殖棚舍自动化肉种鸡养殖成套设备采购。</w:t>
      </w:r>
    </w:p>
    <w:p w14:paraId="32AA66F4">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项目资金安排情况：该项目2023年计划投入50万元，实际投入50万元，全部为上级专项资金50万元。</w:t>
      </w:r>
    </w:p>
    <w:p w14:paraId="17CEA2B2">
      <w:pPr>
        <w:spacing w:line="360" w:lineRule="auto"/>
        <w:ind w:firstLine="482" w:firstLineChars="200"/>
        <w:jc w:val="left"/>
        <w:outlineLvl w:val="0"/>
        <w:rPr>
          <w:rFonts w:ascii="Arial Narrow" w:hAnsi="Arial Narrow" w:eastAsiaTheme="minorEastAsia"/>
          <w:b/>
          <w:sz w:val="24"/>
        </w:rPr>
      </w:pPr>
      <w:bookmarkStart w:id="7" w:name="_Toc171670493"/>
      <w:r>
        <w:rPr>
          <w:rFonts w:ascii="Arial Narrow" w:hAnsi="Arial Narrow" w:eastAsiaTheme="minorEastAsia"/>
          <w:b/>
          <w:sz w:val="24"/>
        </w:rPr>
        <w:t>二、绩效评价工作情况</w:t>
      </w:r>
      <w:bookmarkEnd w:id="7"/>
    </w:p>
    <w:p w14:paraId="42E73E05">
      <w:pPr>
        <w:spacing w:line="360" w:lineRule="auto"/>
        <w:ind w:firstLine="482" w:firstLineChars="200"/>
        <w:jc w:val="left"/>
        <w:outlineLvl w:val="0"/>
        <w:rPr>
          <w:rFonts w:ascii="Arial Narrow" w:hAnsi="Arial Narrow" w:eastAsiaTheme="minorEastAsia"/>
          <w:b/>
          <w:sz w:val="24"/>
        </w:rPr>
      </w:pPr>
      <w:bookmarkStart w:id="8" w:name="_Toc171670494"/>
      <w:bookmarkStart w:id="9" w:name="_Toc513775099"/>
      <w:r>
        <w:rPr>
          <w:rFonts w:ascii="Arial Narrow" w:hAnsi="Arial Narrow" w:eastAsiaTheme="minorEastAsia"/>
          <w:b/>
          <w:sz w:val="24"/>
        </w:rPr>
        <w:t>（一）绩效评价目的</w:t>
      </w:r>
      <w:bookmarkEnd w:id="8"/>
      <w:bookmarkEnd w:id="9"/>
    </w:p>
    <w:p w14:paraId="640EA7A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6784C0C4">
      <w:pPr>
        <w:spacing w:line="360" w:lineRule="auto"/>
        <w:ind w:firstLine="482" w:firstLineChars="200"/>
        <w:jc w:val="left"/>
        <w:outlineLvl w:val="0"/>
        <w:rPr>
          <w:rFonts w:ascii="Arial Narrow" w:hAnsi="Arial Narrow" w:eastAsiaTheme="minorEastAsia"/>
          <w:b/>
          <w:sz w:val="24"/>
        </w:rPr>
      </w:pPr>
      <w:bookmarkStart w:id="10" w:name="_Toc171670495"/>
      <w:bookmarkStart w:id="11" w:name="_Toc513775100"/>
      <w:r>
        <w:rPr>
          <w:rFonts w:ascii="Arial Narrow" w:hAnsi="Arial Narrow" w:eastAsiaTheme="minorEastAsia"/>
          <w:b/>
          <w:sz w:val="24"/>
        </w:rPr>
        <w:t>（二）绩效评价的基本内容</w:t>
      </w:r>
      <w:bookmarkEnd w:id="10"/>
    </w:p>
    <w:p w14:paraId="0091481E">
      <w:pPr>
        <w:pStyle w:val="14"/>
        <w:spacing w:line="360" w:lineRule="auto"/>
        <w:ind w:firstLine="480" w:firstLineChars="200"/>
        <w:rPr>
          <w:rFonts w:ascii="Arial Narrow" w:hAnsi="Arial Narrow" w:eastAsiaTheme="minorEastAsia"/>
          <w:color w:val="auto"/>
        </w:rPr>
      </w:pPr>
      <w:bookmarkStart w:id="12" w:name="_Toc166332968"/>
      <w:r>
        <w:rPr>
          <w:rFonts w:ascii="Arial Narrow" w:hAnsi="Arial Narrow" w:eastAsiaTheme="minorEastAsia"/>
          <w:color w:val="auto"/>
        </w:rPr>
        <w:t>1</w:t>
      </w:r>
      <w:r>
        <w:rPr>
          <w:rFonts w:hint="eastAsia" w:ascii="Arial Narrow" w:hAnsi="Arial Narrow" w:eastAsiaTheme="minorEastAsia"/>
          <w:color w:val="auto"/>
        </w:rPr>
        <w:t>.</w:t>
      </w:r>
      <w:r>
        <w:rPr>
          <w:rFonts w:ascii="Arial Narrow" w:hAnsi="Arial Narrow" w:eastAsiaTheme="minorEastAsia"/>
          <w:color w:val="auto"/>
        </w:rPr>
        <w:t>绩效目标的设定情况；</w:t>
      </w:r>
    </w:p>
    <w:p w14:paraId="3404949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w:t>
      </w:r>
      <w:r>
        <w:rPr>
          <w:rFonts w:hint="eastAsia" w:ascii="Arial Narrow" w:hAnsi="Arial Narrow" w:eastAsiaTheme="minorEastAsia"/>
          <w:color w:val="auto"/>
        </w:rPr>
        <w:t>.</w:t>
      </w:r>
      <w:r>
        <w:rPr>
          <w:rFonts w:ascii="Arial Narrow" w:hAnsi="Arial Narrow" w:eastAsiaTheme="minorEastAsia"/>
          <w:color w:val="auto"/>
        </w:rPr>
        <w:t>资金投入和使用情况；</w:t>
      </w:r>
    </w:p>
    <w:p w14:paraId="3FCD591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w:t>
      </w:r>
      <w:r>
        <w:rPr>
          <w:rFonts w:hint="eastAsia" w:ascii="Arial Narrow" w:hAnsi="Arial Narrow" w:eastAsiaTheme="minorEastAsia"/>
          <w:color w:val="auto"/>
        </w:rPr>
        <w:t>.</w:t>
      </w:r>
      <w:r>
        <w:rPr>
          <w:rFonts w:ascii="Arial Narrow" w:hAnsi="Arial Narrow" w:eastAsiaTheme="minorEastAsia"/>
          <w:color w:val="auto"/>
        </w:rPr>
        <w:t>为实现绩效目标制定的制度、采取的措施等；</w:t>
      </w:r>
    </w:p>
    <w:p w14:paraId="4B008B2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w:t>
      </w:r>
      <w:r>
        <w:rPr>
          <w:rFonts w:hint="eastAsia" w:ascii="Arial Narrow" w:hAnsi="Arial Narrow" w:eastAsiaTheme="minorEastAsia"/>
          <w:color w:val="auto"/>
        </w:rPr>
        <w:t>.</w:t>
      </w:r>
      <w:r>
        <w:rPr>
          <w:rFonts w:ascii="Arial Narrow" w:hAnsi="Arial Narrow" w:eastAsiaTheme="minorEastAsia"/>
          <w:color w:val="auto"/>
        </w:rPr>
        <w:t>绩效目标的实现程度及效果；</w:t>
      </w:r>
    </w:p>
    <w:p w14:paraId="1BA603B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w:t>
      </w:r>
      <w:r>
        <w:rPr>
          <w:rFonts w:hint="eastAsia" w:ascii="Arial Narrow" w:hAnsi="Arial Narrow" w:eastAsiaTheme="minorEastAsia"/>
          <w:color w:val="auto"/>
        </w:rPr>
        <w:t>.</w:t>
      </w:r>
      <w:r>
        <w:rPr>
          <w:rFonts w:ascii="Arial Narrow" w:hAnsi="Arial Narrow" w:eastAsiaTheme="minorEastAsia"/>
          <w:color w:val="auto"/>
        </w:rPr>
        <w:t>根据实际情况需要评价的其他内容。</w:t>
      </w:r>
    </w:p>
    <w:p w14:paraId="7FD8125A">
      <w:pPr>
        <w:spacing w:line="360" w:lineRule="auto"/>
        <w:ind w:firstLine="482" w:firstLineChars="200"/>
        <w:jc w:val="left"/>
        <w:outlineLvl w:val="0"/>
        <w:rPr>
          <w:rFonts w:ascii="Arial Narrow" w:hAnsi="Arial Narrow" w:eastAsiaTheme="minorEastAsia"/>
          <w:b/>
          <w:sz w:val="24"/>
        </w:rPr>
      </w:pPr>
      <w:bookmarkStart w:id="13" w:name="_Toc171670496"/>
      <w:r>
        <w:rPr>
          <w:rFonts w:ascii="Arial Narrow" w:hAnsi="Arial Narrow" w:eastAsiaTheme="minorEastAsia"/>
          <w:b/>
          <w:sz w:val="24"/>
        </w:rPr>
        <w:t>（三）绩效评价依据</w:t>
      </w:r>
      <w:bookmarkEnd w:id="11"/>
      <w:bookmarkEnd w:id="12"/>
      <w:bookmarkEnd w:id="13"/>
      <w:bookmarkStart w:id="14" w:name="_Toc335040595"/>
    </w:p>
    <w:bookmarkEnd w:id="14"/>
    <w:p w14:paraId="7775D52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1.《重庆市铜梁区财政衔接推进乡村振兴补助资金绩效评价及考核办法》的通知（铜财〔2022〕678号）</w:t>
      </w:r>
    </w:p>
    <w:p w14:paraId="4379668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2.《重庆市铜梁区财政局关于开展2023年度项目财政重点绩效评价的通知》（铜财〔2024〕237号）</w:t>
      </w:r>
    </w:p>
    <w:p w14:paraId="040A48BA">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3.《重庆市财政衔接推进乡村振兴补助资金绩效评价及考核办法》（渝财农〔2022〕2号</w:t>
      </w:r>
      <w:r>
        <w:rPr>
          <w:rFonts w:hint="eastAsia" w:ascii="Arial Narrow" w:hAnsi="Arial Narrow" w:eastAsiaTheme="minorEastAsia"/>
          <w:color w:val="auto"/>
          <w:lang w:eastAsia="zh-CN"/>
        </w:rPr>
        <w:t>）</w:t>
      </w:r>
    </w:p>
    <w:p w14:paraId="4969E11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4.《铜梁区区级政策和项目预算绩效管理办法</w:t>
      </w:r>
      <w:r>
        <w:rPr>
          <w:rFonts w:hint="eastAsia" w:ascii="Arial Narrow" w:hAnsi="Arial Narrow" w:eastAsiaTheme="minorEastAsia"/>
          <w:color w:val="auto"/>
          <w:lang w:eastAsia="zh-CN"/>
        </w:rPr>
        <w:t>（</w:t>
      </w:r>
      <w:r>
        <w:rPr>
          <w:rFonts w:ascii="Arial Narrow" w:hAnsi="Arial Narrow" w:eastAsiaTheme="minorEastAsia"/>
          <w:color w:val="auto"/>
        </w:rPr>
        <w:t>试行</w:t>
      </w:r>
      <w:r>
        <w:rPr>
          <w:rFonts w:hint="eastAsia" w:ascii="Arial Narrow" w:hAnsi="Arial Narrow" w:eastAsiaTheme="minorEastAsia"/>
          <w:color w:val="auto"/>
          <w:lang w:eastAsia="zh-CN"/>
        </w:rPr>
        <w:t>）</w:t>
      </w:r>
      <w:r>
        <w:rPr>
          <w:rFonts w:ascii="Arial Narrow" w:hAnsi="Arial Narrow" w:eastAsiaTheme="minorEastAsia"/>
          <w:color w:val="auto"/>
        </w:rPr>
        <w:t>》（铜财〔2022〕41号）</w:t>
      </w:r>
    </w:p>
    <w:p w14:paraId="0E6A53C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5.《重庆市财政局等6部门关于加强财政衔接推进乡村振兴补助资金使用管理的实施意见》（渝财农〔2022〕73号）</w:t>
      </w:r>
    </w:p>
    <w:p w14:paraId="0AD4E9B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6.《铜梁区巩固拓展脱贫攻坚成果和衔接乡村振兴项目库建设管理实施细则》（铜乡振〔2021〕7号）</w:t>
      </w:r>
    </w:p>
    <w:p w14:paraId="524400C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7.《铜梁区财政衔接推进乡村振兴补助资金项目公告公示实施办法》（铜委农办〔2021〕19号）</w:t>
      </w:r>
    </w:p>
    <w:p w14:paraId="347821F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8.《项目支出绩效评价管理办法》（财预〔2020〕10号）</w:t>
      </w:r>
    </w:p>
    <w:p w14:paraId="2B4AC71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9.《重庆市市级政策和项目预算绩效管理办法》（渝财绩〔2019〕19号）</w:t>
      </w:r>
    </w:p>
    <w:p w14:paraId="3EA2F3D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10.《会计师事务所财政支出绩效评价业务指引》（注协</w:t>
      </w:r>
      <w:bookmarkStart w:id="15" w:name="_Hlk162597612"/>
      <w:r>
        <w:rPr>
          <w:rFonts w:ascii="Arial Narrow" w:hAnsi="Arial Narrow" w:eastAsiaTheme="minorEastAsia"/>
          <w:color w:val="auto"/>
        </w:rPr>
        <w:t>〔2016〕</w:t>
      </w:r>
      <w:bookmarkEnd w:id="15"/>
      <w:r>
        <w:rPr>
          <w:rFonts w:ascii="Arial Narrow" w:hAnsi="Arial Narrow" w:eastAsiaTheme="minorEastAsia"/>
          <w:color w:val="auto"/>
        </w:rPr>
        <w:t>10号）</w:t>
      </w:r>
    </w:p>
    <w:p w14:paraId="40ADFC2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11.评价工作人员通过现场调查、核实等获得的资料等</w:t>
      </w:r>
    </w:p>
    <w:p w14:paraId="5951C2FE">
      <w:pPr>
        <w:spacing w:line="360" w:lineRule="auto"/>
        <w:ind w:firstLine="482" w:firstLineChars="200"/>
        <w:jc w:val="left"/>
        <w:outlineLvl w:val="0"/>
        <w:rPr>
          <w:rFonts w:ascii="Arial Narrow" w:hAnsi="Arial Narrow" w:eastAsiaTheme="minorEastAsia"/>
          <w:b/>
          <w:sz w:val="24"/>
        </w:rPr>
      </w:pPr>
      <w:bookmarkStart w:id="16" w:name="_Toc171670497"/>
      <w:r>
        <w:rPr>
          <w:rFonts w:ascii="Arial Narrow" w:hAnsi="Arial Narrow" w:eastAsiaTheme="minorEastAsia"/>
          <w:b/>
          <w:sz w:val="24"/>
        </w:rPr>
        <w:t>（四）绩效评价原则和指标体系</w:t>
      </w:r>
      <w:bookmarkEnd w:id="16"/>
    </w:p>
    <w:p w14:paraId="036EACD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1.绩效评价主要遵循以下原则：</w:t>
      </w:r>
    </w:p>
    <w:p w14:paraId="18FF268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（1）相关性原则。应当与绩效目标有直接的联系，能够恰当反映目标的实现程度。</w:t>
      </w:r>
    </w:p>
    <w:p w14:paraId="0C690B8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（2）重要性原则。应当优先使用最具评价对象代表性、最能反映评价要求的核心指标。</w:t>
      </w:r>
    </w:p>
    <w:p w14:paraId="3308ED5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（3）可比性原则。对同类评价对象要设定共性的绩效评价指标，以便于评价结果可以相互比较。</w:t>
      </w:r>
    </w:p>
    <w:p w14:paraId="46FD27F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（4）系统性原则。应当将定量指标与定性指标相结合，系统反映财政支出所产生的社会效益和可持续影响等。</w:t>
      </w:r>
    </w:p>
    <w:p w14:paraId="7C9F5F4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（5）经济性原则。应当通俗易懂、简便易行，数据的获得应当考虑现实条件和可操作性，符合成本效益原则。</w:t>
      </w:r>
    </w:p>
    <w:p w14:paraId="52D13C5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2.绩效评价指标体系</w:t>
      </w:r>
    </w:p>
    <w:p w14:paraId="611B94FF">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根据《重庆市铜梁区财政衔接推进乡村振兴补助资金绩效评价及考核办法》的通知（铜财〔2022〕678号</w:t>
      </w:r>
      <w:r>
        <w:rPr>
          <w:rFonts w:hint="eastAsia" w:ascii="Arial Narrow" w:hAnsi="Arial Narrow" w:eastAsiaTheme="minorEastAsia"/>
          <w:color w:val="auto"/>
          <w:lang w:eastAsia="zh-CN"/>
        </w:rPr>
        <w:t>）</w:t>
      </w:r>
      <w:r>
        <w:rPr>
          <w:rFonts w:ascii="Arial Narrow" w:hAnsi="Arial Narrow" w:eastAsiaTheme="minorEastAsia"/>
          <w:color w:val="auto"/>
        </w:rPr>
        <w:t>，本次绩效评价及考核指标体系如下：</w:t>
      </w:r>
    </w:p>
    <w:p w14:paraId="70015C30">
      <w:pPr>
        <w:pStyle w:val="14"/>
        <w:spacing w:line="360" w:lineRule="auto"/>
        <w:ind w:firstLine="482" w:firstLineChars="200"/>
        <w:jc w:val="center"/>
        <w:rPr>
          <w:rFonts w:ascii="Arial Narrow" w:hAnsi="Arial Narrow" w:eastAsiaTheme="minorEastAsia"/>
          <w:b/>
          <w:bCs/>
          <w:color w:val="auto"/>
        </w:rPr>
      </w:pPr>
      <w:r>
        <w:rPr>
          <w:rFonts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7284257A">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D333E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318D4E5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7FE0CA1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0005C5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4E60906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20AF298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评价标准</w:t>
            </w:r>
          </w:p>
        </w:tc>
      </w:tr>
      <w:tr w14:paraId="67069E24">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EF4E74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71B2FC6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5B0DA04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49FEC8C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437296D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05EA289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资金使用方向符合文件规定（2分）。</w:t>
            </w:r>
          </w:p>
        </w:tc>
      </w:tr>
      <w:tr w14:paraId="1B1C35CD">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28240A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6107C17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484B4B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0724F88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4F18ACC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21CEC19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区财政局下达资金文件时间到区级业务主管部门下达项目及资金计划文件时间间隔≤30日（3分）。</w:t>
            </w:r>
          </w:p>
        </w:tc>
      </w:tr>
      <w:tr w14:paraId="6789586E">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26A64A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7C661E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62E0CAA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6B9418A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nil"/>
              <w:right w:val="nil"/>
            </w:tcBorders>
            <w:shd w:val="clear" w:color="auto" w:fill="auto"/>
            <w:vAlign w:val="center"/>
          </w:tcPr>
          <w:p w14:paraId="1770759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评价落实《铜梁区巩固拓展脱贫攻坚成果和衔接乡村振兴项目库建设管理实施细则》（铜乡振〔2021〕7号）落实情况。根据抽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62DA0B7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1.项目入库及时充分、程序规范、内容完整（3分）；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2.入库项目具备实施条件（2分）；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3.衔接资金用于项目库之外的项目（-5分）。</w:t>
            </w:r>
          </w:p>
        </w:tc>
      </w:tr>
      <w:tr w14:paraId="5303DD1E">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C2837F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5B663377">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934368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0501E8C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7904090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ECC767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1.及时制定绩效目标、审核绩效目标（2分）；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2.开展绩效监控不少于1次（2分）；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3.对绩效目标偏离项目采取纠偏措施（2分）；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4.项目实施完毕后立即开展绩效自评，并形成绩效自评报告及绩效自评表。（2分）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5.项目绩效是否达到预期。（2分）</w:t>
            </w:r>
          </w:p>
        </w:tc>
      </w:tr>
      <w:tr w14:paraId="42DAA3BE">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817978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260C1E15">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329AA5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371CAEA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2F92C5F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5F22B38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1.项目实施方法存在变更是否按规定报批；（1分）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2.是否定期对项目实施情况进行监督检查，对检查中发现的问题进行整改；（2分）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3.是否按照项目实施节点按时提交项目报账资料；（1分）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4.日常管理资料是否及时归档整理；（1分）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5.项目完工后是否在规定时间内进行验收。（1分）</w:t>
            </w:r>
          </w:p>
        </w:tc>
      </w:tr>
      <w:tr w14:paraId="17003900">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793E9B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528145AB">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4F0B6C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354D33C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25A4BC0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509A895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1.主要通过支出进度评价有序推进项目工作和资金支付情况，于7月末、10月中旬定期调度。</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1.7月末支出进度评分4分。资金支出进度达到全区平均进度或者序时进度的，得满分；未达到的按照与序时进度的比例扣分；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2.10月中旬支出进度评分4分。资金支出进度达到全区平均进度或者序时进度的，得满分；未达到的按照与序时进度的比例扣分；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27116D7D">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F8684F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5283DEA4">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EB767A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41C6724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5FA7A63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评价定期开展监督检查情况、发现问题整改情况。根据未处理问题比例扣减。根据抽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46C1966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1.定期开展项目实施和资金支出进度等跟踪督促情况，落实到位的得2分，未完全落实到位的酌情扣分；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2.跟踪督促及各类检查发现问题整改到位情况，满分5分，根据未整改问题比例扣减；</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3.全国12317防止返贫监测和乡村振兴咨询服务平台（简称12317平台）反馈问题处理情况，满分1分。</w:t>
            </w:r>
          </w:p>
        </w:tc>
      </w:tr>
      <w:tr w14:paraId="3196C762">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9863A8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551CBCD1">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176CBB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27F090D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4BC7440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D54708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1.财务处理是否规范，原始凭证是否齐全，建成资产是否及时转固、收益管理是否合规；（4分）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2.档案管理是否完整、合规、真实。（1分）</w:t>
            </w:r>
          </w:p>
        </w:tc>
      </w:tr>
      <w:tr w14:paraId="3BFBE769">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3EF503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131CDAAA">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7CF325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3B05B2D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723CBCC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评价区级、镇级、村级落实《铜梁区财政衔接推进乡村振兴补助资金项目公告公示实施办法》（铜委农办〔2021〕19号）文件要求情况。根据抽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515F4C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分区级、镇级、村级进行评价。</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1.抽查区级公示公开情况，满分3分，未完整公开酌情扣分；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2.抽查镇级公示公开情况，满分3分，未完整公开酌情扣分；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3.抽查村级公示公开情况，满分3分，未完整公开酌情扣分。</w:t>
            </w:r>
          </w:p>
        </w:tc>
      </w:tr>
      <w:tr w14:paraId="0A40FB9D">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CC9B33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334EA2F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2A3FC60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3511E18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3223735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58885C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满分35分，根据抽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项目情况赋分。项目管理各环节，每存在一例不符合相关规定的，扣0.5分，扣完为止。</w:t>
            </w:r>
          </w:p>
        </w:tc>
      </w:tr>
      <w:tr w14:paraId="7974535F">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33EC1D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68D66900">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E3B726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12D61FB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7800E52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4865F42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66A5D2C2">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7DE866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0CDE823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49AA3A4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303A47D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401956C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1E44A6D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1.在财政衔接资金分配、使用、监管等方面存在机制创新；（2分）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2.国家、市级对我区财政衔接资金绩效评价中，被财政部、国家乡村振兴局及其第三方总结经验做法，并调研推广的。（3分）</w:t>
            </w:r>
          </w:p>
        </w:tc>
      </w:tr>
      <w:tr w14:paraId="345DE8F5">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C7BD5A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26611072">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8A0B3B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67F29B1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2FE705D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00DD4EC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考核材料、数据中存在虚假信息的，或经有关部门监督检查发现问题的，视情节严重程度扣1-10分。</w:t>
            </w:r>
          </w:p>
        </w:tc>
      </w:tr>
    </w:tbl>
    <w:p w14:paraId="52EEFA5D">
      <w:pPr>
        <w:spacing w:before="120" w:beforeLines="50" w:line="360" w:lineRule="auto"/>
        <w:ind w:firstLine="482" w:firstLineChars="200"/>
        <w:jc w:val="left"/>
        <w:outlineLvl w:val="0"/>
        <w:rPr>
          <w:rFonts w:ascii="Arial Narrow" w:hAnsi="Arial Narrow" w:eastAsiaTheme="minorEastAsia"/>
          <w:b/>
          <w:sz w:val="24"/>
        </w:rPr>
      </w:pPr>
      <w:bookmarkStart w:id="17" w:name="_Toc171670498"/>
      <w:r>
        <w:rPr>
          <w:rFonts w:ascii="Arial Narrow" w:hAnsi="Arial Narrow" w:eastAsiaTheme="minorEastAsia"/>
          <w:b/>
          <w:sz w:val="24"/>
        </w:rPr>
        <w:t>（五）绩效评价标准和评价方法</w:t>
      </w:r>
      <w:bookmarkEnd w:id="17"/>
    </w:p>
    <w:p w14:paraId="5022798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1.绩效评价标准</w:t>
      </w:r>
    </w:p>
    <w:p w14:paraId="40E0B73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绩效评价标准采用定量评分，满分为100分。指标分值我们是根据确定的指标内容及项目实施的具体情况综合分析确定的，详见附件。</w:t>
      </w:r>
    </w:p>
    <w:p w14:paraId="510BD4F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绩效评价结果分为优（得分</w:t>
      </w:r>
      <w:bookmarkStart w:id="18" w:name="_Hlk162596803"/>
      <w:r>
        <w:rPr>
          <w:rFonts w:ascii="Arial Narrow" w:hAnsi="Arial Narrow" w:eastAsiaTheme="minorEastAsia"/>
          <w:color w:val="auto"/>
        </w:rPr>
        <w:t>≥90</w:t>
      </w:r>
      <w:bookmarkEnd w:id="18"/>
      <w:r>
        <w:rPr>
          <w:rFonts w:ascii="Arial Narrow" w:hAnsi="Arial Narrow" w:eastAsiaTheme="minorEastAsia"/>
          <w:color w:val="auto"/>
        </w:rPr>
        <w:t>）、良</w:t>
      </w:r>
      <w:bookmarkStart w:id="19" w:name="_Hlk168473502"/>
      <w:r>
        <w:rPr>
          <w:rFonts w:ascii="Arial Narrow" w:hAnsi="Arial Narrow" w:eastAsiaTheme="minorEastAsia"/>
          <w:color w:val="auto"/>
        </w:rPr>
        <w:t>（90＞得分≥80）</w:t>
      </w:r>
      <w:bookmarkEnd w:id="19"/>
      <w:r>
        <w:rPr>
          <w:rFonts w:ascii="Arial Narrow" w:hAnsi="Arial Narrow" w:eastAsiaTheme="minorEastAsia"/>
          <w:color w:val="auto"/>
        </w:rPr>
        <w:t>、中（80＞得分≥60）、差（得分＜60）四个等级，按百分制综合得分高低按分值划段确定。</w:t>
      </w:r>
    </w:p>
    <w:p w14:paraId="242F921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2.绩效评价方法</w:t>
      </w:r>
    </w:p>
    <w:p w14:paraId="5438B4B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绩效评价技术方法主要有成本效益分析法、比较法、因素分析法、最低成本法、公众评判法等。</w:t>
      </w:r>
    </w:p>
    <w:p w14:paraId="1C8E1F5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成本效益分析法。是指将一定时期内的支出与效益进行对比分析，以评价绩效目标的实现程度。</w:t>
      </w:r>
    </w:p>
    <w:p w14:paraId="1ACD1E7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比较法。是指通过对绩效目标与实施效果、历史与当期情况、不同部门和地区同类支出的比较，综合分析绩效目标实现程度。</w:t>
      </w:r>
    </w:p>
    <w:p w14:paraId="539D181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因素分析法。是指通过综合分析影响绩效目标实现、实施效果的内外因素，评价绩效目标实现程度。</w:t>
      </w:r>
    </w:p>
    <w:p w14:paraId="1D8A082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最低成本法。是指对效益确定却不易计量的多个同类对象的实施成本进行比较，评价绩效目标实现程度。</w:t>
      </w:r>
    </w:p>
    <w:p w14:paraId="489FB92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公众评判法。是指通过专家评估、公众问卷及抽样调查等对预算支出效果进行评判，评价绩效目标实现程度。</w:t>
      </w:r>
    </w:p>
    <w:p w14:paraId="3D91F024">
      <w:pPr>
        <w:spacing w:line="360" w:lineRule="auto"/>
        <w:ind w:firstLine="482" w:firstLineChars="200"/>
        <w:jc w:val="left"/>
        <w:outlineLvl w:val="0"/>
        <w:rPr>
          <w:rFonts w:ascii="Arial Narrow" w:hAnsi="Arial Narrow" w:eastAsiaTheme="minorEastAsia"/>
          <w:b/>
          <w:sz w:val="24"/>
        </w:rPr>
      </w:pPr>
      <w:bookmarkStart w:id="20" w:name="_Toc437528932"/>
      <w:bookmarkStart w:id="21" w:name="_Toc171670499"/>
      <w:r>
        <w:rPr>
          <w:rFonts w:ascii="Arial Narrow" w:hAnsi="Arial Narrow" w:eastAsiaTheme="minorEastAsia"/>
          <w:b/>
          <w:sz w:val="24"/>
        </w:rPr>
        <w:t>（六）绩效评价</w:t>
      </w:r>
      <w:bookmarkEnd w:id="20"/>
      <w:r>
        <w:rPr>
          <w:rFonts w:ascii="Arial Narrow" w:hAnsi="Arial Narrow" w:eastAsiaTheme="minorEastAsia"/>
          <w:b/>
          <w:sz w:val="24"/>
        </w:rPr>
        <w:t>工作过程</w:t>
      </w:r>
      <w:bookmarkEnd w:id="21"/>
    </w:p>
    <w:p w14:paraId="32ECD48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1.经铜梁区财政局确定为</w:t>
      </w:r>
      <w:r>
        <w:rPr>
          <w:rFonts w:hint="eastAsia" w:ascii="仿宋" w:hAnsi="仿宋" w:eastAsia="仿宋" w:cs="仿宋"/>
          <w:color w:val="auto"/>
        </w:rPr>
        <w:t>“</w:t>
      </w:r>
      <w:r>
        <w:rPr>
          <w:rFonts w:ascii="Arial Narrow" w:hAnsi="Arial Narrow" w:eastAsiaTheme="minorEastAsia"/>
          <w:color w:val="auto"/>
        </w:rPr>
        <w:t>2023年财政专项衔接资金项目</w:t>
      </w:r>
      <w:r>
        <w:rPr>
          <w:rFonts w:hint="eastAsia" w:ascii="仿宋" w:hAnsi="仿宋" w:eastAsia="仿宋" w:cs="仿宋"/>
          <w:color w:val="auto"/>
        </w:rPr>
        <w:t>”</w:t>
      </w:r>
      <w:r>
        <w:rPr>
          <w:rFonts w:ascii="Arial Narrow" w:hAnsi="Arial Narrow" w:eastAsiaTheme="minorEastAsia"/>
          <w:color w:val="auto"/>
        </w:rPr>
        <w:t>项目绩效评价服务单位后我所成立了绩效评价工作小组。</w:t>
      </w:r>
    </w:p>
    <w:p w14:paraId="4CB7F8E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2.根据项目实际情况收集项目基础资料及数据深入了解项目整体情况。</w:t>
      </w:r>
    </w:p>
    <w:p w14:paraId="68295DB5">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3.组织实施现场调查、检查、走访等具体工作</w:t>
      </w:r>
      <w:r>
        <w:rPr>
          <w:rFonts w:hint="eastAsia" w:ascii="Arial Narrow" w:hAnsi="Arial Narrow" w:eastAsiaTheme="minorEastAsia"/>
          <w:color w:val="auto"/>
          <w:lang w:eastAsia="zh-CN"/>
        </w:rPr>
        <w:t>。</w:t>
      </w:r>
    </w:p>
    <w:p w14:paraId="1395C1A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4.依据收集到的项目相关资料和数据，比照经贵单位审定的评价指标体系的评分标准，分别对项目评价打分，汇总后加权平均形成综合评价得分，并对该项目的绩效评价等级进行确认。</w:t>
      </w:r>
    </w:p>
    <w:p w14:paraId="289F6771">
      <w:pPr>
        <w:spacing w:line="360" w:lineRule="auto"/>
        <w:ind w:firstLine="482" w:firstLineChars="200"/>
        <w:jc w:val="left"/>
        <w:outlineLvl w:val="0"/>
        <w:rPr>
          <w:rFonts w:ascii="Arial Narrow" w:hAnsi="Arial Narrow" w:eastAsiaTheme="minorEastAsia"/>
          <w:b/>
          <w:sz w:val="24"/>
        </w:rPr>
      </w:pPr>
      <w:bookmarkStart w:id="22" w:name="_Toc437528933"/>
      <w:bookmarkStart w:id="23" w:name="_Toc171670500"/>
      <w:r>
        <w:rPr>
          <w:rFonts w:ascii="Arial Narrow" w:hAnsi="Arial Narrow" w:eastAsiaTheme="minorEastAsia"/>
          <w:b/>
          <w:sz w:val="24"/>
        </w:rPr>
        <w:t>三、项目评价</w:t>
      </w:r>
      <w:bookmarkEnd w:id="22"/>
      <w:r>
        <w:rPr>
          <w:rFonts w:ascii="Arial Narrow" w:hAnsi="Arial Narrow" w:eastAsiaTheme="minorEastAsia"/>
          <w:b/>
          <w:sz w:val="24"/>
        </w:rPr>
        <w:t>结论</w:t>
      </w:r>
      <w:bookmarkEnd w:id="23"/>
    </w:p>
    <w:p w14:paraId="4AD2FE90">
      <w:pPr>
        <w:spacing w:line="360" w:lineRule="auto"/>
        <w:ind w:left="420" w:leftChars="200"/>
        <w:jc w:val="left"/>
        <w:rPr>
          <w:rFonts w:ascii="Arial Narrow" w:hAnsi="Arial Narrow" w:cs="宋体" w:eastAsiaTheme="minorEastAsia"/>
          <w:kern w:val="0"/>
          <w:sz w:val="24"/>
        </w:rPr>
      </w:pPr>
      <w:r>
        <w:rPr>
          <w:rFonts w:ascii="Arial Narrow" w:hAnsi="Arial Narrow" w:cs="宋体" w:eastAsiaTheme="minorEastAsia"/>
          <w:kern w:val="0"/>
          <w:sz w:val="24"/>
        </w:rPr>
        <w:t>高楼镇涪江村柑橘园建设项目绩效评价得分97.00分，绩效评价等级为：优；</w:t>
      </w:r>
    </w:p>
    <w:p w14:paraId="4CA15FC5">
      <w:pPr>
        <w:spacing w:line="360" w:lineRule="auto"/>
        <w:ind w:left="420" w:leftChars="200"/>
        <w:jc w:val="left"/>
        <w:rPr>
          <w:rFonts w:ascii="Arial Narrow" w:hAnsi="Arial Narrow" w:eastAsiaTheme="minorEastAsia"/>
          <w:sz w:val="24"/>
        </w:rPr>
      </w:pPr>
      <w:bookmarkStart w:id="24" w:name="_Hlk170743530"/>
      <w:r>
        <w:rPr>
          <w:rFonts w:ascii="Arial Narrow" w:hAnsi="Arial Narrow" w:cs="宋体" w:eastAsiaTheme="minorEastAsia"/>
          <w:kern w:val="0"/>
          <w:sz w:val="24"/>
        </w:rPr>
        <w:t>高楼镇高楼村黑鸡原种场建设项目</w:t>
      </w:r>
      <w:bookmarkEnd w:id="24"/>
      <w:r>
        <w:rPr>
          <w:rFonts w:ascii="Arial Narrow" w:hAnsi="Arial Narrow" w:eastAsiaTheme="minorEastAsia"/>
          <w:sz w:val="24"/>
        </w:rPr>
        <w:t>绩效评价得分98.50分，绩效评价等级为：</w:t>
      </w:r>
    </w:p>
    <w:p w14:paraId="1724C3C2">
      <w:pPr>
        <w:spacing w:line="360" w:lineRule="auto"/>
        <w:jc w:val="left"/>
        <w:rPr>
          <w:rFonts w:ascii="Arial Narrow" w:hAnsi="Arial Narrow" w:eastAsiaTheme="minorEastAsia"/>
          <w:sz w:val="24"/>
        </w:rPr>
      </w:pPr>
      <w:r>
        <w:rPr>
          <w:rFonts w:ascii="Arial Narrow" w:hAnsi="Arial Narrow" w:eastAsiaTheme="minorEastAsia"/>
          <w:sz w:val="24"/>
        </w:rPr>
        <w:t>优。</w:t>
      </w:r>
    </w:p>
    <w:p w14:paraId="01DDC790">
      <w:pPr>
        <w:spacing w:line="360" w:lineRule="auto"/>
        <w:ind w:firstLine="482" w:firstLineChars="200"/>
        <w:outlineLvl w:val="0"/>
        <w:rPr>
          <w:rFonts w:ascii="Arial Narrow" w:hAnsi="Arial Narrow" w:eastAsiaTheme="minorEastAsia"/>
          <w:b/>
          <w:sz w:val="24"/>
        </w:rPr>
      </w:pPr>
      <w:bookmarkStart w:id="25" w:name="_Toc171670501"/>
      <w:r>
        <w:rPr>
          <w:rFonts w:ascii="Arial Narrow" w:hAnsi="Arial Narrow" w:eastAsiaTheme="minorEastAsia"/>
          <w:b/>
          <w:sz w:val="24"/>
        </w:rPr>
        <w:t>四、综合评价情况</w:t>
      </w:r>
      <w:bookmarkEnd w:id="25"/>
    </w:p>
    <w:p w14:paraId="107F8A18">
      <w:pPr>
        <w:spacing w:line="360" w:lineRule="auto"/>
        <w:ind w:firstLine="482" w:firstLineChars="200"/>
        <w:jc w:val="left"/>
        <w:outlineLvl w:val="0"/>
        <w:rPr>
          <w:rFonts w:ascii="Arial Narrow" w:hAnsi="Arial Narrow" w:eastAsiaTheme="minorEastAsia"/>
          <w:b/>
          <w:sz w:val="24"/>
        </w:rPr>
      </w:pPr>
      <w:bookmarkStart w:id="26" w:name="_Toc171670502"/>
      <w:r>
        <w:rPr>
          <w:rFonts w:ascii="Arial Narrow" w:hAnsi="Arial Narrow" w:eastAsiaTheme="minorEastAsia"/>
          <w:b/>
          <w:sz w:val="24"/>
        </w:rPr>
        <w:t>（一）资金管理</w:t>
      </w:r>
      <w:bookmarkEnd w:id="26"/>
    </w:p>
    <w:p w14:paraId="6C8B6C87">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1.财政衔接资金安排情况</w:t>
      </w:r>
    </w:p>
    <w:p w14:paraId="1A17032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项目按照《重庆市财政局关于提前下达2023年市财政衔接推进乡村振兴补助资金预算的通知》（渝财农〔2022〕146</w:t>
      </w:r>
      <w:r>
        <w:rPr>
          <w:rFonts w:hint="eastAsia" w:ascii="Arial Narrow" w:hAnsi="Arial Narrow" w:eastAsiaTheme="minorEastAsia"/>
          <w:sz w:val="24"/>
          <w:lang w:val="en-US" w:eastAsia="zh-CN"/>
        </w:rPr>
        <w:t>号</w:t>
      </w:r>
      <w:r>
        <w:rPr>
          <w:rFonts w:ascii="Arial Narrow" w:hAnsi="Arial Narrow" w:eastAsiaTheme="minorEastAsia"/>
          <w:sz w:val="24"/>
        </w:rPr>
        <w:t>）、《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099F3E3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2.资金分解下达进度</w:t>
      </w:r>
    </w:p>
    <w:p w14:paraId="5C7B790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项目资金从区财政局下达资金文件时间到区级业务主管部门下达项目及资金计划文件时间间隔小于30天。</w:t>
      </w:r>
    </w:p>
    <w:p w14:paraId="1CB3223A">
      <w:pPr>
        <w:spacing w:line="360" w:lineRule="auto"/>
        <w:ind w:firstLine="482" w:firstLineChars="200"/>
        <w:jc w:val="left"/>
        <w:outlineLvl w:val="0"/>
        <w:rPr>
          <w:rFonts w:ascii="Arial Narrow" w:hAnsi="Arial Narrow" w:eastAsiaTheme="minorEastAsia"/>
          <w:b/>
          <w:sz w:val="24"/>
        </w:rPr>
      </w:pPr>
      <w:bookmarkStart w:id="27" w:name="_Toc171670503"/>
      <w:r>
        <w:rPr>
          <w:rFonts w:ascii="Arial Narrow" w:hAnsi="Arial Narrow" w:eastAsiaTheme="minorEastAsia"/>
          <w:b/>
          <w:sz w:val="24"/>
        </w:rPr>
        <w:t>（二）项目管理</w:t>
      </w:r>
      <w:bookmarkEnd w:id="27"/>
    </w:p>
    <w:p w14:paraId="4B6CD6A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1.项目库建设管理情况</w:t>
      </w:r>
    </w:p>
    <w:p w14:paraId="5755718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项目入库及时充分、程序规范、内容完整，制定</w:t>
      </w:r>
      <w:r>
        <w:rPr>
          <w:rFonts w:hint="eastAsia" w:ascii="Arial Narrow" w:hAnsi="Arial Narrow" w:eastAsiaTheme="minorEastAsia"/>
          <w:sz w:val="24"/>
        </w:rPr>
        <w:t>了</w:t>
      </w:r>
      <w:r>
        <w:rPr>
          <w:rFonts w:ascii="Arial Narrow" w:hAnsi="Arial Narrow" w:eastAsiaTheme="minorEastAsia"/>
          <w:sz w:val="24"/>
        </w:rPr>
        <w:t>切合实际的实施方案，具备实施条件，衔接资金未用于项目库之外的项目。</w:t>
      </w:r>
    </w:p>
    <w:p w14:paraId="448FBF0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2.项目绩效管理情况</w:t>
      </w:r>
    </w:p>
    <w:p w14:paraId="7EA6D4F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及时制定了明确的绩效目标，实施过程中对绩效目标进行监控，对绩效目标偏离项目采取纠偏措施，在项目实施完毕后开展了绩效自评，并形成绩效自评表、自评报告。高楼镇涪江村柑橘园建设项目绩效自评表未盖章。</w:t>
      </w:r>
    </w:p>
    <w:p w14:paraId="2DB68E0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3.项目建设管理情况</w:t>
      </w:r>
    </w:p>
    <w:p w14:paraId="00F654A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项目实施方案不存在变更情况，实施过程中由重庆市铜梁区高楼镇人民政府进行监督检查，检查中未发现重大问题，项目按照实施节点按时提交项目报账资料。</w:t>
      </w:r>
    </w:p>
    <w:p w14:paraId="58E02F3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4.预算执行率情况</w:t>
      </w:r>
    </w:p>
    <w:p w14:paraId="3ABD74A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 xml:space="preserve">高楼镇涪江村柑橘园建设项目、高楼镇高楼村黑鸡原种场建设项目10月份执行率达100%。 </w:t>
      </w:r>
    </w:p>
    <w:p w14:paraId="6AC2A3C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5.跟踪督促及发现问题整改情况</w:t>
      </w:r>
    </w:p>
    <w:p w14:paraId="4D154CC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通过实施单位提供的监控表、自评表等资料显示，本项目实施单位定期开展项目实施和资金支出进度等跟踪督促，跟踪督促及各类检查发现问题整改到位。</w:t>
      </w:r>
    </w:p>
    <w:p w14:paraId="3AB2EC7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6.账务处理及档案管理等情况</w:t>
      </w:r>
    </w:p>
    <w:p w14:paraId="44C0DEF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高楼镇涪江村柑橘园建设项目、高楼镇高楼村黑鸡原种场建设项目实施单位对该项目账务处理规范，档案管理不完整。</w:t>
      </w:r>
    </w:p>
    <w:p w14:paraId="0E92F3F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7.信息公开和公告公示制度落实情况</w:t>
      </w:r>
    </w:p>
    <w:p w14:paraId="2459838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重庆市铜梁区高楼镇人民政府对以上2个项目入库情况、资金计划完成情况等进行了公告公示。</w:t>
      </w:r>
    </w:p>
    <w:p w14:paraId="4A1D1C8D">
      <w:pPr>
        <w:spacing w:line="360" w:lineRule="auto"/>
        <w:ind w:firstLine="482" w:firstLineChars="200"/>
        <w:jc w:val="left"/>
        <w:outlineLvl w:val="0"/>
        <w:rPr>
          <w:rFonts w:ascii="Arial Narrow" w:hAnsi="Arial Narrow" w:eastAsiaTheme="minorEastAsia"/>
          <w:b/>
          <w:sz w:val="24"/>
        </w:rPr>
      </w:pPr>
      <w:bookmarkStart w:id="28" w:name="_Toc171670504"/>
      <w:r>
        <w:rPr>
          <w:rFonts w:ascii="Arial Narrow" w:hAnsi="Arial Narrow" w:eastAsiaTheme="minorEastAsia"/>
          <w:b/>
          <w:sz w:val="24"/>
        </w:rPr>
        <w:t>（三）使用成效及通报情况</w:t>
      </w:r>
      <w:bookmarkEnd w:id="28"/>
    </w:p>
    <w:p w14:paraId="5015A4F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1.资金使用效益</w:t>
      </w:r>
    </w:p>
    <w:p w14:paraId="3EE386A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项目总体资金均专款专用，项目完成进度和及时性达到计划预期目的。完成项目的质量能够达标，完成进行了自评、项目资金完整。</w:t>
      </w:r>
    </w:p>
    <w:p w14:paraId="03B21DD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2.通报情况</w:t>
      </w:r>
    </w:p>
    <w:p w14:paraId="2BE9656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项目实施管理日常表现良好，未被通报和问题反馈情况。</w:t>
      </w:r>
    </w:p>
    <w:p w14:paraId="2981FABC">
      <w:pPr>
        <w:spacing w:line="360" w:lineRule="auto"/>
        <w:ind w:firstLine="482" w:firstLineChars="200"/>
        <w:outlineLvl w:val="0"/>
        <w:rPr>
          <w:rFonts w:ascii="Arial Narrow" w:hAnsi="Arial Narrow" w:eastAsiaTheme="minorEastAsia"/>
          <w:b/>
          <w:sz w:val="24"/>
        </w:rPr>
      </w:pPr>
      <w:bookmarkStart w:id="29" w:name="_Toc171670505"/>
      <w:r>
        <w:rPr>
          <w:rFonts w:ascii="Arial Narrow" w:hAnsi="Arial Narrow" w:eastAsiaTheme="minorEastAsia"/>
          <w:b/>
          <w:sz w:val="24"/>
        </w:rPr>
        <w:t>五、存在的问题和建议</w:t>
      </w:r>
      <w:bookmarkEnd w:id="29"/>
    </w:p>
    <w:p w14:paraId="13850CDA">
      <w:pPr>
        <w:spacing w:line="360" w:lineRule="auto"/>
        <w:ind w:firstLine="482" w:firstLineChars="200"/>
        <w:jc w:val="left"/>
        <w:outlineLvl w:val="0"/>
        <w:rPr>
          <w:rFonts w:ascii="Arial Narrow" w:hAnsi="Arial Narrow" w:eastAsiaTheme="minorEastAsia"/>
          <w:b/>
          <w:sz w:val="24"/>
        </w:rPr>
      </w:pPr>
      <w:bookmarkStart w:id="30" w:name="_Toc171670506"/>
      <w:r>
        <w:rPr>
          <w:rFonts w:ascii="Arial Narrow" w:hAnsi="Arial Narrow" w:eastAsiaTheme="minorEastAsia"/>
          <w:b/>
          <w:sz w:val="24"/>
        </w:rPr>
        <w:t>（一）存在问题</w:t>
      </w:r>
      <w:bookmarkEnd w:id="30"/>
    </w:p>
    <w:p w14:paraId="475AC5A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日常档案管理资料归档不及时。</w:t>
      </w:r>
    </w:p>
    <w:p w14:paraId="03459E28">
      <w:pPr>
        <w:spacing w:line="360" w:lineRule="auto"/>
        <w:ind w:firstLine="482" w:firstLineChars="200"/>
        <w:jc w:val="left"/>
        <w:outlineLvl w:val="0"/>
        <w:rPr>
          <w:rFonts w:ascii="Arial Narrow" w:hAnsi="Arial Narrow" w:eastAsiaTheme="minorEastAsia"/>
          <w:b/>
          <w:sz w:val="24"/>
        </w:rPr>
      </w:pPr>
      <w:bookmarkStart w:id="31" w:name="_Toc171670507"/>
      <w:r>
        <w:rPr>
          <w:rFonts w:ascii="Arial Narrow" w:hAnsi="Arial Narrow" w:eastAsiaTheme="minorEastAsia"/>
          <w:b/>
          <w:sz w:val="24"/>
        </w:rPr>
        <w:t>（二）建议</w:t>
      </w:r>
      <w:bookmarkEnd w:id="31"/>
    </w:p>
    <w:p w14:paraId="7AB36A8D">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建议及时检查归档资料是否完备，以保持资料的完整性；避免造成资料的缺失遗漏。</w:t>
      </w:r>
    </w:p>
    <w:p w14:paraId="416FD589">
      <w:pPr>
        <w:adjustRightInd w:val="0"/>
        <w:snapToGrid w:val="0"/>
        <w:spacing w:line="360" w:lineRule="auto"/>
        <w:ind w:firstLine="480" w:firstLineChars="200"/>
        <w:rPr>
          <w:rStyle w:val="11"/>
          <w:rFonts w:ascii="Arial Narrow" w:hAnsi="Arial Narrow" w:eastAsiaTheme="minorEastAsia"/>
          <w:color w:val="auto"/>
          <w:sz w:val="24"/>
          <w:u w:val="none"/>
        </w:rPr>
      </w:pPr>
    </w:p>
    <w:p w14:paraId="6E7F8753">
      <w:pPr>
        <w:adjustRightInd w:val="0"/>
        <w:snapToGrid w:val="0"/>
        <w:spacing w:line="360" w:lineRule="auto"/>
        <w:ind w:firstLine="480" w:firstLineChars="200"/>
        <w:rPr>
          <w:rStyle w:val="11"/>
          <w:rFonts w:ascii="Arial Narrow" w:hAnsi="Arial Narrow" w:eastAsiaTheme="minorEastAsia"/>
          <w:color w:val="auto"/>
          <w:sz w:val="24"/>
          <w:u w:val="none"/>
        </w:rPr>
      </w:pPr>
    </w:p>
    <w:p w14:paraId="65CB570B">
      <w:pPr>
        <w:adjustRightInd w:val="0"/>
        <w:snapToGrid w:val="0"/>
        <w:spacing w:line="360" w:lineRule="auto"/>
        <w:ind w:firstLine="420" w:firstLineChars="200"/>
        <w:rPr>
          <w:rStyle w:val="11"/>
          <w:rFonts w:ascii="Arial Narrow" w:hAnsi="Arial Narrow" w:eastAsiaTheme="minorEastAsia"/>
          <w:color w:val="auto"/>
          <w:u w:val="none"/>
        </w:rPr>
      </w:pPr>
    </w:p>
    <w:p w14:paraId="36CD1D52">
      <w:pPr>
        <w:adjustRightInd w:val="0"/>
        <w:snapToGrid w:val="0"/>
        <w:spacing w:line="360" w:lineRule="auto"/>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附件：1</w:t>
      </w:r>
      <w:r>
        <w:rPr>
          <w:rStyle w:val="11"/>
          <w:rFonts w:hint="eastAsia" w:ascii="Arial Narrow" w:hAnsi="Arial Narrow" w:eastAsiaTheme="minorEastAsia"/>
          <w:color w:val="auto"/>
          <w:sz w:val="24"/>
          <w:u w:val="none"/>
          <w:lang w:val="en-US" w:eastAsia="zh-CN"/>
        </w:rPr>
        <w:t>.</w:t>
      </w:r>
      <w:r>
        <w:rPr>
          <w:rStyle w:val="11"/>
          <w:rFonts w:hint="eastAsia" w:ascii="Arial Narrow" w:hAnsi="Arial Narrow" w:eastAsiaTheme="minorEastAsia"/>
          <w:color w:val="auto"/>
          <w:sz w:val="24"/>
          <w:u w:val="none"/>
        </w:rPr>
        <w:t>铜梁区衔接资金项目绩效评价及考核指标评分表</w:t>
      </w:r>
      <w:r>
        <w:rPr>
          <w:rStyle w:val="11"/>
          <w:rFonts w:ascii="Arial Narrow" w:hAnsi="Arial Narrow" w:eastAsiaTheme="minorEastAsia"/>
          <w:color w:val="auto"/>
          <w:sz w:val="24"/>
          <w:u w:val="none"/>
        </w:rPr>
        <w:t>；</w:t>
      </w:r>
    </w:p>
    <w:p w14:paraId="60E599EA">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会计师事务所营业执照和资质复印件。</w:t>
      </w:r>
    </w:p>
    <w:p w14:paraId="3E90F2D8">
      <w:pPr>
        <w:adjustRightInd w:val="0"/>
        <w:snapToGrid w:val="0"/>
        <w:spacing w:line="360" w:lineRule="auto"/>
        <w:ind w:firstLine="720" w:firstLineChars="300"/>
        <w:rPr>
          <w:rStyle w:val="11"/>
          <w:rFonts w:ascii="Arial Narrow" w:hAnsi="Arial Narrow" w:eastAsiaTheme="minorEastAsia"/>
          <w:color w:val="auto"/>
          <w:sz w:val="24"/>
          <w:u w:val="none"/>
        </w:rPr>
      </w:pPr>
    </w:p>
    <w:p w14:paraId="0DF61DB8">
      <w:pPr>
        <w:adjustRightInd w:val="0"/>
        <w:snapToGrid w:val="0"/>
        <w:spacing w:line="360" w:lineRule="auto"/>
        <w:ind w:firstLine="720" w:firstLineChars="300"/>
        <w:rPr>
          <w:rStyle w:val="11"/>
          <w:rFonts w:ascii="Arial Narrow" w:hAnsi="Arial Narrow" w:eastAsiaTheme="minorEastAsia"/>
          <w:color w:val="auto"/>
          <w:sz w:val="24"/>
          <w:u w:val="none"/>
        </w:rPr>
      </w:pPr>
    </w:p>
    <w:p w14:paraId="25D7AC91">
      <w:pPr>
        <w:adjustRightInd w:val="0"/>
        <w:snapToGrid w:val="0"/>
        <w:spacing w:line="360" w:lineRule="auto"/>
        <w:ind w:firstLine="720" w:firstLineChars="300"/>
        <w:rPr>
          <w:rStyle w:val="11"/>
          <w:rFonts w:ascii="Arial Narrow" w:hAnsi="Arial Narrow" w:eastAsiaTheme="minorEastAsia"/>
          <w:color w:val="auto"/>
          <w:sz w:val="24"/>
          <w:u w:val="none"/>
        </w:rPr>
      </w:pPr>
    </w:p>
    <w:p w14:paraId="4BA67603">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 xml:space="preserve"> 重庆铭鸿金全会计师事务所有限责任公司</w:t>
      </w:r>
    </w:p>
    <w:p w14:paraId="26C0B7C7">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二</w:t>
      </w:r>
      <w:r>
        <w:rPr>
          <w:rStyle w:val="11"/>
          <w:rFonts w:hint="eastAsia" w:ascii="Arial Narrow" w:hAnsi="Arial Narrow" w:eastAsiaTheme="minorEastAsia"/>
          <w:color w:val="auto"/>
          <w:sz w:val="24"/>
          <w:u w:val="none"/>
          <w:lang w:val="en-US" w:eastAsia="zh-CN"/>
        </w:rPr>
        <w:t>〇</w:t>
      </w:r>
      <w:bookmarkStart w:id="32" w:name="_GoBack"/>
      <w:bookmarkEnd w:id="32"/>
      <w:r>
        <w:rPr>
          <w:rStyle w:val="11"/>
          <w:rFonts w:ascii="Arial Narrow" w:hAnsi="Arial Narrow" w:eastAsiaTheme="minorEastAsia"/>
          <w:color w:val="auto"/>
          <w:sz w:val="24"/>
          <w:u w:val="none"/>
        </w:rPr>
        <w:t>二四年六月</w:t>
      </w:r>
      <w:r>
        <w:rPr>
          <w:rStyle w:val="11"/>
          <w:rFonts w:hint="eastAsia" w:ascii="Arial Narrow" w:hAnsi="Arial Narrow" w:eastAsiaTheme="minorEastAsia"/>
          <w:color w:val="auto"/>
          <w:sz w:val="24"/>
          <w:u w:val="none"/>
        </w:rPr>
        <w:t>三十</w:t>
      </w:r>
      <w:r>
        <w:rPr>
          <w:rStyle w:val="11"/>
          <w:rFonts w:ascii="Arial Narrow" w:hAnsi="Arial Narrow" w:eastAsiaTheme="minorEastAsia"/>
          <w:color w:val="auto"/>
          <w:sz w:val="24"/>
          <w:u w:val="none"/>
        </w:rPr>
        <w:t>日</w:t>
      </w:r>
    </w:p>
    <w:sectPr>
      <w:headerReference r:id="rId4" w:type="default"/>
      <w:footerReference r:id="rId5"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6E563">
    <w:pPr>
      <w:pStyle w:val="5"/>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37E3C">
    <w:pPr>
      <w:pStyle w:val="5"/>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C27DA0">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BC27DA0">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CCE35">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45A7C"/>
    <w:rsid w:val="00053E19"/>
    <w:rsid w:val="00055BBF"/>
    <w:rsid w:val="00060BD2"/>
    <w:rsid w:val="00063E0B"/>
    <w:rsid w:val="00063E34"/>
    <w:rsid w:val="000646DE"/>
    <w:rsid w:val="00066D80"/>
    <w:rsid w:val="0007065D"/>
    <w:rsid w:val="00070CE3"/>
    <w:rsid w:val="000769EE"/>
    <w:rsid w:val="00085F46"/>
    <w:rsid w:val="000933AE"/>
    <w:rsid w:val="00095A1B"/>
    <w:rsid w:val="000A7E50"/>
    <w:rsid w:val="000D1A3B"/>
    <w:rsid w:val="000D2E2A"/>
    <w:rsid w:val="000E4529"/>
    <w:rsid w:val="000E6A52"/>
    <w:rsid w:val="000F4A80"/>
    <w:rsid w:val="0010003E"/>
    <w:rsid w:val="00103B93"/>
    <w:rsid w:val="00104568"/>
    <w:rsid w:val="001311CB"/>
    <w:rsid w:val="00143A99"/>
    <w:rsid w:val="00152152"/>
    <w:rsid w:val="00164C87"/>
    <w:rsid w:val="0018023A"/>
    <w:rsid w:val="001A3D38"/>
    <w:rsid w:val="001A42EB"/>
    <w:rsid w:val="001B25F9"/>
    <w:rsid w:val="001C6F32"/>
    <w:rsid w:val="001D6A69"/>
    <w:rsid w:val="001E0132"/>
    <w:rsid w:val="001F3624"/>
    <w:rsid w:val="001F3AC2"/>
    <w:rsid w:val="001F3F03"/>
    <w:rsid w:val="001F43AE"/>
    <w:rsid w:val="00216472"/>
    <w:rsid w:val="00224D96"/>
    <w:rsid w:val="00226E7E"/>
    <w:rsid w:val="00230338"/>
    <w:rsid w:val="00266038"/>
    <w:rsid w:val="00276D1C"/>
    <w:rsid w:val="00282997"/>
    <w:rsid w:val="002946CE"/>
    <w:rsid w:val="002C083D"/>
    <w:rsid w:val="002C36AE"/>
    <w:rsid w:val="002C5020"/>
    <w:rsid w:val="002C7EFA"/>
    <w:rsid w:val="002E16A4"/>
    <w:rsid w:val="002F7076"/>
    <w:rsid w:val="00324E2F"/>
    <w:rsid w:val="00331DC5"/>
    <w:rsid w:val="0034480A"/>
    <w:rsid w:val="00357051"/>
    <w:rsid w:val="003605BE"/>
    <w:rsid w:val="0037066E"/>
    <w:rsid w:val="00371D40"/>
    <w:rsid w:val="00384C3C"/>
    <w:rsid w:val="00384D2F"/>
    <w:rsid w:val="00385A38"/>
    <w:rsid w:val="0038704F"/>
    <w:rsid w:val="003879CE"/>
    <w:rsid w:val="00391E00"/>
    <w:rsid w:val="00395C15"/>
    <w:rsid w:val="003A00D8"/>
    <w:rsid w:val="003B0061"/>
    <w:rsid w:val="003B42BF"/>
    <w:rsid w:val="003C24D6"/>
    <w:rsid w:val="003E5714"/>
    <w:rsid w:val="003F1935"/>
    <w:rsid w:val="003F71CF"/>
    <w:rsid w:val="00401A0E"/>
    <w:rsid w:val="00414A58"/>
    <w:rsid w:val="004158F8"/>
    <w:rsid w:val="00416981"/>
    <w:rsid w:val="004200C2"/>
    <w:rsid w:val="00420AA7"/>
    <w:rsid w:val="00421C71"/>
    <w:rsid w:val="00422A98"/>
    <w:rsid w:val="004444D8"/>
    <w:rsid w:val="004470B7"/>
    <w:rsid w:val="0044730F"/>
    <w:rsid w:val="00470930"/>
    <w:rsid w:val="004B047E"/>
    <w:rsid w:val="004C1F3A"/>
    <w:rsid w:val="004C38B4"/>
    <w:rsid w:val="004D0882"/>
    <w:rsid w:val="004D1145"/>
    <w:rsid w:val="004D2A6E"/>
    <w:rsid w:val="004E5E96"/>
    <w:rsid w:val="004E6833"/>
    <w:rsid w:val="004F0C1D"/>
    <w:rsid w:val="004F5A80"/>
    <w:rsid w:val="004F7A0F"/>
    <w:rsid w:val="00501A64"/>
    <w:rsid w:val="00533E20"/>
    <w:rsid w:val="00536985"/>
    <w:rsid w:val="00536E92"/>
    <w:rsid w:val="005448C9"/>
    <w:rsid w:val="00554582"/>
    <w:rsid w:val="005557CE"/>
    <w:rsid w:val="00562AF2"/>
    <w:rsid w:val="005664D4"/>
    <w:rsid w:val="00572DD6"/>
    <w:rsid w:val="005733CB"/>
    <w:rsid w:val="00574871"/>
    <w:rsid w:val="005801D1"/>
    <w:rsid w:val="00580E94"/>
    <w:rsid w:val="00594E4E"/>
    <w:rsid w:val="005B32B4"/>
    <w:rsid w:val="005B3F07"/>
    <w:rsid w:val="005B7579"/>
    <w:rsid w:val="005C28DE"/>
    <w:rsid w:val="005C7459"/>
    <w:rsid w:val="005C7FFB"/>
    <w:rsid w:val="005E133F"/>
    <w:rsid w:val="005E7297"/>
    <w:rsid w:val="005F01BA"/>
    <w:rsid w:val="005F706F"/>
    <w:rsid w:val="0061001E"/>
    <w:rsid w:val="0061417A"/>
    <w:rsid w:val="00645220"/>
    <w:rsid w:val="0065332B"/>
    <w:rsid w:val="00653872"/>
    <w:rsid w:val="00655510"/>
    <w:rsid w:val="00667074"/>
    <w:rsid w:val="00673086"/>
    <w:rsid w:val="00674107"/>
    <w:rsid w:val="00677693"/>
    <w:rsid w:val="0069156D"/>
    <w:rsid w:val="0069678B"/>
    <w:rsid w:val="00696ABA"/>
    <w:rsid w:val="006A58E0"/>
    <w:rsid w:val="006A6481"/>
    <w:rsid w:val="006B32A8"/>
    <w:rsid w:val="006C0B16"/>
    <w:rsid w:val="006C229E"/>
    <w:rsid w:val="006D14F7"/>
    <w:rsid w:val="006D4646"/>
    <w:rsid w:val="006E4A33"/>
    <w:rsid w:val="006E75D6"/>
    <w:rsid w:val="006E7DA1"/>
    <w:rsid w:val="006F55D2"/>
    <w:rsid w:val="006F7CBD"/>
    <w:rsid w:val="007047C4"/>
    <w:rsid w:val="007112C5"/>
    <w:rsid w:val="00715488"/>
    <w:rsid w:val="007154F4"/>
    <w:rsid w:val="0072565C"/>
    <w:rsid w:val="0073019B"/>
    <w:rsid w:val="00730A8E"/>
    <w:rsid w:val="00740E9D"/>
    <w:rsid w:val="00741402"/>
    <w:rsid w:val="007545D5"/>
    <w:rsid w:val="00763639"/>
    <w:rsid w:val="00766DE0"/>
    <w:rsid w:val="00773C4D"/>
    <w:rsid w:val="00776704"/>
    <w:rsid w:val="00782E61"/>
    <w:rsid w:val="00790D96"/>
    <w:rsid w:val="007A03A0"/>
    <w:rsid w:val="007A6BE6"/>
    <w:rsid w:val="007D50F6"/>
    <w:rsid w:val="007D5845"/>
    <w:rsid w:val="007E7CD8"/>
    <w:rsid w:val="00822B12"/>
    <w:rsid w:val="00827385"/>
    <w:rsid w:val="008309D9"/>
    <w:rsid w:val="008357DE"/>
    <w:rsid w:val="0084063E"/>
    <w:rsid w:val="008414AC"/>
    <w:rsid w:val="00842151"/>
    <w:rsid w:val="00847FC7"/>
    <w:rsid w:val="00856815"/>
    <w:rsid w:val="008571D6"/>
    <w:rsid w:val="008815FF"/>
    <w:rsid w:val="00882252"/>
    <w:rsid w:val="00893D29"/>
    <w:rsid w:val="008952B1"/>
    <w:rsid w:val="008966D2"/>
    <w:rsid w:val="008B3197"/>
    <w:rsid w:val="008B4726"/>
    <w:rsid w:val="008B6E1B"/>
    <w:rsid w:val="008D4F7C"/>
    <w:rsid w:val="008E609D"/>
    <w:rsid w:val="008F151F"/>
    <w:rsid w:val="008F7C26"/>
    <w:rsid w:val="00900809"/>
    <w:rsid w:val="0090729E"/>
    <w:rsid w:val="00925EE4"/>
    <w:rsid w:val="009309C0"/>
    <w:rsid w:val="00931B7D"/>
    <w:rsid w:val="0093667D"/>
    <w:rsid w:val="00972F0C"/>
    <w:rsid w:val="00975515"/>
    <w:rsid w:val="009813B6"/>
    <w:rsid w:val="00983CB7"/>
    <w:rsid w:val="00990418"/>
    <w:rsid w:val="00992CAD"/>
    <w:rsid w:val="009957B8"/>
    <w:rsid w:val="0099666C"/>
    <w:rsid w:val="009B0AAF"/>
    <w:rsid w:val="009B2CE1"/>
    <w:rsid w:val="009E16CC"/>
    <w:rsid w:val="009E1D38"/>
    <w:rsid w:val="009E4A98"/>
    <w:rsid w:val="009F1C42"/>
    <w:rsid w:val="009F33B8"/>
    <w:rsid w:val="009F3AC7"/>
    <w:rsid w:val="00A066D6"/>
    <w:rsid w:val="00A07053"/>
    <w:rsid w:val="00A14064"/>
    <w:rsid w:val="00A14650"/>
    <w:rsid w:val="00A16AE1"/>
    <w:rsid w:val="00A22CA1"/>
    <w:rsid w:val="00A24CB4"/>
    <w:rsid w:val="00A337F5"/>
    <w:rsid w:val="00A3465C"/>
    <w:rsid w:val="00A352D4"/>
    <w:rsid w:val="00A5175E"/>
    <w:rsid w:val="00A64637"/>
    <w:rsid w:val="00A852FB"/>
    <w:rsid w:val="00A922C5"/>
    <w:rsid w:val="00A95CA5"/>
    <w:rsid w:val="00AB0D84"/>
    <w:rsid w:val="00AB0DCB"/>
    <w:rsid w:val="00AB5858"/>
    <w:rsid w:val="00AC3880"/>
    <w:rsid w:val="00AD0284"/>
    <w:rsid w:val="00AD7BF5"/>
    <w:rsid w:val="00AE2391"/>
    <w:rsid w:val="00AE470F"/>
    <w:rsid w:val="00AE4851"/>
    <w:rsid w:val="00AF42C3"/>
    <w:rsid w:val="00AF58DD"/>
    <w:rsid w:val="00AF7001"/>
    <w:rsid w:val="00B134A6"/>
    <w:rsid w:val="00B1523A"/>
    <w:rsid w:val="00B15C8A"/>
    <w:rsid w:val="00B20FF9"/>
    <w:rsid w:val="00B25A79"/>
    <w:rsid w:val="00B3008A"/>
    <w:rsid w:val="00B53584"/>
    <w:rsid w:val="00B6136F"/>
    <w:rsid w:val="00B7289F"/>
    <w:rsid w:val="00B72AA2"/>
    <w:rsid w:val="00B82615"/>
    <w:rsid w:val="00B845E4"/>
    <w:rsid w:val="00B9005A"/>
    <w:rsid w:val="00BA1D39"/>
    <w:rsid w:val="00BA212E"/>
    <w:rsid w:val="00BB3674"/>
    <w:rsid w:val="00BB4A6D"/>
    <w:rsid w:val="00BB5059"/>
    <w:rsid w:val="00BC2692"/>
    <w:rsid w:val="00BC4E0F"/>
    <w:rsid w:val="00BC7BED"/>
    <w:rsid w:val="00BD6FFD"/>
    <w:rsid w:val="00C02FB6"/>
    <w:rsid w:val="00C107C7"/>
    <w:rsid w:val="00C12443"/>
    <w:rsid w:val="00C21EB5"/>
    <w:rsid w:val="00C35442"/>
    <w:rsid w:val="00C36A73"/>
    <w:rsid w:val="00C40056"/>
    <w:rsid w:val="00C4317D"/>
    <w:rsid w:val="00C47BFA"/>
    <w:rsid w:val="00C512D9"/>
    <w:rsid w:val="00C60A62"/>
    <w:rsid w:val="00C61391"/>
    <w:rsid w:val="00C614E2"/>
    <w:rsid w:val="00C7723D"/>
    <w:rsid w:val="00CB4D1A"/>
    <w:rsid w:val="00CB54FB"/>
    <w:rsid w:val="00CC12B4"/>
    <w:rsid w:val="00CC5635"/>
    <w:rsid w:val="00CC769D"/>
    <w:rsid w:val="00CD14AA"/>
    <w:rsid w:val="00CD7F52"/>
    <w:rsid w:val="00CE1CB9"/>
    <w:rsid w:val="00D00126"/>
    <w:rsid w:val="00D0391C"/>
    <w:rsid w:val="00D1562E"/>
    <w:rsid w:val="00D17073"/>
    <w:rsid w:val="00D254D3"/>
    <w:rsid w:val="00D26E16"/>
    <w:rsid w:val="00D36E72"/>
    <w:rsid w:val="00D415D5"/>
    <w:rsid w:val="00D5064E"/>
    <w:rsid w:val="00D55970"/>
    <w:rsid w:val="00DA5FE5"/>
    <w:rsid w:val="00DB55F0"/>
    <w:rsid w:val="00DB61A1"/>
    <w:rsid w:val="00DC5FCB"/>
    <w:rsid w:val="00DC7300"/>
    <w:rsid w:val="00DE0DA8"/>
    <w:rsid w:val="00DE10FD"/>
    <w:rsid w:val="00DE26B6"/>
    <w:rsid w:val="00E065AA"/>
    <w:rsid w:val="00E14E10"/>
    <w:rsid w:val="00E23D6E"/>
    <w:rsid w:val="00E27A95"/>
    <w:rsid w:val="00E43191"/>
    <w:rsid w:val="00E47A16"/>
    <w:rsid w:val="00E53E50"/>
    <w:rsid w:val="00E66C12"/>
    <w:rsid w:val="00E709E2"/>
    <w:rsid w:val="00E738DB"/>
    <w:rsid w:val="00E80BDA"/>
    <w:rsid w:val="00E90FA8"/>
    <w:rsid w:val="00E964E2"/>
    <w:rsid w:val="00EA1C10"/>
    <w:rsid w:val="00EA7CEE"/>
    <w:rsid w:val="00EB38A4"/>
    <w:rsid w:val="00EB474C"/>
    <w:rsid w:val="00EC18D4"/>
    <w:rsid w:val="00ED0A8C"/>
    <w:rsid w:val="00EE229A"/>
    <w:rsid w:val="00EE3E9C"/>
    <w:rsid w:val="00F03626"/>
    <w:rsid w:val="00F13B7F"/>
    <w:rsid w:val="00F36680"/>
    <w:rsid w:val="00F42C95"/>
    <w:rsid w:val="00F443AC"/>
    <w:rsid w:val="00F52E9E"/>
    <w:rsid w:val="00F54C3F"/>
    <w:rsid w:val="00F61D28"/>
    <w:rsid w:val="00F62E90"/>
    <w:rsid w:val="00F64D50"/>
    <w:rsid w:val="00F6551E"/>
    <w:rsid w:val="00F84DF0"/>
    <w:rsid w:val="00FA08BB"/>
    <w:rsid w:val="00FA6718"/>
    <w:rsid w:val="00FC592B"/>
    <w:rsid w:val="00FD1A79"/>
    <w:rsid w:val="00FD5031"/>
    <w:rsid w:val="00FD518E"/>
    <w:rsid w:val="00FD5F18"/>
    <w:rsid w:val="00FE1E65"/>
    <w:rsid w:val="00FE5705"/>
    <w:rsid w:val="00FF5AA5"/>
    <w:rsid w:val="02717C9D"/>
    <w:rsid w:val="0B6916EE"/>
    <w:rsid w:val="0C955D75"/>
    <w:rsid w:val="10F16DDB"/>
    <w:rsid w:val="10FD0312"/>
    <w:rsid w:val="120E6874"/>
    <w:rsid w:val="1F3644C3"/>
    <w:rsid w:val="270731DD"/>
    <w:rsid w:val="31414A5E"/>
    <w:rsid w:val="353F11A8"/>
    <w:rsid w:val="357129F4"/>
    <w:rsid w:val="371050B8"/>
    <w:rsid w:val="449009CB"/>
    <w:rsid w:val="45947F31"/>
    <w:rsid w:val="4B4E4B74"/>
    <w:rsid w:val="4DF1278B"/>
    <w:rsid w:val="50935FA6"/>
    <w:rsid w:val="563E2502"/>
    <w:rsid w:val="57057488"/>
    <w:rsid w:val="60087B46"/>
    <w:rsid w:val="629B4EDD"/>
    <w:rsid w:val="6C0B491D"/>
    <w:rsid w:val="6D023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8"/>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5504</Words>
  <Characters>5826</Characters>
  <Lines>51</Lines>
  <Paragraphs>14</Paragraphs>
  <TotalTime>0</TotalTime>
  <ScaleCrop>false</ScaleCrop>
  <LinksUpToDate>false</LinksUpToDate>
  <CharactersWithSpaces>5855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2024-07-29T09:47:00Z</cp:lastPrinted>
  <dcterms:modified xsi:type="dcterms:W3CDTF">2024-11-20T01:17:51Z</dcterms:modified>
  <cp:revision>283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DD6727AA55E74D55BC1FAA98315099BA_13</vt:lpwstr>
  </property>
</Properties>
</file>