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7D855">
      <w:pPr>
        <w:spacing w:line="360" w:lineRule="auto"/>
        <w:jc w:val="center"/>
        <w:rPr>
          <w:rFonts w:ascii="Arial Narrow" w:hAnsi="Arial Narrow"/>
          <w:b/>
          <w:bCs/>
          <w:sz w:val="36"/>
          <w:szCs w:val="36"/>
        </w:rPr>
      </w:pPr>
    </w:p>
    <w:p w14:paraId="7EC73458">
      <w:pPr>
        <w:spacing w:line="360" w:lineRule="auto"/>
        <w:jc w:val="center"/>
        <w:rPr>
          <w:rFonts w:ascii="Arial Narrow" w:hAnsi="Arial Narrow"/>
          <w:b/>
          <w:bCs/>
          <w:sz w:val="36"/>
          <w:szCs w:val="36"/>
        </w:rPr>
      </w:pPr>
    </w:p>
    <w:p w14:paraId="27E90DA8">
      <w:pPr>
        <w:spacing w:line="360" w:lineRule="auto"/>
        <w:jc w:val="center"/>
        <w:rPr>
          <w:rFonts w:ascii="Arial Narrow" w:hAnsi="Arial Narrow"/>
          <w:b/>
          <w:bCs/>
          <w:sz w:val="36"/>
          <w:szCs w:val="36"/>
        </w:rPr>
      </w:pPr>
    </w:p>
    <w:p w14:paraId="57DDB87B">
      <w:pPr>
        <w:spacing w:line="360" w:lineRule="auto"/>
        <w:jc w:val="center"/>
        <w:rPr>
          <w:rFonts w:ascii="Arial Narrow" w:hAnsi="Arial Narrow"/>
          <w:b/>
          <w:bCs/>
          <w:sz w:val="36"/>
          <w:szCs w:val="36"/>
        </w:rPr>
      </w:pPr>
    </w:p>
    <w:p w14:paraId="49C12644">
      <w:pPr>
        <w:adjustRightInd w:val="0"/>
        <w:snapToGrid w:val="0"/>
        <w:spacing w:line="360" w:lineRule="auto"/>
        <w:ind w:firstLine="181" w:firstLineChars="50"/>
        <w:rPr>
          <w:rFonts w:ascii="Arial Narrow" w:hAnsi="Arial Narrow" w:eastAsia="仿宋"/>
          <w:b/>
          <w:sz w:val="36"/>
          <w:szCs w:val="36"/>
        </w:rPr>
      </w:pPr>
      <w:r>
        <w:rPr>
          <w:rFonts w:hint="eastAsia" w:ascii="Arial Narrow" w:hAnsi="Arial Narrow" w:eastAsia="仿宋"/>
          <w:b/>
          <w:sz w:val="36"/>
          <w:szCs w:val="36"/>
        </w:rPr>
        <w:t>重庆市铜梁区西河镇双永村蔬菜基地建设等3个项目</w:t>
      </w:r>
    </w:p>
    <w:p w14:paraId="0F7649E5">
      <w:pPr>
        <w:adjustRightInd w:val="0"/>
        <w:snapToGrid w:val="0"/>
        <w:spacing w:line="360" w:lineRule="auto"/>
        <w:jc w:val="center"/>
        <w:rPr>
          <w:rFonts w:ascii="Arial Narrow" w:hAnsi="Arial Narrow"/>
          <w:b/>
          <w:spacing w:val="100"/>
          <w:sz w:val="32"/>
          <w:szCs w:val="32"/>
        </w:rPr>
      </w:pPr>
      <w:r>
        <w:rPr>
          <w:rFonts w:hint="eastAsia" w:ascii="Arial Narrow" w:hAnsi="Arial Narrow" w:eastAsia="仿宋"/>
          <w:b/>
          <w:sz w:val="36"/>
          <w:szCs w:val="36"/>
        </w:rPr>
        <w:t>财政专项衔接资金</w:t>
      </w:r>
    </w:p>
    <w:p w14:paraId="7712198E">
      <w:pPr>
        <w:adjustRightInd w:val="0"/>
        <w:snapToGrid w:val="0"/>
        <w:spacing w:line="360" w:lineRule="auto"/>
        <w:jc w:val="center"/>
        <w:rPr>
          <w:rFonts w:ascii="Arial Narrow" w:hAnsi="Arial Narrow"/>
          <w:b/>
          <w:sz w:val="36"/>
          <w:szCs w:val="36"/>
        </w:rPr>
      </w:pPr>
    </w:p>
    <w:p w14:paraId="054A0F35">
      <w:pPr>
        <w:adjustRightInd w:val="0"/>
        <w:snapToGrid w:val="0"/>
        <w:spacing w:line="360" w:lineRule="auto"/>
        <w:jc w:val="center"/>
        <w:rPr>
          <w:rFonts w:ascii="Arial Narrow" w:hAnsi="Arial Narrow"/>
          <w:b/>
          <w:spacing w:val="100"/>
          <w:sz w:val="32"/>
          <w:szCs w:val="32"/>
        </w:rPr>
      </w:pPr>
    </w:p>
    <w:p w14:paraId="17BBE643">
      <w:pPr>
        <w:adjustRightInd w:val="0"/>
        <w:snapToGrid w:val="0"/>
        <w:spacing w:line="360" w:lineRule="auto"/>
        <w:jc w:val="center"/>
        <w:rPr>
          <w:rFonts w:ascii="Arial Narrow" w:hAnsi="Arial Narrow"/>
          <w:b/>
          <w:spacing w:val="100"/>
          <w:sz w:val="32"/>
          <w:szCs w:val="32"/>
        </w:rPr>
      </w:pPr>
    </w:p>
    <w:p w14:paraId="7E23F8E1">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0" w:name="_Toc488637980"/>
      <w:bookmarkStart w:id="1" w:name="_Toc488804777"/>
      <w:r>
        <w:rPr>
          <w:rFonts w:ascii="Arial Narrow" w:hAnsi="Arial Narrow" w:eastAsia="仿宋"/>
          <w:b/>
          <w:w w:val="102"/>
          <w:sz w:val="44"/>
          <w:szCs w:val="44"/>
        </w:rPr>
        <w:t>报告</w:t>
      </w:r>
    </w:p>
    <w:p w14:paraId="6F757B01">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0060</w:t>
      </w:r>
      <w:r>
        <w:rPr>
          <w:rFonts w:ascii="Arial Narrow" w:hAnsi="Arial Narrow" w:eastAsia="仿宋"/>
          <w:bCs/>
          <w:sz w:val="32"/>
          <w:szCs w:val="32"/>
        </w:rPr>
        <w:t>号</w:t>
      </w:r>
    </w:p>
    <w:p w14:paraId="4E15C623">
      <w:pPr>
        <w:adjustRightInd w:val="0"/>
        <w:snapToGrid w:val="0"/>
        <w:spacing w:line="360" w:lineRule="auto"/>
        <w:jc w:val="center"/>
        <w:rPr>
          <w:rFonts w:ascii="Arial Narrow" w:hAnsi="Arial Narrow"/>
          <w:b/>
          <w:spacing w:val="100"/>
          <w:sz w:val="32"/>
          <w:szCs w:val="32"/>
        </w:rPr>
      </w:pPr>
    </w:p>
    <w:p w14:paraId="6688A26E">
      <w:pPr>
        <w:adjustRightInd w:val="0"/>
        <w:snapToGrid w:val="0"/>
        <w:spacing w:line="360" w:lineRule="auto"/>
        <w:jc w:val="center"/>
        <w:rPr>
          <w:rFonts w:ascii="Arial Narrow" w:hAnsi="Arial Narrow"/>
          <w:b/>
          <w:spacing w:val="100"/>
          <w:sz w:val="32"/>
          <w:szCs w:val="32"/>
        </w:rPr>
      </w:pPr>
    </w:p>
    <w:p w14:paraId="33B69267">
      <w:pPr>
        <w:adjustRightInd w:val="0"/>
        <w:snapToGrid w:val="0"/>
        <w:spacing w:line="360" w:lineRule="auto"/>
        <w:jc w:val="center"/>
        <w:rPr>
          <w:rFonts w:ascii="Arial Narrow" w:hAnsi="Arial Narrow"/>
          <w:b/>
          <w:spacing w:val="100"/>
          <w:sz w:val="32"/>
          <w:szCs w:val="32"/>
        </w:rPr>
      </w:pPr>
    </w:p>
    <w:p w14:paraId="65CD304C">
      <w:pPr>
        <w:adjustRightInd w:val="0"/>
        <w:snapToGrid w:val="0"/>
        <w:spacing w:line="360" w:lineRule="auto"/>
        <w:jc w:val="center"/>
        <w:rPr>
          <w:rFonts w:ascii="Arial Narrow" w:hAnsi="Arial Narrow"/>
          <w:b/>
          <w:spacing w:val="100"/>
          <w:sz w:val="32"/>
          <w:szCs w:val="32"/>
        </w:rPr>
      </w:pPr>
    </w:p>
    <w:p w14:paraId="23A989EE">
      <w:pPr>
        <w:adjustRightInd w:val="0"/>
        <w:snapToGrid w:val="0"/>
        <w:spacing w:line="360" w:lineRule="auto"/>
        <w:jc w:val="center"/>
        <w:rPr>
          <w:rFonts w:ascii="Arial Narrow" w:hAnsi="Arial Narrow"/>
          <w:b/>
          <w:spacing w:val="100"/>
          <w:sz w:val="32"/>
          <w:szCs w:val="32"/>
        </w:rPr>
      </w:pPr>
    </w:p>
    <w:p w14:paraId="0AC50E32">
      <w:pPr>
        <w:adjustRightInd w:val="0"/>
        <w:snapToGrid w:val="0"/>
        <w:spacing w:line="360" w:lineRule="auto"/>
        <w:jc w:val="center"/>
        <w:rPr>
          <w:rFonts w:ascii="Arial Narrow" w:hAnsi="Arial Narrow"/>
          <w:b/>
          <w:spacing w:val="100"/>
          <w:sz w:val="32"/>
          <w:szCs w:val="32"/>
        </w:rPr>
      </w:pPr>
    </w:p>
    <w:p w14:paraId="212C242B">
      <w:pPr>
        <w:adjustRightInd w:val="0"/>
        <w:snapToGrid w:val="0"/>
        <w:spacing w:line="360" w:lineRule="auto"/>
        <w:jc w:val="center"/>
        <w:rPr>
          <w:rFonts w:ascii="Arial Narrow" w:hAnsi="Arial Narrow"/>
          <w:b/>
          <w:spacing w:val="100"/>
          <w:sz w:val="32"/>
          <w:szCs w:val="32"/>
        </w:rPr>
      </w:pPr>
    </w:p>
    <w:p w14:paraId="64A0A043">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725C781F">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0"/>
      <w:bookmarkEnd w:id="1"/>
      <w:r>
        <w:rPr>
          <w:rFonts w:ascii="Arial Narrow" w:hAnsi="Arial Narrow"/>
          <w:sz w:val="44"/>
          <w:szCs w:val="44"/>
        </w:rPr>
        <w:t>目   录</w:t>
      </w:r>
    </w:p>
    <w:p w14:paraId="61E31CD8">
      <w:pPr>
        <w:spacing w:line="360" w:lineRule="auto"/>
        <w:jc w:val="center"/>
        <w:rPr>
          <w:rFonts w:ascii="Arial Narrow" w:hAnsi="Arial Narrow"/>
          <w:sz w:val="24"/>
        </w:rPr>
      </w:pPr>
    </w:p>
    <w:p w14:paraId="08D99CEA">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"_Toc169624358" </w:instrText>
      </w:r>
      <w:r>
        <w:fldChar w:fldCharType="separate"/>
      </w:r>
      <w:r>
        <w:rPr>
          <w:rStyle w:val="10"/>
        </w:rPr>
        <w:t>一、基本情况</w:t>
      </w:r>
      <w:r>
        <w:tab/>
      </w:r>
      <w:r>
        <w:fldChar w:fldCharType="begin"/>
      </w:r>
      <w:r>
        <w:instrText xml:space="preserve"> PAGEREF _Toc169624358 \h </w:instrText>
      </w:r>
      <w:r>
        <w:fldChar w:fldCharType="separate"/>
      </w:r>
      <w:r>
        <w:t>1</w:t>
      </w:r>
      <w:r>
        <w:fldChar w:fldCharType="end"/>
      </w:r>
      <w:r>
        <w:fldChar w:fldCharType="end"/>
      </w:r>
    </w:p>
    <w:p w14:paraId="4364AC1C">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"_Toc169624359" </w:instrText>
      </w:r>
      <w:r>
        <w:fldChar w:fldCharType="separate"/>
      </w:r>
      <w:r>
        <w:rPr>
          <w:rStyle w:val="10"/>
          <w:rFonts w:eastAsia="仿宋" w:cs="宋体"/>
          <w:kern w:val="0"/>
        </w:rPr>
        <w:t>（一）项目情况</w:t>
      </w:r>
      <w:r>
        <w:tab/>
      </w:r>
      <w:r>
        <w:fldChar w:fldCharType="begin"/>
      </w:r>
      <w:r>
        <w:instrText xml:space="preserve"> PAGEREF _Toc169624359 \h </w:instrText>
      </w:r>
      <w:r>
        <w:fldChar w:fldCharType="separate"/>
      </w:r>
      <w:r>
        <w:t>1</w:t>
      </w:r>
      <w:r>
        <w:fldChar w:fldCharType="end"/>
      </w:r>
      <w:r>
        <w:fldChar w:fldCharType="end"/>
      </w:r>
    </w:p>
    <w:p w14:paraId="78ED6B1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"_Toc169624360" </w:instrText>
      </w:r>
      <w:r>
        <w:fldChar w:fldCharType="separate"/>
      </w:r>
      <w:r>
        <w:rPr>
          <w:rStyle w:val="10"/>
        </w:rPr>
        <w:t>二、绩效评价工作情况</w:t>
      </w:r>
      <w:r>
        <w:tab/>
      </w:r>
      <w:r>
        <w:fldChar w:fldCharType="begin"/>
      </w:r>
      <w:r>
        <w:instrText xml:space="preserve"> PAGEREF _Toc169624360 \h </w:instrText>
      </w:r>
      <w:r>
        <w:fldChar w:fldCharType="separate"/>
      </w:r>
      <w:r>
        <w:t>2</w:t>
      </w:r>
      <w:r>
        <w:fldChar w:fldCharType="end"/>
      </w:r>
      <w:r>
        <w:fldChar w:fldCharType="end"/>
      </w:r>
    </w:p>
    <w:p w14:paraId="6D6ED84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"_Toc169624361" </w:instrText>
      </w:r>
      <w:r>
        <w:fldChar w:fldCharType="separate"/>
      </w:r>
      <w:r>
        <w:rPr>
          <w:rStyle w:val="10"/>
        </w:rPr>
        <w:t>（一）绩效评价目的</w:t>
      </w:r>
      <w:r>
        <w:tab/>
      </w:r>
      <w:r>
        <w:fldChar w:fldCharType="begin"/>
      </w:r>
      <w:r>
        <w:instrText xml:space="preserve"> PAGEREF _Toc169624361 \h </w:instrText>
      </w:r>
      <w:r>
        <w:fldChar w:fldCharType="separate"/>
      </w:r>
      <w:r>
        <w:t>2</w:t>
      </w:r>
      <w:r>
        <w:fldChar w:fldCharType="end"/>
      </w:r>
      <w:r>
        <w:fldChar w:fldCharType="end"/>
      </w:r>
    </w:p>
    <w:p w14:paraId="3813D696">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"_Toc169624362" </w:instrText>
      </w:r>
      <w:r>
        <w:fldChar w:fldCharType="separate"/>
      </w:r>
      <w:r>
        <w:rPr>
          <w:rStyle w:val="10"/>
        </w:rPr>
        <w:t>（二）绩效评价的基本内容</w:t>
      </w:r>
      <w:r>
        <w:tab/>
      </w:r>
      <w:r>
        <w:fldChar w:fldCharType="begin"/>
      </w:r>
      <w:r>
        <w:instrText xml:space="preserve"> PAGEREF _Toc169624362 \h </w:instrText>
      </w:r>
      <w:r>
        <w:fldChar w:fldCharType="separate"/>
      </w:r>
      <w:r>
        <w:t>2</w:t>
      </w:r>
      <w:r>
        <w:fldChar w:fldCharType="end"/>
      </w:r>
      <w:r>
        <w:fldChar w:fldCharType="end"/>
      </w:r>
    </w:p>
    <w:p w14:paraId="3E42100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"_Toc169624363" </w:instrText>
      </w:r>
      <w:r>
        <w:fldChar w:fldCharType="separate"/>
      </w:r>
      <w:r>
        <w:rPr>
          <w:rStyle w:val="10"/>
        </w:rPr>
        <w:t>（三）绩效评价依据</w:t>
      </w:r>
      <w:r>
        <w:tab/>
      </w:r>
      <w:r>
        <w:fldChar w:fldCharType="begin"/>
      </w:r>
      <w:r>
        <w:instrText xml:space="preserve"> PAGEREF _Toc169624363 \h </w:instrText>
      </w:r>
      <w:r>
        <w:fldChar w:fldCharType="separate"/>
      </w:r>
      <w:r>
        <w:t>2</w:t>
      </w:r>
      <w:r>
        <w:fldChar w:fldCharType="end"/>
      </w:r>
      <w:r>
        <w:fldChar w:fldCharType="end"/>
      </w:r>
    </w:p>
    <w:p w14:paraId="748181D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"_Toc169624364" </w:instrText>
      </w:r>
      <w:r>
        <w:fldChar w:fldCharType="separate"/>
      </w:r>
      <w:r>
        <w:rPr>
          <w:rStyle w:val="10"/>
        </w:rPr>
        <w:t>（四）绩效评价原则和指标体系</w:t>
      </w:r>
      <w:r>
        <w:tab/>
      </w:r>
      <w:r>
        <w:fldChar w:fldCharType="begin"/>
      </w:r>
      <w:r>
        <w:instrText xml:space="preserve"> PAGEREF _Toc169624364 \h </w:instrText>
      </w:r>
      <w:r>
        <w:fldChar w:fldCharType="separate"/>
      </w:r>
      <w:r>
        <w:t>3</w:t>
      </w:r>
      <w:r>
        <w:fldChar w:fldCharType="end"/>
      </w:r>
      <w:r>
        <w:fldChar w:fldCharType="end"/>
      </w:r>
    </w:p>
    <w:p w14:paraId="7119C673">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"_Toc169624365" </w:instrText>
      </w:r>
      <w:r>
        <w:fldChar w:fldCharType="separate"/>
      </w:r>
      <w:r>
        <w:rPr>
          <w:rStyle w:val="10"/>
        </w:rPr>
        <w:t>（五）绩效评价标准和评价方法</w:t>
      </w:r>
      <w:r>
        <w:tab/>
      </w:r>
      <w:r>
        <w:rPr>
          <w:rFonts w:hint="eastAsia"/>
        </w:rPr>
        <w:t>5</w:t>
      </w:r>
      <w:r>
        <w:rPr>
          <w:rFonts w:hint="eastAsia"/>
        </w:rPr>
        <w:fldChar w:fldCharType="end"/>
      </w:r>
    </w:p>
    <w:p w14:paraId="2F4E24B7">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"_Toc169624366" </w:instrText>
      </w:r>
      <w:r>
        <w:fldChar w:fldCharType="separate"/>
      </w:r>
      <w:r>
        <w:rPr>
          <w:rStyle w:val="10"/>
        </w:rPr>
        <w:t>（六）绩效评价工作过程</w:t>
      </w:r>
      <w:r>
        <w:tab/>
      </w:r>
      <w:r>
        <w:rPr>
          <w:rFonts w:hint="eastAsia"/>
        </w:rPr>
        <w:t>6</w:t>
      </w:r>
      <w:r>
        <w:rPr>
          <w:rFonts w:hint="eastAsia"/>
        </w:rPr>
        <w:fldChar w:fldCharType="end"/>
      </w:r>
    </w:p>
    <w:p w14:paraId="28CF667E">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"_Toc169624367" </w:instrText>
      </w:r>
      <w:r>
        <w:fldChar w:fldCharType="separate"/>
      </w:r>
      <w:r>
        <w:rPr>
          <w:rStyle w:val="10"/>
        </w:rPr>
        <w:t>三、项目评价结论</w:t>
      </w:r>
      <w:r>
        <w:tab/>
      </w:r>
      <w:r>
        <w:rPr>
          <w:rFonts w:hint="eastAsia"/>
        </w:rPr>
        <w:t>6</w:t>
      </w:r>
      <w:r>
        <w:rPr>
          <w:rFonts w:hint="eastAsia"/>
        </w:rPr>
        <w:fldChar w:fldCharType="end"/>
      </w:r>
    </w:p>
    <w:p w14:paraId="3ADA329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Pr>
        <w:t>四、综合评价情况</w:t>
      </w:r>
      <w:r>
        <w:tab/>
      </w:r>
      <w:r>
        <w:rPr>
          <w:rFonts w:hint="eastAsia"/>
        </w:rPr>
        <w:t>6</w:t>
      </w:r>
      <w:r>
        <w:rPr>
          <w:rFonts w:hint="eastAsia"/>
        </w:rPr>
        <w:fldChar w:fldCharType="end"/>
      </w:r>
    </w:p>
    <w:p w14:paraId="67A508D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"_Toc169624369" </w:instrText>
      </w:r>
      <w:r>
        <w:fldChar w:fldCharType="separate"/>
      </w:r>
      <w:r>
        <w:rPr>
          <w:rStyle w:val="10"/>
          <w:rFonts w:ascii="仿宋_GB2312"/>
        </w:rPr>
        <w:t>（一）资金管理</w:t>
      </w:r>
      <w:r>
        <w:tab/>
      </w:r>
      <w:r>
        <w:rPr>
          <w:rFonts w:hint="eastAsia"/>
        </w:rPr>
        <w:t>5</w:t>
      </w:r>
      <w:r>
        <w:rPr>
          <w:rFonts w:hint="eastAsia"/>
        </w:rPr>
        <w:fldChar w:fldCharType="end"/>
      </w:r>
    </w:p>
    <w:p w14:paraId="574C465B">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"_Toc169624370" </w:instrText>
      </w:r>
      <w:r>
        <w:fldChar w:fldCharType="separate"/>
      </w:r>
      <w:r>
        <w:rPr>
          <w:rStyle w:val="10"/>
          <w:rFonts w:ascii="仿宋_GB2312"/>
        </w:rPr>
        <w:t>（二）项目管理</w:t>
      </w:r>
      <w:r>
        <w:tab/>
      </w:r>
      <w:r>
        <w:rPr>
          <w:rFonts w:hint="eastAsia"/>
        </w:rPr>
        <w:t>6</w:t>
      </w:r>
      <w:r>
        <w:rPr>
          <w:rFonts w:hint="eastAsia"/>
        </w:rPr>
        <w:fldChar w:fldCharType="end"/>
      </w:r>
    </w:p>
    <w:p w14:paraId="51EA8B0C">
      <w:pPr>
        <w:pStyle w:val="6"/>
      </w:pPr>
      <w:r>
        <w:fldChar w:fldCharType="begin"/>
      </w:r>
      <w:r>
        <w:instrText xml:space="preserve"> HYPERLINK \l "_Toc169624371" </w:instrText>
      </w:r>
      <w:r>
        <w:fldChar w:fldCharType="separate"/>
      </w:r>
      <w:r>
        <w:rPr>
          <w:rStyle w:val="10"/>
          <w:rFonts w:ascii="仿宋_GB2312"/>
        </w:rPr>
        <w:t>（三）项目管理</w:t>
      </w:r>
      <w:r>
        <w:tab/>
      </w:r>
      <w:r>
        <w:rPr>
          <w:rFonts w:hint="eastAsia"/>
        </w:rPr>
        <w:t>6</w:t>
      </w:r>
      <w:r>
        <w:rPr>
          <w:rFonts w:hint="eastAsia"/>
        </w:rPr>
        <w:fldChar w:fldCharType="end"/>
      </w:r>
    </w:p>
    <w:p w14:paraId="07E74CF4">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Fonts w:hint="eastAsia"/>
        </w:rPr>
        <w:t>五</w:t>
      </w:r>
      <w:r>
        <w:rPr>
          <w:rStyle w:val="10"/>
        </w:rPr>
        <w:t>、</w:t>
      </w:r>
      <w:r>
        <w:rPr>
          <w:rStyle w:val="10"/>
          <w:rFonts w:hint="eastAsia"/>
        </w:rPr>
        <w:t>存在的问题及建议</w:t>
      </w:r>
      <w:r>
        <w:tab/>
      </w:r>
      <w:r>
        <w:fldChar w:fldCharType="begin"/>
      </w:r>
      <w:r>
        <w:instrText xml:space="preserve"> PAGEREF _Toc169624368 \h </w:instrText>
      </w:r>
      <w:r>
        <w:fldChar w:fldCharType="separate"/>
      </w:r>
      <w:r>
        <w:t>7</w:t>
      </w:r>
      <w:r>
        <w:fldChar w:fldCharType="end"/>
      </w:r>
      <w:r>
        <w:fldChar w:fldCharType="end"/>
      </w:r>
    </w:p>
    <w:p w14:paraId="168784E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"_Toc169624372" </w:instrText>
      </w:r>
      <w:r>
        <w:fldChar w:fldCharType="separate"/>
      </w:r>
      <w:r>
        <w:rPr>
          <w:rStyle w:val="10"/>
          <w:rFonts w:ascii="仿宋_GB2312"/>
        </w:rPr>
        <w:t>（一）存在问题</w:t>
      </w:r>
      <w:r>
        <w:tab/>
      </w:r>
      <w:r>
        <w:rPr>
          <w:rFonts w:hint="eastAsia"/>
        </w:rPr>
        <w:t>7</w:t>
      </w:r>
      <w:r>
        <w:rPr>
          <w:rFonts w:hint="eastAsia"/>
        </w:rPr>
        <w:fldChar w:fldCharType="end"/>
      </w:r>
    </w:p>
    <w:p w14:paraId="5E1A14B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"_Toc169624373" </w:instrText>
      </w:r>
      <w:r>
        <w:fldChar w:fldCharType="separate"/>
      </w:r>
      <w:r>
        <w:rPr>
          <w:rStyle w:val="10"/>
          <w:rFonts w:ascii="仿宋_GB2312"/>
        </w:rPr>
        <w:t>（二）建议</w:t>
      </w:r>
      <w:r>
        <w:tab/>
      </w:r>
      <w:r>
        <w:rPr>
          <w:rFonts w:hint="eastAsia"/>
        </w:rPr>
        <w:t>7</w:t>
      </w:r>
      <w:r>
        <w:rPr>
          <w:rFonts w:hint="eastAsia"/>
        </w:rPr>
        <w:fldChar w:fldCharType="end"/>
      </w:r>
    </w:p>
    <w:p w14:paraId="2DF30A58">
      <w:pPr>
        <w:pStyle w:val="12"/>
        <w:spacing w:line="460" w:lineRule="exact"/>
        <w:rPr>
          <w:rFonts w:ascii="Arial Narrow" w:hAnsi="Arial Narrow" w:eastAsia="仿宋_GB2312"/>
          <w:bCs/>
          <w:w w:val="80"/>
        </w:rPr>
        <w:sectPr>
          <w:footerReference r:id="rId6" w:type="first"/>
          <w:footerReference r:id="rId4" w:type="default"/>
          <w:headerReference r:id="rId3" w:type="even"/>
          <w:footerReference r:id="rId5" w:type="even"/>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0383E44A">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4F1F0D72">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5DCB5265">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060号</w:t>
      </w:r>
    </w:p>
    <w:p w14:paraId="0ECDA748">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15F1E1BA">
      <w:pPr>
        <w:adjustRightInd w:val="0"/>
        <w:snapToGrid w:val="0"/>
        <w:spacing w:line="360" w:lineRule="auto"/>
        <w:jc w:val="center"/>
        <w:rPr>
          <w:rStyle w:val="10"/>
          <w:rFonts w:ascii="Arial Narrow" w:hAnsi="Arial Narrow" w:eastAsia="仿宋_GB2312"/>
          <w:b/>
          <w:color w:val="auto"/>
          <w:sz w:val="36"/>
          <w:szCs w:val="36"/>
          <w:u w:val="none"/>
        </w:rPr>
      </w:pPr>
      <w:bookmarkStart w:id="3" w:name="_Hlk171272916"/>
      <w:r>
        <w:rPr>
          <w:rStyle w:val="10"/>
          <w:rFonts w:hint="eastAsia" w:ascii="Arial Narrow" w:hAnsi="Arial Narrow" w:eastAsia="仿宋_GB2312"/>
          <w:b/>
          <w:color w:val="auto"/>
          <w:sz w:val="36"/>
          <w:szCs w:val="36"/>
          <w:u w:val="none"/>
        </w:rPr>
        <w:t>重庆市铜梁区西河镇双永村蔬菜基地建设项目</w:t>
      </w:r>
    </w:p>
    <w:p w14:paraId="536B31F6">
      <w:pPr>
        <w:adjustRightInd w:val="0"/>
        <w:snapToGrid w:val="0"/>
        <w:spacing w:line="360" w:lineRule="auto"/>
        <w:jc w:val="center"/>
        <w:rPr>
          <w:rFonts w:ascii="Arial Narrow" w:hAnsi="Arial Narrow" w:eastAsia="仿宋_GB2312"/>
          <w:b/>
          <w:sz w:val="36"/>
          <w:szCs w:val="36"/>
        </w:rPr>
      </w:pPr>
      <w:r>
        <w:rPr>
          <w:rStyle w:val="10"/>
          <w:rFonts w:hint="eastAsia" w:ascii="Arial Narrow" w:hAnsi="Arial Narrow" w:eastAsia="仿宋_GB2312"/>
          <w:b/>
          <w:color w:val="auto"/>
          <w:sz w:val="36"/>
          <w:szCs w:val="36"/>
          <w:u w:val="none"/>
        </w:rPr>
        <w:t>等3个项目财政专项衔接资金</w:t>
      </w:r>
      <w:bookmarkEnd w:id="3"/>
      <w:r>
        <w:rPr>
          <w:rFonts w:hint="eastAsia" w:ascii="仿宋_GB2312" w:eastAsia="仿宋_GB2312"/>
          <w:b/>
          <w:sz w:val="36"/>
          <w:szCs w:val="36"/>
        </w:rPr>
        <w:t>绩效评价报告</w:t>
      </w:r>
    </w:p>
    <w:p w14:paraId="508CF399">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重庆市铜梁区西河镇（以下简称西河镇）双永村蔬菜基地建设项目等3个项目财政专项衔接资金</w:t>
      </w:r>
      <w:r>
        <w:rPr>
          <w:rFonts w:ascii="Arial Narrow" w:hAnsi="Arial Narrow" w:eastAsia="仿宋_GB2312"/>
          <w:color w:val="auto"/>
        </w:rPr>
        <w:t>进行绩效评价，现将评价情况报告如下：</w:t>
      </w:r>
    </w:p>
    <w:p w14:paraId="4325978F">
      <w:pPr>
        <w:spacing w:before="240" w:beforeLines="100" w:line="360" w:lineRule="auto"/>
        <w:ind w:firstLine="482" w:firstLineChars="200"/>
        <w:jc w:val="left"/>
        <w:outlineLvl w:val="0"/>
        <w:rPr>
          <w:rFonts w:ascii="Arial Narrow" w:hAnsi="Arial Narrow" w:eastAsia="仿宋_GB2312"/>
          <w:b/>
          <w:sz w:val="24"/>
        </w:rPr>
      </w:pPr>
      <w:bookmarkStart w:id="4" w:name="_Toc169624358"/>
      <w:r>
        <w:rPr>
          <w:rFonts w:ascii="Arial Narrow" w:hAnsi="Arial Narrow" w:eastAsia="仿宋_GB2312"/>
          <w:b/>
          <w:sz w:val="24"/>
        </w:rPr>
        <w:t>一、基本情况</w:t>
      </w:r>
      <w:bookmarkEnd w:id="4"/>
    </w:p>
    <w:p w14:paraId="4BE2ECB6">
      <w:pPr>
        <w:spacing w:before="120" w:beforeLines="50" w:line="360" w:lineRule="auto"/>
        <w:ind w:firstLine="482" w:firstLineChars="200"/>
        <w:jc w:val="left"/>
        <w:outlineLvl w:val="0"/>
        <w:rPr>
          <w:rFonts w:ascii="Arial Narrow" w:hAnsi="Arial Narrow" w:eastAsia="仿宋" w:cs="宋体"/>
          <w:b/>
          <w:bCs/>
          <w:kern w:val="0"/>
          <w:sz w:val="24"/>
        </w:rPr>
      </w:pPr>
      <w:bookmarkStart w:id="5" w:name="_Toc169624359"/>
      <w:r>
        <w:rPr>
          <w:rFonts w:hint="eastAsia" w:ascii="Arial Narrow" w:hAnsi="Arial Narrow" w:eastAsia="仿宋" w:cs="宋体"/>
          <w:b/>
          <w:bCs/>
          <w:kern w:val="0"/>
          <w:sz w:val="24"/>
        </w:rPr>
        <w:t>（一）项目情况</w:t>
      </w:r>
      <w:bookmarkEnd w:id="5"/>
    </w:p>
    <w:p w14:paraId="6B833F9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1.三善村蔬菜基地配套设施建设项目</w:t>
      </w:r>
    </w:p>
    <w:p w14:paraId="0B0B672E">
      <w:pPr>
        <w:spacing w:line="360" w:lineRule="auto"/>
        <w:ind w:firstLine="480" w:firstLineChars="200"/>
        <w:rPr>
          <w:rFonts w:ascii="Arial Narrow" w:hAnsi="Arial Narrow" w:eastAsia="仿宋_GB2312" w:cs="宋体"/>
          <w:kern w:val="0"/>
          <w:sz w:val="32"/>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铜梁区西河镇三善村股份经济合作联合社</w:t>
      </w:r>
      <w:r>
        <w:rPr>
          <w:rFonts w:ascii="Arial Narrow" w:hAnsi="Arial Narrow" w:eastAsia="仿宋_GB2312" w:cs="宋体"/>
          <w:kern w:val="0"/>
          <w:sz w:val="32"/>
          <w:szCs w:val="32"/>
        </w:rPr>
        <w:t xml:space="preserve"> </w:t>
      </w:r>
    </w:p>
    <w:p w14:paraId="4317AE3F">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项目内容：新建蔬菜大棚9500</w:t>
      </w:r>
      <w:r>
        <w:rPr>
          <w:rFonts w:hint="eastAsia" w:ascii="Segoe UI Symbol" w:hAnsi="Segoe UI Symbol" w:eastAsia="仿宋_GB2312" w:cs="Segoe UI Symbol"/>
          <w:kern w:val="0"/>
          <w:sz w:val="24"/>
        </w:rPr>
        <w:t>㎡以上，完善相关基础配套设施</w:t>
      </w:r>
    </w:p>
    <w:p w14:paraId="02A97E16">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项目资金安排情况：该项目2023年计划投入54万元，其中50万元申请财政专项衔接资金，自筹资金4万元。</w:t>
      </w:r>
    </w:p>
    <w:p w14:paraId="7A5625E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2.双永村蔬菜基地建设项目</w:t>
      </w:r>
    </w:p>
    <w:p w14:paraId="28F36E0E">
      <w:pPr>
        <w:spacing w:line="360" w:lineRule="auto"/>
        <w:ind w:firstLine="480" w:firstLineChars="200"/>
        <w:rPr>
          <w:rFonts w:ascii="Arial Narrow" w:hAnsi="Arial Narrow" w:eastAsia="仿宋_GB2312"/>
          <w:sz w:val="24"/>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铜梁区西河镇双永村股份经济合作联合社</w:t>
      </w:r>
    </w:p>
    <w:p w14:paraId="34D1FE4B">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项目内容：1.修建产业路2.5米宽长0.5千米；2.场地平整50亩；3.新建蔬菜大棚约1.42万</w:t>
      </w:r>
      <w:r>
        <w:rPr>
          <w:rFonts w:hint="eastAsia" w:ascii="Segoe UI Symbol" w:hAnsi="Segoe UI Symbol" w:eastAsia="仿宋_GB2312" w:cs="Segoe UI Symbol"/>
          <w:kern w:val="0"/>
          <w:sz w:val="24"/>
        </w:rPr>
        <w:t>平方米并配套相应基础设施等。</w:t>
      </w:r>
    </w:p>
    <w:p w14:paraId="5E0AB95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项目资金安排情况：该项目2023年计划投入112.6万元，申请财政资金100万元，自筹12.6万元。</w:t>
      </w:r>
    </w:p>
    <w:p w14:paraId="00D6528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3</w:t>
      </w:r>
      <w:bookmarkStart w:id="6" w:name="_Hlk171273615"/>
      <w:r>
        <w:rPr>
          <w:rFonts w:hint="eastAsia" w:ascii="Arial Narrow" w:hAnsi="Arial Narrow" w:eastAsia="仿宋_GB2312" w:cs="宋体"/>
          <w:kern w:val="0"/>
          <w:sz w:val="24"/>
        </w:rPr>
        <w:t>.双永村肉鸡养殖基地二期建设项目</w:t>
      </w:r>
    </w:p>
    <w:bookmarkEnd w:id="6"/>
    <w:p w14:paraId="7C4D706A">
      <w:pPr>
        <w:spacing w:line="360" w:lineRule="auto"/>
        <w:ind w:firstLine="480" w:firstLineChars="200"/>
        <w:rPr>
          <w:rFonts w:ascii="Arial Narrow" w:hAnsi="Arial Narrow" w:eastAsia="仿宋_GB231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铜梁区西河镇双永村股份经济合作联合社</w:t>
      </w:r>
    </w:p>
    <w:p w14:paraId="7019AFC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项目内容：1.土地整治10.34亩；2.修建肉鸡养殖大棚1000</w:t>
      </w:r>
      <w:r>
        <w:rPr>
          <w:rFonts w:hint="eastAsia" w:ascii="Segoe UI Symbol" w:hAnsi="Segoe UI Symbol" w:eastAsia="仿宋_GB2312" w:cs="Segoe UI Symbol"/>
          <w:kern w:val="0"/>
          <w:sz w:val="24"/>
        </w:rPr>
        <w:t>㎡以上；3.新建室外道路基础307.2米等。</w:t>
      </w:r>
    </w:p>
    <w:p w14:paraId="37EE5147">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项目资金安排情况：该项目2023年计划投入76万元，申请财政资金70万元，自筹6万元。</w:t>
      </w:r>
    </w:p>
    <w:p w14:paraId="463E2983">
      <w:pPr>
        <w:spacing w:line="360" w:lineRule="auto"/>
        <w:ind w:firstLine="482" w:firstLineChars="200"/>
        <w:jc w:val="left"/>
        <w:outlineLvl w:val="0"/>
        <w:rPr>
          <w:rFonts w:ascii="Arial Narrow" w:hAnsi="Arial Narrow" w:eastAsia="仿宋_GB2312"/>
          <w:b/>
          <w:sz w:val="24"/>
        </w:rPr>
      </w:pPr>
      <w:bookmarkStart w:id="7" w:name="_Toc169624360"/>
      <w:r>
        <w:rPr>
          <w:rFonts w:ascii="Arial Narrow" w:hAnsi="Arial Narrow" w:eastAsia="仿宋_GB2312"/>
          <w:b/>
          <w:sz w:val="24"/>
        </w:rPr>
        <w:t>二、绩效评价工作情况</w:t>
      </w:r>
      <w:bookmarkEnd w:id="7"/>
    </w:p>
    <w:p w14:paraId="19DE99F1">
      <w:pPr>
        <w:spacing w:line="360" w:lineRule="auto"/>
        <w:ind w:firstLine="482" w:firstLineChars="200"/>
        <w:jc w:val="left"/>
        <w:outlineLvl w:val="0"/>
        <w:rPr>
          <w:rFonts w:ascii="Arial Narrow" w:hAnsi="Arial Narrow" w:eastAsia="仿宋_GB2312"/>
          <w:b/>
          <w:sz w:val="24"/>
        </w:rPr>
      </w:pPr>
      <w:bookmarkStart w:id="8" w:name="_Toc169624361"/>
      <w:bookmarkStart w:id="9" w:name="_Toc513775099"/>
      <w:r>
        <w:rPr>
          <w:rFonts w:ascii="Arial Narrow" w:hAnsi="Arial Narrow" w:eastAsia="仿宋_GB2312"/>
          <w:b/>
          <w:sz w:val="24"/>
        </w:rPr>
        <w:t>（一）绩效评价目的</w:t>
      </w:r>
      <w:bookmarkEnd w:id="8"/>
      <w:bookmarkEnd w:id="9"/>
    </w:p>
    <w:p w14:paraId="1DF98FB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5758B35A">
      <w:pPr>
        <w:spacing w:line="360" w:lineRule="auto"/>
        <w:ind w:firstLine="482" w:firstLineChars="200"/>
        <w:jc w:val="left"/>
        <w:outlineLvl w:val="0"/>
        <w:rPr>
          <w:rFonts w:ascii="Arial Narrow" w:hAnsi="Arial Narrow" w:eastAsia="仿宋_GB2312"/>
          <w:b/>
          <w:sz w:val="24"/>
        </w:rPr>
      </w:pPr>
      <w:bookmarkStart w:id="10" w:name="_Toc169624362"/>
      <w:bookmarkStart w:id="11"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10"/>
    </w:p>
    <w:p w14:paraId="58FFA03B">
      <w:pPr>
        <w:pStyle w:val="13"/>
        <w:spacing w:line="360" w:lineRule="auto"/>
        <w:ind w:firstLine="480" w:firstLineChars="200"/>
        <w:rPr>
          <w:rFonts w:ascii="Arial Narrow" w:hAnsi="Arial Narrow" w:eastAsia="仿宋_GB2312"/>
          <w:color w:val="auto"/>
        </w:rPr>
      </w:pPr>
      <w:bookmarkStart w:id="12" w:name="_Toc166332968"/>
      <w:r>
        <w:rPr>
          <w:rFonts w:hint="eastAsia" w:ascii="Arial Narrow" w:hAnsi="Arial Narrow" w:eastAsia="仿宋_GB2312"/>
          <w:color w:val="auto"/>
        </w:rPr>
        <w:t>1.绩效目标的设定情况；</w:t>
      </w:r>
    </w:p>
    <w:p w14:paraId="4792937D">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130E605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7D0F628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0949E2C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1DA055FF">
      <w:pPr>
        <w:spacing w:line="360" w:lineRule="auto"/>
        <w:ind w:firstLine="482" w:firstLineChars="200"/>
        <w:jc w:val="left"/>
        <w:outlineLvl w:val="0"/>
        <w:rPr>
          <w:rFonts w:ascii="Arial Narrow" w:hAnsi="Arial Narrow" w:eastAsia="仿宋_GB2312"/>
          <w:b/>
          <w:sz w:val="24"/>
        </w:rPr>
      </w:pPr>
      <w:bookmarkStart w:id="13" w:name="_Toc169624363"/>
      <w:r>
        <w:rPr>
          <w:rFonts w:ascii="Arial Narrow" w:hAnsi="Arial Narrow" w:eastAsia="仿宋_GB2312"/>
          <w:b/>
          <w:sz w:val="24"/>
        </w:rPr>
        <w:t>（三）绩效评价依据</w:t>
      </w:r>
      <w:bookmarkEnd w:id="11"/>
      <w:bookmarkEnd w:id="12"/>
      <w:bookmarkEnd w:id="13"/>
      <w:bookmarkStart w:id="14" w:name="_Toc335040595"/>
    </w:p>
    <w:bookmarkEnd w:id="14"/>
    <w:p w14:paraId="4934913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64CCEB7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676510A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olor w:val="auto"/>
        </w:rPr>
        <w:t>；</w:t>
      </w:r>
    </w:p>
    <w:p w14:paraId="336AA2A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7A76557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15A398C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2FB96970">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7939686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olor w:val="auto"/>
        </w:rPr>
        <w:t>；</w:t>
      </w:r>
    </w:p>
    <w:p w14:paraId="14B60B4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olor w:val="auto"/>
        </w:rPr>
        <w:t>；</w:t>
      </w:r>
    </w:p>
    <w:p w14:paraId="558E757B">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5" w:name="_Hlk162597612"/>
      <w:r>
        <w:rPr>
          <w:rFonts w:hint="eastAsia" w:ascii="Arial Narrow" w:hAnsi="Arial Narrow" w:eastAsia="仿宋_GB2312"/>
          <w:color w:val="auto"/>
        </w:rPr>
        <w:t>〔2016〕</w:t>
      </w:r>
      <w:bookmarkEnd w:id="15"/>
      <w:r>
        <w:rPr>
          <w:rFonts w:ascii="Arial Narrow" w:hAnsi="Arial Narrow" w:eastAsia="仿宋_GB2312"/>
          <w:color w:val="auto"/>
        </w:rPr>
        <w:t>10号）</w:t>
      </w:r>
      <w:r>
        <w:rPr>
          <w:rFonts w:hint="eastAsia" w:ascii="Arial Narrow" w:hAnsi="Arial Narrow" w:eastAsia="仿宋_GB2312"/>
          <w:color w:val="auto"/>
        </w:rPr>
        <w:t>；</w:t>
      </w:r>
    </w:p>
    <w:p w14:paraId="74098C5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3BB7A677">
      <w:pPr>
        <w:spacing w:line="360" w:lineRule="auto"/>
        <w:ind w:firstLine="482" w:firstLineChars="200"/>
        <w:jc w:val="left"/>
        <w:outlineLvl w:val="0"/>
        <w:rPr>
          <w:rFonts w:ascii="Arial Narrow" w:hAnsi="Arial Narrow" w:eastAsia="仿宋_GB2312"/>
          <w:b/>
          <w:sz w:val="24"/>
        </w:rPr>
      </w:pPr>
      <w:bookmarkStart w:id="16" w:name="_Toc169624364"/>
      <w:r>
        <w:rPr>
          <w:rFonts w:ascii="Arial Narrow" w:hAnsi="Arial Narrow" w:eastAsia="仿宋_GB2312"/>
          <w:b/>
          <w:sz w:val="24"/>
        </w:rPr>
        <w:t>（四）绩效评价原则和指标体系</w:t>
      </w:r>
      <w:bookmarkEnd w:id="16"/>
    </w:p>
    <w:p w14:paraId="10AA2C8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57701D5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564D22D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50450BA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1EBD1BB6">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284B3AD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677E91D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7E1FA96F">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1012C20A">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51061BAB">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55A96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03759D1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3B51ABE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7CAF4C1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0F3F60A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5A637D7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评价标准</w:t>
            </w:r>
          </w:p>
        </w:tc>
      </w:tr>
      <w:tr w14:paraId="47FFDF9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5CEE60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04622D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47E853B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5EAD5D9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2182128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1D986AC5">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资金使用方向符合文件规定（2分）。</w:t>
            </w:r>
          </w:p>
        </w:tc>
      </w:tr>
      <w:tr w14:paraId="1DD3FA4D">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547981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4964911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6A1781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65A658E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3799E99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3041548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区财政局下达资金文件时间到区级业务主管部门下达项目及资金计划文件时间间隔≤30日（3分）。</w:t>
            </w:r>
          </w:p>
        </w:tc>
      </w:tr>
      <w:tr w14:paraId="0A692D29">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76E2A6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F0EEA9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02CD986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2C39E94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nil"/>
              <w:right w:val="nil"/>
            </w:tcBorders>
            <w:shd w:val="clear" w:color="auto" w:fill="auto"/>
            <w:vAlign w:val="center"/>
          </w:tcPr>
          <w:p w14:paraId="1EC3859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评价落实《铜梁区巩固拓展脱贫攻坚成果和衔接乡村振兴项目库建设管理实施细则》（铜乡振〔2021〕7号）落实情况。根据抽查情况赋分。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7848071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1.项目入库及时充分、程序规范、内容完整（3分）；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2.入库项目具备实施条件（2分）；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3.衔接资金用于项目库之外的项目（-5分）。</w:t>
            </w:r>
          </w:p>
        </w:tc>
      </w:tr>
      <w:tr w14:paraId="4DFE7834">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1B6567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0363355A">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7EFB84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040ABEA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1168443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评价具体项目实施方案明确绩效目标情况、开展跟踪监督绩效监控情况、事后评价情况等。根据抽查情况赋分。</w:t>
            </w:r>
          </w:p>
        </w:tc>
        <w:tc>
          <w:tcPr>
            <w:tcW w:w="3591" w:type="dxa"/>
            <w:tcBorders>
              <w:top w:val="nil"/>
              <w:left w:val="nil"/>
              <w:bottom w:val="single" w:color="auto" w:sz="4" w:space="0"/>
              <w:right w:val="single" w:color="auto" w:sz="4" w:space="0"/>
            </w:tcBorders>
            <w:shd w:val="clear" w:color="auto" w:fill="auto"/>
            <w:vAlign w:val="center"/>
          </w:tcPr>
          <w:p w14:paraId="7D72CF0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1.及时制定绩效目标、审核绩效目标（2分）；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2.开展绩效监控不少于1次（2分）；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3.对绩效目标偏离项目采取纠偏措施（2分）；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4.项目实施完毕后立即开展绩效自评，并形成绩效自评报告及绩效自评表。（2分）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5.项目绩效是否达到预期。（2分）</w:t>
            </w:r>
          </w:p>
        </w:tc>
      </w:tr>
      <w:tr w14:paraId="4D150FAC">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9ABF8C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0D3A3E6D">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2500D9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3BEEB65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39103536">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评价有序推进项目前期工作、组织实施、项目验收、资料报送等情况。根据抽查情况赋分。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101F5FE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1.项目实施方法存在变更是否按规定报批；（1分）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2.是否定期对项目实施情况进行监督检查，对检查中发现的问题进行整改；（2分）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3.是否按照项目实施节点按时提交项目报账资料；（1分）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4.日常管理资料是否及时归档整理；（1分）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5.项目完工后是否在规定时间内进行验收。（1分）</w:t>
            </w:r>
          </w:p>
        </w:tc>
      </w:tr>
      <w:tr w14:paraId="221A1CDC">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58E0FE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015390BD">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156102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654244B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6A66943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评价有序推进项目工作和资金支付情况。根据抽查情况赋分。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17060326">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主要通过支出进度评价有序推进项目工作和资金支付情况，于7月末、10月中旬定期调度。</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1.7月末支出进度评分4分。资金支出进度达到全区平均进度或者序时进度的，得满分；未达到的按照与序时进度的比例扣分；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2.10月中旬支出进度评分4分。资金支出进度达到全区平均进度或者序时进度的，得满分；未达到的按照与序时进度的比例扣分；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4011F00B">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C58A7E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3FAA8EE5">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4AA04C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60B694D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1A5356C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评价定期开展监督检查情况、发现问题整改情况。根据未处理问题比例扣减。根据抽查情况赋分。</w:t>
            </w:r>
          </w:p>
        </w:tc>
        <w:tc>
          <w:tcPr>
            <w:tcW w:w="3591" w:type="dxa"/>
            <w:tcBorders>
              <w:top w:val="nil"/>
              <w:left w:val="nil"/>
              <w:bottom w:val="single" w:color="auto" w:sz="4" w:space="0"/>
              <w:right w:val="single" w:color="auto" w:sz="4" w:space="0"/>
            </w:tcBorders>
            <w:shd w:val="clear" w:color="auto" w:fill="auto"/>
            <w:vAlign w:val="center"/>
          </w:tcPr>
          <w:p w14:paraId="3994365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1.定期开展项目实施和资金支出进度等跟踪督促情况，落实到位的得2分，未完全落实到位的酌情扣分；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2.跟踪督促及各类检查发现问题整改到位情况，满分5分，根据未整改问题比例扣减；</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3.全国12317防止返贫监测和乡村振兴咨询服务平台（简称12317平台）反馈问题处理情况，满分1分。</w:t>
            </w:r>
          </w:p>
        </w:tc>
      </w:tr>
      <w:tr w14:paraId="6AC24A30">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37C839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3F31041A">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6FDC6D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6910751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0FD078B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评价账务处理，资产转固，收益管理、档案管理等情况。根据抽查情况赋分。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4AE37D1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1.财务处理是否规范，原始凭证是否齐全，建成资产是否及时转固、收益管理是否合规；（4分）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2.档案管理是否完整、合规、真实。（1分）</w:t>
            </w:r>
          </w:p>
        </w:tc>
      </w:tr>
      <w:tr w14:paraId="7EB0BCD3">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6773F4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0E8B6B98">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687A53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1888AFB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65F1042B">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评价区级、镇级、村级落实《铜梁区财政衔接推进乡村振兴补助资金项目公告公示实施办法》（铜委农办〔2021〕19号）文件要求情况。根据抽查情况赋分。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64148EA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分区级、镇级、村级进行评价。</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1.抽查区级公示公开情况，满分3分，未完整公开酌情扣分；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2.抽查镇级公示公开情况，满分3分，未完整公开酌情扣分；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3.抽查村级公示公开情况，满分3分，未完整公开酌情扣分。</w:t>
            </w:r>
          </w:p>
        </w:tc>
      </w:tr>
      <w:tr w14:paraId="3C086737">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00C5C9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8DA8DE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7AE0AEE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244ABA6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09E777C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评价项目是否达到预期成效，后续管护是否存在问题等。根据抽查情况赋分。</w:t>
            </w:r>
          </w:p>
        </w:tc>
        <w:tc>
          <w:tcPr>
            <w:tcW w:w="3591" w:type="dxa"/>
            <w:tcBorders>
              <w:top w:val="nil"/>
              <w:left w:val="nil"/>
              <w:bottom w:val="single" w:color="auto" w:sz="4" w:space="0"/>
              <w:right w:val="single" w:color="auto" w:sz="4" w:space="0"/>
            </w:tcBorders>
            <w:shd w:val="clear" w:color="auto" w:fill="auto"/>
            <w:vAlign w:val="center"/>
          </w:tcPr>
          <w:p w14:paraId="1749E58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满分35分，根据抽查项目情况赋分。项目管理各环节，每存在一例不符合相关规定的，扣0.5分，扣完为止。</w:t>
            </w:r>
          </w:p>
        </w:tc>
      </w:tr>
      <w:tr w14:paraId="50EE6B43">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33561C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588B1A3B">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D45432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725815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7847DD4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62CEA98B">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1735D7FB">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0C86FA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1292EE9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37DB3CC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50BCDC4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3AB8DBF">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0888C6C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1.在财政衔接资金分配、使用、监管等方面存在机制创新；（2分）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2.国家、市级对我区财政衔接资金绩效评价中，被财政部、国家乡村振兴局及其第三方总结经验做法，并调研推广的。（3分）</w:t>
            </w:r>
          </w:p>
        </w:tc>
      </w:tr>
      <w:tr w14:paraId="1EBD98BF">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734DDB4">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55DA4939">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900299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4B5DF24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098B4C0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7CC22EB3">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考核材料、数据中存在虚假信息的，或经有关部门监督检查发现问题的，视情节严重程度扣1-10分。</w:t>
            </w:r>
          </w:p>
        </w:tc>
      </w:tr>
    </w:tbl>
    <w:p w14:paraId="552854C4">
      <w:pPr>
        <w:spacing w:before="120" w:beforeLines="50" w:line="360" w:lineRule="auto"/>
        <w:ind w:firstLine="482" w:firstLineChars="200"/>
        <w:jc w:val="left"/>
        <w:outlineLvl w:val="0"/>
        <w:rPr>
          <w:rFonts w:ascii="Arial Narrow" w:hAnsi="Arial Narrow" w:eastAsia="仿宋_GB2312"/>
          <w:b/>
          <w:sz w:val="24"/>
        </w:rPr>
      </w:pPr>
      <w:bookmarkStart w:id="17" w:name="_Toc169624365"/>
      <w:r>
        <w:rPr>
          <w:rFonts w:ascii="Arial Narrow" w:hAnsi="Arial Narrow" w:eastAsia="仿宋_GB2312"/>
          <w:b/>
          <w:sz w:val="24"/>
        </w:rPr>
        <w:t>（五）绩效评价标准和评价方法</w:t>
      </w:r>
      <w:bookmarkEnd w:id="17"/>
    </w:p>
    <w:p w14:paraId="7AC2514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7F14C91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3D4FFAEC">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8" w:name="_Hlk162596803"/>
      <w:r>
        <w:rPr>
          <w:rFonts w:ascii="Arial Narrow" w:hAnsi="Arial Narrow" w:eastAsia="仿宋_GB2312"/>
          <w:color w:val="auto"/>
        </w:rPr>
        <w:t>≥90</w:t>
      </w:r>
      <w:bookmarkEnd w:id="18"/>
      <w:r>
        <w:rPr>
          <w:rFonts w:ascii="Arial Narrow" w:hAnsi="Arial Narrow" w:eastAsia="仿宋_GB2312"/>
          <w:color w:val="auto"/>
        </w:rPr>
        <w:t>）、良</w:t>
      </w:r>
      <w:bookmarkStart w:id="19" w:name="_Hlk168473502"/>
      <w:r>
        <w:rPr>
          <w:rFonts w:ascii="Arial Narrow" w:hAnsi="Arial Narrow" w:eastAsia="仿宋_GB2312"/>
          <w:color w:val="auto"/>
        </w:rPr>
        <w:t>（90＞得分≥80）</w:t>
      </w:r>
      <w:bookmarkEnd w:id="19"/>
      <w:r>
        <w:rPr>
          <w:rFonts w:ascii="Arial Narrow" w:hAnsi="Arial Narrow" w:eastAsia="仿宋_GB2312"/>
          <w:color w:val="auto"/>
        </w:rPr>
        <w:t>、中（80＞得分≥60）、差（得分＜60）四个等级，按百分制综合得分高低按分值划段确定。</w:t>
      </w:r>
    </w:p>
    <w:p w14:paraId="251D461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2FA3E21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117064A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6230FC8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039129D8">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729B6F29">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最低成本法。是指对效益确定不易计量的多个同类对象的实施成本进行比较，评价绩效目标实现程度。</w:t>
      </w:r>
    </w:p>
    <w:p w14:paraId="507BB23E">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2C54CA3F">
      <w:pPr>
        <w:spacing w:line="360" w:lineRule="auto"/>
        <w:ind w:firstLine="482" w:firstLineChars="200"/>
        <w:jc w:val="left"/>
        <w:outlineLvl w:val="0"/>
        <w:rPr>
          <w:rFonts w:ascii="Arial Narrow" w:hAnsi="Arial Narrow" w:eastAsia="仿宋_GB2312"/>
          <w:b/>
          <w:sz w:val="24"/>
        </w:rPr>
      </w:pPr>
      <w:bookmarkStart w:id="20" w:name="_Toc437528932"/>
      <w:bookmarkStart w:id="21" w:name="_Toc169624366"/>
      <w:r>
        <w:rPr>
          <w:rFonts w:ascii="Arial Narrow" w:hAnsi="Arial Narrow" w:eastAsia="仿宋_GB2312"/>
          <w:b/>
          <w:sz w:val="24"/>
        </w:rPr>
        <w:t>（六）绩效评价</w:t>
      </w:r>
      <w:bookmarkEnd w:id="20"/>
      <w:r>
        <w:rPr>
          <w:rFonts w:ascii="Arial Narrow" w:hAnsi="Arial Narrow" w:eastAsia="仿宋_GB2312"/>
          <w:b/>
          <w:sz w:val="24"/>
        </w:rPr>
        <w:t>工作过程</w:t>
      </w:r>
      <w:bookmarkEnd w:id="21"/>
    </w:p>
    <w:p w14:paraId="3E1D949F">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3F99183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53120DE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665A5FD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2483A35D">
      <w:pPr>
        <w:spacing w:line="360" w:lineRule="auto"/>
        <w:ind w:firstLine="482" w:firstLineChars="200"/>
        <w:jc w:val="left"/>
        <w:outlineLvl w:val="0"/>
        <w:rPr>
          <w:rFonts w:ascii="Arial Narrow" w:hAnsi="Arial Narrow" w:eastAsia="仿宋_GB2312"/>
          <w:b/>
          <w:sz w:val="24"/>
        </w:rPr>
      </w:pPr>
      <w:bookmarkStart w:id="22" w:name="_Toc437528933"/>
      <w:bookmarkStart w:id="23" w:name="_Toc16962436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2"/>
      <w:r>
        <w:rPr>
          <w:rFonts w:ascii="Arial Narrow" w:hAnsi="Arial Narrow" w:eastAsia="仿宋_GB2312"/>
          <w:b/>
          <w:sz w:val="24"/>
        </w:rPr>
        <w:t>结论</w:t>
      </w:r>
      <w:bookmarkEnd w:id="23"/>
    </w:p>
    <w:p w14:paraId="1E006B90">
      <w:pPr>
        <w:spacing w:line="360" w:lineRule="auto"/>
        <w:ind w:left="420" w:leftChars="200"/>
        <w:jc w:val="left"/>
        <w:rPr>
          <w:rFonts w:ascii="Arial Narrow" w:hAnsi="Arial Narrow" w:eastAsia="仿宋_GB2312" w:cs="宋体"/>
          <w:kern w:val="0"/>
          <w:sz w:val="24"/>
        </w:rPr>
      </w:pPr>
      <w:r>
        <w:rPr>
          <w:rFonts w:hint="eastAsia" w:ascii="Arial Narrow" w:hAnsi="Arial Narrow" w:eastAsia="仿宋_GB2312" w:cs="宋体"/>
          <w:kern w:val="0"/>
          <w:sz w:val="24"/>
        </w:rPr>
        <w:t>三善村蔬菜基地配套设施建设项目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96.00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2F8D1815">
      <w:pPr>
        <w:spacing w:line="360" w:lineRule="auto"/>
        <w:ind w:left="420" w:leftChars="200"/>
        <w:jc w:val="left"/>
        <w:rPr>
          <w:rFonts w:ascii="Arial Narrow" w:hAnsi="Arial Narrow" w:eastAsia="仿宋_GB2312"/>
          <w:sz w:val="24"/>
        </w:rPr>
      </w:pPr>
      <w:r>
        <w:rPr>
          <w:rFonts w:hint="eastAsia" w:ascii="Arial Narrow" w:hAnsi="Arial Narrow" w:eastAsia="仿宋_GB2312" w:cs="宋体"/>
          <w:kern w:val="0"/>
          <w:sz w:val="24"/>
        </w:rPr>
        <w:t>双永村蔬菜基地建设项目</w:t>
      </w:r>
      <w:r>
        <w:rPr>
          <w:rFonts w:ascii="Arial Narrow" w:hAnsi="Arial Narrow" w:eastAsia="仿宋_GB2312"/>
          <w:sz w:val="24"/>
        </w:rPr>
        <w:t>绩效评价得分</w:t>
      </w:r>
      <w:r>
        <w:rPr>
          <w:rFonts w:hint="eastAsia" w:ascii="Arial Narrow" w:hAnsi="Arial Narrow" w:eastAsia="仿宋_GB2312"/>
          <w:sz w:val="24"/>
        </w:rPr>
        <w:t>98.00</w:t>
      </w:r>
      <w:r>
        <w:rPr>
          <w:rFonts w:ascii="Arial Narrow" w:hAnsi="Arial Narrow" w:eastAsia="仿宋_GB2312"/>
          <w:sz w:val="24"/>
        </w:rPr>
        <w:t>分</w:t>
      </w:r>
      <w:r>
        <w:rPr>
          <w:rFonts w:hint="eastAsia" w:ascii="Arial Narrow" w:hAnsi="Arial Narrow" w:eastAsia="仿宋_GB2312"/>
          <w:sz w:val="24"/>
        </w:rPr>
        <w:t>，</w:t>
      </w:r>
      <w:r>
        <w:rPr>
          <w:rFonts w:ascii="Arial Narrow" w:hAnsi="Arial Narrow" w:eastAsia="仿宋_GB2312"/>
          <w:sz w:val="24"/>
        </w:rPr>
        <w:t>绩效评价等级为：</w:t>
      </w:r>
      <w:r>
        <w:rPr>
          <w:rFonts w:hint="eastAsia" w:ascii="Arial Narrow" w:hAnsi="Arial Narrow" w:eastAsia="仿宋_GB2312"/>
          <w:sz w:val="24"/>
        </w:rPr>
        <w:t>优；</w:t>
      </w:r>
    </w:p>
    <w:p w14:paraId="1DAE12C1">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双永村肉鸡养殖基地二期建设项目绩效评价得分96.00分，</w:t>
      </w:r>
      <w:r>
        <w:rPr>
          <w:rFonts w:ascii="Arial Narrow" w:hAnsi="Arial Narrow" w:eastAsia="仿宋_GB2312"/>
          <w:sz w:val="24"/>
        </w:rPr>
        <w:t>绩效评价等级为：</w:t>
      </w:r>
      <w:r>
        <w:rPr>
          <w:rFonts w:hint="eastAsia" w:ascii="Arial Narrow" w:hAnsi="Arial Narrow" w:eastAsia="仿宋_GB2312"/>
          <w:sz w:val="24"/>
        </w:rPr>
        <w:t>优。</w:t>
      </w:r>
    </w:p>
    <w:p w14:paraId="289B7AD6">
      <w:pPr>
        <w:spacing w:line="360" w:lineRule="auto"/>
        <w:ind w:firstLine="482" w:firstLineChars="200"/>
        <w:outlineLvl w:val="0"/>
        <w:rPr>
          <w:rFonts w:ascii="Arial Narrow" w:hAnsi="Arial Narrow" w:eastAsia="仿宋_GB2312"/>
          <w:b/>
          <w:sz w:val="24"/>
        </w:rPr>
      </w:pPr>
      <w:bookmarkStart w:id="24" w:name="_Toc169624368"/>
      <w:r>
        <w:rPr>
          <w:rFonts w:hint="eastAsia" w:ascii="Arial Narrow" w:hAnsi="Arial Narrow" w:eastAsia="仿宋_GB2312"/>
          <w:b/>
          <w:sz w:val="24"/>
        </w:rPr>
        <w:t>四、</w:t>
      </w:r>
      <w:r>
        <w:rPr>
          <w:rFonts w:ascii="Arial Narrow" w:hAnsi="Arial Narrow" w:eastAsia="仿宋_GB2312"/>
          <w:b/>
          <w:sz w:val="24"/>
        </w:rPr>
        <w:t>综合评价情况</w:t>
      </w:r>
      <w:bookmarkEnd w:id="24"/>
    </w:p>
    <w:p w14:paraId="02F6C570">
      <w:pPr>
        <w:spacing w:line="360" w:lineRule="auto"/>
        <w:ind w:firstLine="482" w:firstLineChars="200"/>
        <w:jc w:val="left"/>
        <w:outlineLvl w:val="0"/>
        <w:rPr>
          <w:rFonts w:ascii="仿宋_GB2312" w:eastAsia="仿宋_GB2312"/>
          <w:b/>
          <w:sz w:val="24"/>
        </w:rPr>
      </w:pPr>
      <w:bookmarkStart w:id="25" w:name="_Toc169624369"/>
      <w:r>
        <w:rPr>
          <w:rFonts w:hint="eastAsia" w:ascii="仿宋_GB2312" w:eastAsia="仿宋_GB2312"/>
          <w:b/>
          <w:sz w:val="24"/>
        </w:rPr>
        <w:t>（一）资金管理</w:t>
      </w:r>
      <w:bookmarkEnd w:id="25"/>
    </w:p>
    <w:p w14:paraId="5CEE9B8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1.财政衔接资金安排情况</w:t>
      </w:r>
    </w:p>
    <w:p w14:paraId="5317380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2968BCB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7488036B">
      <w:pPr>
        <w:adjustRightInd w:val="0"/>
        <w:snapToGrid w:val="0"/>
        <w:spacing w:line="360" w:lineRule="auto"/>
        <w:ind w:firstLine="480" w:firstLineChars="200"/>
        <w:rPr>
          <w:rFonts w:ascii="Arial Narrow" w:hAnsi="Arial Narrow" w:eastAsia="仿宋_GB2312" w:cs="Arial Narrow"/>
          <w:sz w:val="24"/>
        </w:rPr>
      </w:pPr>
      <w:r>
        <w:rPr>
          <w:rFonts w:ascii="Arial Narrow" w:hAnsi="Arial Narrow" w:eastAsia="仿宋_GB2312" w:cs="Arial Narrow"/>
          <w:sz w:val="24"/>
        </w:rPr>
        <w:t>项目资金从区财政局下达资金文件时间到区级业务主管部门下达项目及资金计划文件时间间隔小于30天。</w:t>
      </w:r>
    </w:p>
    <w:p w14:paraId="6EE6225A">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（二）项目管理</w:t>
      </w:r>
    </w:p>
    <w:p w14:paraId="751E372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1.项目库建设管理情况</w:t>
      </w:r>
    </w:p>
    <w:p w14:paraId="4E997FF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项目入库及时充分、程序规范、内容完整，制定和切合实际的实施方案，具备实施条件，衔接资金未用于项目库之外的项目。</w:t>
      </w:r>
    </w:p>
    <w:p w14:paraId="44FFF93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2.项目绩效管理情况</w:t>
      </w:r>
    </w:p>
    <w:p w14:paraId="0F3ED2D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及时制定了明确的绩效目标，实施过程中对绩效目标进行监控，对绩效目标偏离项目采取纠偏措施，在项目实施完毕后开展了绩效自评，形成自评表、自评报告，项目绩效基本达到预期。</w:t>
      </w:r>
    </w:p>
    <w:p w14:paraId="259CB01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3.项目建设管理情况</w:t>
      </w:r>
    </w:p>
    <w:p w14:paraId="2D3ECA7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项目实施方案不存在变更情况，实施过程中由重庆市铜梁区西河镇人民政府进行监督检查，未发现重大问题。项目按照实施节点按时提交项目报账资料。项目形成了</w:t>
      </w:r>
      <w:r>
        <w:rPr>
          <w:rFonts w:hint="eastAsia" w:ascii="Arial Narrow" w:hAnsi="Arial Narrow" w:eastAsia="仿宋_GB2312" w:cs="宋体"/>
          <w:kern w:val="0"/>
          <w:sz w:val="24"/>
        </w:rPr>
        <w:t>成套档案管理资料。</w:t>
      </w:r>
    </w:p>
    <w:p w14:paraId="1E0F6D3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542277A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到2023年12月底，三善村蔬菜基地配套设施建设项目资金预算执行率才达到100%。</w:t>
      </w:r>
    </w:p>
    <w:p w14:paraId="2908A9E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到2023年11月底，双永村蔬菜基地建设项目资金预算执行率才达到100%。</w:t>
      </w:r>
    </w:p>
    <w:p w14:paraId="0B67C34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到2023年12月底，双永村肉鸡养殖基地二期建设项目资金预算执行率才达到100%。</w:t>
      </w:r>
    </w:p>
    <w:p w14:paraId="7220B34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69963C0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0A4B47F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6517C12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sz w:val="24"/>
        </w:rPr>
        <w:t>三善村蔬菜基地配套设施建设项目、双永村蔬菜基地建设项目、</w:t>
      </w:r>
      <w:r>
        <w:rPr>
          <w:rFonts w:hint="eastAsia" w:ascii="Arial Narrow" w:hAnsi="Arial Narrow" w:eastAsia="仿宋_GB2312" w:cs="宋体"/>
          <w:kern w:val="0"/>
          <w:sz w:val="24"/>
        </w:rPr>
        <w:t>双永村肉鸡养殖基地二期建设项目</w:t>
      </w:r>
      <w:r>
        <w:rPr>
          <w:rFonts w:hint="eastAsia" w:ascii="Arial Narrow" w:hAnsi="Arial Narrow" w:eastAsia="仿宋_GB2312"/>
          <w:sz w:val="24"/>
        </w:rPr>
        <w:t>未见付款资料的记账凭证，其他档案资料齐全。</w:t>
      </w:r>
      <w:r>
        <w:rPr>
          <w:rFonts w:ascii="Arial Narrow" w:hAnsi="Arial Narrow" w:eastAsia="仿宋_GB2312" w:cs="宋体"/>
          <w:kern w:val="0"/>
          <w:sz w:val="24"/>
        </w:rPr>
        <w:t xml:space="preserve"> </w:t>
      </w:r>
    </w:p>
    <w:p w14:paraId="448F521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7.信息公开和公告公示制度落实情况</w:t>
      </w:r>
    </w:p>
    <w:p w14:paraId="3D24E09E">
      <w:pPr>
        <w:adjustRightInd w:val="0"/>
        <w:snapToGrid w:val="0"/>
        <w:spacing w:line="360" w:lineRule="auto"/>
        <w:ind w:firstLine="480" w:firstLineChars="200"/>
        <w:rPr>
          <w:rFonts w:ascii="Arial Narrow" w:hAnsi="Arial Narrow" w:eastAsia="仿宋_GB2312"/>
          <w:sz w:val="24"/>
        </w:rPr>
      </w:pPr>
      <w:bookmarkStart w:id="26" w:name="_Toc169624371"/>
      <w:r>
        <w:rPr>
          <w:rFonts w:hint="eastAsia" w:ascii="Arial Narrow" w:hAnsi="Arial Narrow" w:eastAsia="仿宋_GB2312"/>
          <w:sz w:val="24"/>
        </w:rPr>
        <w:t>重庆市铜梁区西河镇人民政府对项目入库情况、资金计划完成情况等进行了公告公示。</w:t>
      </w:r>
    </w:p>
    <w:p w14:paraId="71C6B87A">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w:t>
      </w:r>
      <w:bookmarkEnd w:id="26"/>
      <w:r>
        <w:rPr>
          <w:rFonts w:hint="eastAsia" w:ascii="仿宋_GB2312" w:eastAsia="仿宋_GB2312"/>
          <w:b/>
          <w:sz w:val="24"/>
        </w:rPr>
        <w:t>使用成效及通报情况</w:t>
      </w:r>
    </w:p>
    <w:p w14:paraId="7634458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1.资金使用效益</w:t>
      </w:r>
    </w:p>
    <w:p w14:paraId="0B5AEA4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项目资金均专款专用，完成进度和及时性达到计划预期目的。完成项目的质量能够达标，完成进行了自评、项目资金完整。</w:t>
      </w:r>
    </w:p>
    <w:p w14:paraId="0FC2553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794C6C2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4700F3EB">
      <w:pPr>
        <w:adjustRightInd w:val="0"/>
        <w:snapToGrid w:val="0"/>
        <w:spacing w:line="360" w:lineRule="auto"/>
        <w:ind w:firstLine="482" w:firstLineChars="20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p>
    <w:p w14:paraId="652FC7F2">
      <w:pPr>
        <w:spacing w:line="360" w:lineRule="auto"/>
        <w:ind w:firstLine="482" w:firstLineChars="200"/>
        <w:jc w:val="left"/>
        <w:outlineLvl w:val="0"/>
        <w:rPr>
          <w:rFonts w:ascii="仿宋_GB2312" w:eastAsia="仿宋_GB2312"/>
          <w:b/>
          <w:sz w:val="24"/>
        </w:rPr>
      </w:pPr>
      <w:bookmarkStart w:id="27" w:name="_Toc169624372"/>
      <w:r>
        <w:rPr>
          <w:rFonts w:hint="eastAsia" w:ascii="仿宋_GB2312" w:eastAsia="仿宋_GB2312"/>
          <w:b/>
          <w:sz w:val="24"/>
        </w:rPr>
        <w:t>（一）存在问题</w:t>
      </w:r>
      <w:bookmarkEnd w:id="27"/>
    </w:p>
    <w:p w14:paraId="034B6C7A">
      <w:pPr>
        <w:spacing w:line="360" w:lineRule="auto"/>
        <w:ind w:left="479" w:leftChars="228"/>
        <w:jc w:val="left"/>
        <w:outlineLvl w:val="0"/>
        <w:rPr>
          <w:rFonts w:ascii="Arial Narrow" w:hAnsi="Arial Narrow" w:eastAsia="仿宋_GB2312"/>
          <w:sz w:val="24"/>
        </w:rPr>
      </w:pPr>
      <w:bookmarkStart w:id="28" w:name="_Toc169624373"/>
      <w:r>
        <w:rPr>
          <w:rFonts w:hint="eastAsia" w:ascii="Arial Narrow" w:hAnsi="Arial Narrow" w:eastAsia="仿宋_GB2312"/>
          <w:sz w:val="24"/>
        </w:rPr>
        <w:t>1.部分项目资金支付进度较晚。</w:t>
      </w:r>
    </w:p>
    <w:p w14:paraId="78F9940D">
      <w:pPr>
        <w:spacing w:line="360" w:lineRule="auto"/>
        <w:ind w:left="479" w:leftChars="228"/>
        <w:jc w:val="left"/>
        <w:outlineLvl w:val="0"/>
        <w:rPr>
          <w:rFonts w:ascii="仿宋_GB2312" w:eastAsia="仿宋_GB2312"/>
          <w:b/>
          <w:sz w:val="24"/>
        </w:rPr>
      </w:pPr>
      <w:r>
        <w:rPr>
          <w:rFonts w:hint="eastAsia" w:ascii="仿宋_GB2312" w:eastAsia="仿宋_GB2312"/>
          <w:b/>
          <w:sz w:val="24"/>
        </w:rPr>
        <w:t>（二）建议</w:t>
      </w:r>
      <w:bookmarkEnd w:id="28"/>
    </w:p>
    <w:p w14:paraId="2F094896">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1.严格按照财政资金预算执行，及时支付项目资金。</w:t>
      </w:r>
    </w:p>
    <w:p w14:paraId="68841E3D">
      <w:pPr>
        <w:adjustRightInd w:val="0"/>
        <w:snapToGrid w:val="0"/>
        <w:spacing w:line="360" w:lineRule="auto"/>
        <w:ind w:firstLine="480" w:firstLineChars="200"/>
        <w:rPr>
          <w:rStyle w:val="10"/>
          <w:rFonts w:ascii="Arial Narrow" w:hAnsi="Arial Narrow" w:eastAsia="仿宋_GB2312"/>
          <w:color w:val="auto"/>
          <w:sz w:val="24"/>
          <w:u w:val="none"/>
        </w:rPr>
      </w:pPr>
    </w:p>
    <w:p w14:paraId="64744FA6">
      <w:pPr>
        <w:adjustRightInd w:val="0"/>
        <w:snapToGrid w:val="0"/>
        <w:spacing w:line="360" w:lineRule="auto"/>
        <w:ind w:firstLine="420" w:firstLineChars="200"/>
        <w:rPr>
          <w:rStyle w:val="10"/>
          <w:color w:val="auto"/>
          <w:u w:val="none"/>
        </w:rPr>
      </w:pPr>
    </w:p>
    <w:p w14:paraId="512DB9AB">
      <w:pPr>
        <w:adjustRightInd w:val="0"/>
        <w:snapToGrid w:val="0"/>
        <w:spacing w:line="360" w:lineRule="auto"/>
        <w:ind w:firstLine="420" w:firstLineChars="200"/>
        <w:rPr>
          <w:rStyle w:val="10"/>
          <w:color w:val="auto"/>
          <w:u w:val="none"/>
        </w:rPr>
      </w:pPr>
    </w:p>
    <w:p w14:paraId="335C8108">
      <w:pPr>
        <w:adjustRightInd w:val="0"/>
        <w:snapToGrid w:val="0"/>
        <w:spacing w:line="360" w:lineRule="auto"/>
        <w:ind w:firstLine="420" w:firstLineChars="200"/>
        <w:rPr>
          <w:rStyle w:val="10"/>
          <w:color w:val="auto"/>
          <w:u w:val="none"/>
        </w:rPr>
      </w:pPr>
    </w:p>
    <w:p w14:paraId="73ADFC0B">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（此页无正文）</w:t>
      </w:r>
    </w:p>
    <w:p w14:paraId="23D1F855">
      <w:pPr>
        <w:adjustRightInd w:val="0"/>
        <w:snapToGrid w:val="0"/>
        <w:spacing w:line="360" w:lineRule="auto"/>
        <w:ind w:firstLine="420" w:firstLineChars="200"/>
        <w:rPr>
          <w:rStyle w:val="10"/>
          <w:color w:val="auto"/>
          <w:u w:val="none"/>
        </w:rPr>
      </w:pPr>
    </w:p>
    <w:p w14:paraId="7EF23FF7">
      <w:pPr>
        <w:adjustRightInd w:val="0"/>
        <w:snapToGrid w:val="0"/>
        <w:spacing w:line="360" w:lineRule="auto"/>
        <w:ind w:firstLine="420" w:firstLineChars="200"/>
        <w:rPr>
          <w:rStyle w:val="10"/>
          <w:color w:val="auto"/>
          <w:u w:val="none"/>
        </w:rPr>
      </w:pPr>
    </w:p>
    <w:p w14:paraId="57860836">
      <w:pPr>
        <w:adjustRightInd w:val="0"/>
        <w:snapToGrid w:val="0"/>
        <w:spacing w:line="360" w:lineRule="auto"/>
        <w:ind w:firstLine="420" w:firstLineChars="200"/>
        <w:rPr>
          <w:rStyle w:val="10"/>
          <w:color w:val="auto"/>
          <w:u w:val="none"/>
        </w:rPr>
      </w:pPr>
    </w:p>
    <w:p w14:paraId="0CC4682B">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附件：1、绩效评价指标体系及评分结果表；</w:t>
      </w:r>
    </w:p>
    <w:p w14:paraId="71BC6BD9">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2、会计师事务所营业执照和资质复印件。</w:t>
      </w:r>
    </w:p>
    <w:p w14:paraId="24AF8D74">
      <w:pPr>
        <w:adjustRightInd w:val="0"/>
        <w:snapToGrid w:val="0"/>
        <w:spacing w:line="360" w:lineRule="auto"/>
        <w:ind w:firstLine="720" w:firstLineChars="300"/>
        <w:rPr>
          <w:rStyle w:val="10"/>
          <w:rFonts w:ascii="Arial Narrow" w:hAnsi="Arial Narrow" w:eastAsia="仿宋_GB2312"/>
          <w:color w:val="auto"/>
          <w:sz w:val="24"/>
          <w:u w:val="none"/>
        </w:rPr>
      </w:pPr>
    </w:p>
    <w:p w14:paraId="4380E7A8">
      <w:pPr>
        <w:adjustRightInd w:val="0"/>
        <w:snapToGrid w:val="0"/>
        <w:spacing w:line="360" w:lineRule="auto"/>
        <w:ind w:firstLine="720" w:firstLineChars="300"/>
        <w:rPr>
          <w:rStyle w:val="10"/>
          <w:rFonts w:ascii="Arial Narrow" w:hAnsi="Arial Narrow" w:eastAsia="仿宋_GB2312"/>
          <w:color w:val="auto"/>
          <w:sz w:val="24"/>
          <w:u w:val="none"/>
        </w:rPr>
      </w:pPr>
    </w:p>
    <w:p w14:paraId="7B559979">
      <w:pPr>
        <w:adjustRightInd w:val="0"/>
        <w:snapToGrid w:val="0"/>
        <w:spacing w:line="360" w:lineRule="auto"/>
        <w:ind w:firstLine="720" w:firstLineChars="300"/>
        <w:rPr>
          <w:rStyle w:val="10"/>
          <w:rFonts w:ascii="Arial Narrow" w:hAnsi="Arial Narrow" w:eastAsia="仿宋_GB2312"/>
          <w:color w:val="auto"/>
          <w:sz w:val="24"/>
          <w:u w:val="none"/>
        </w:rPr>
      </w:pPr>
    </w:p>
    <w:p w14:paraId="57BFC014">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17126143">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29" w:name="_GoBack"/>
      <w:bookmarkEnd w:id="29"/>
      <w:r>
        <w:rPr>
          <w:rStyle w:val="10"/>
          <w:rFonts w:hint="eastAsia" w:ascii="Arial Narrow" w:hAnsi="Arial Narrow" w:eastAsia="仿宋_GB2312"/>
          <w:color w:val="auto"/>
          <w:sz w:val="24"/>
          <w:u w:val="none"/>
        </w:rPr>
        <w:t>二四年六月二十八日</w:t>
      </w:r>
    </w:p>
    <w:sectPr>
      <w:headerReference r:id="rId7" w:type="default"/>
      <w:footerReference r:id="rId8" w:type="default"/>
      <w:pgSz w:w="11907" w:h="16840" w:orient="landscape"/>
      <w:pgMar w:top="1418" w:right="1418" w:bottom="1134" w:left="1134" w:header="851" w:footer="851" w:gutter="0"/>
      <w:pgNumType w:start="1"/>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016E7">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49407">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193407"/>
      <w:docPartObj>
        <w:docPartGallery w:val="autotext"/>
      </w:docPartObj>
    </w:sdtPr>
    <w:sdtContent>
      <w:p w14:paraId="5BE9084B">
        <w:pPr>
          <w:pStyle w:val="4"/>
          <w:jc w:val="center"/>
        </w:pPr>
        <w:r>
          <w:fldChar w:fldCharType="begin"/>
        </w:r>
        <w:r>
          <w:instrText xml:space="preserve">PAGE   \* MERGEFORMAT</w:instrText>
        </w:r>
        <w:r>
          <w:fldChar w:fldCharType="separate"/>
        </w:r>
        <w:r>
          <w:t>2</w:t>
        </w:r>
        <w:r>
          <w:fldChar w:fldCharType="end"/>
        </w:r>
      </w:p>
    </w:sdtContent>
  </w:sdt>
  <w:p w14:paraId="558489C4">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2E32F">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805D6">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279DE">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3791D"/>
    <w:rsid w:val="00060BD2"/>
    <w:rsid w:val="00063E0B"/>
    <w:rsid w:val="00073B88"/>
    <w:rsid w:val="000769EE"/>
    <w:rsid w:val="00092848"/>
    <w:rsid w:val="000D1A3B"/>
    <w:rsid w:val="000E4529"/>
    <w:rsid w:val="000E6A52"/>
    <w:rsid w:val="0010003E"/>
    <w:rsid w:val="00104568"/>
    <w:rsid w:val="0011601B"/>
    <w:rsid w:val="00143A99"/>
    <w:rsid w:val="00152152"/>
    <w:rsid w:val="00164C87"/>
    <w:rsid w:val="001A42EB"/>
    <w:rsid w:val="001C6F32"/>
    <w:rsid w:val="001E0132"/>
    <w:rsid w:val="001E0520"/>
    <w:rsid w:val="001F3624"/>
    <w:rsid w:val="001F43AE"/>
    <w:rsid w:val="002155C2"/>
    <w:rsid w:val="00216472"/>
    <w:rsid w:val="00220B4E"/>
    <w:rsid w:val="00224D96"/>
    <w:rsid w:val="00226E7E"/>
    <w:rsid w:val="00276D1C"/>
    <w:rsid w:val="00282997"/>
    <w:rsid w:val="002C083D"/>
    <w:rsid w:val="002C36AE"/>
    <w:rsid w:val="002C4AF2"/>
    <w:rsid w:val="002C5020"/>
    <w:rsid w:val="002C7EFA"/>
    <w:rsid w:val="00324E2F"/>
    <w:rsid w:val="00331DC5"/>
    <w:rsid w:val="0035515E"/>
    <w:rsid w:val="0037066E"/>
    <w:rsid w:val="00372D51"/>
    <w:rsid w:val="00384C3C"/>
    <w:rsid w:val="003879CE"/>
    <w:rsid w:val="003A00D8"/>
    <w:rsid w:val="003B42BF"/>
    <w:rsid w:val="003F7F5B"/>
    <w:rsid w:val="004101E4"/>
    <w:rsid w:val="00414A58"/>
    <w:rsid w:val="004200C2"/>
    <w:rsid w:val="00420AA7"/>
    <w:rsid w:val="00421C71"/>
    <w:rsid w:val="004304C9"/>
    <w:rsid w:val="00470930"/>
    <w:rsid w:val="004C1F3A"/>
    <w:rsid w:val="004C38B4"/>
    <w:rsid w:val="004D1145"/>
    <w:rsid w:val="004D2A6E"/>
    <w:rsid w:val="004E6833"/>
    <w:rsid w:val="004F7A0F"/>
    <w:rsid w:val="00501A64"/>
    <w:rsid w:val="00536985"/>
    <w:rsid w:val="005506C5"/>
    <w:rsid w:val="00572DD6"/>
    <w:rsid w:val="005971BE"/>
    <w:rsid w:val="005A631A"/>
    <w:rsid w:val="005B0756"/>
    <w:rsid w:val="005E133F"/>
    <w:rsid w:val="005F01BA"/>
    <w:rsid w:val="0061001E"/>
    <w:rsid w:val="0061417A"/>
    <w:rsid w:val="0061419A"/>
    <w:rsid w:val="006336FF"/>
    <w:rsid w:val="00655510"/>
    <w:rsid w:val="00693181"/>
    <w:rsid w:val="0069678B"/>
    <w:rsid w:val="006A58E0"/>
    <w:rsid w:val="006D14F7"/>
    <w:rsid w:val="006E75D6"/>
    <w:rsid w:val="006E7DA1"/>
    <w:rsid w:val="006F7CBD"/>
    <w:rsid w:val="0073019B"/>
    <w:rsid w:val="00730A8E"/>
    <w:rsid w:val="00740E9D"/>
    <w:rsid w:val="00741402"/>
    <w:rsid w:val="007A6BE6"/>
    <w:rsid w:val="0081665A"/>
    <w:rsid w:val="00827385"/>
    <w:rsid w:val="00836EF5"/>
    <w:rsid w:val="00842151"/>
    <w:rsid w:val="00856815"/>
    <w:rsid w:val="0088588F"/>
    <w:rsid w:val="00893602"/>
    <w:rsid w:val="008952B1"/>
    <w:rsid w:val="008D4F7C"/>
    <w:rsid w:val="008E609D"/>
    <w:rsid w:val="0090729E"/>
    <w:rsid w:val="009309C0"/>
    <w:rsid w:val="0093667D"/>
    <w:rsid w:val="00945916"/>
    <w:rsid w:val="00957317"/>
    <w:rsid w:val="00983CB7"/>
    <w:rsid w:val="0099227E"/>
    <w:rsid w:val="009957B8"/>
    <w:rsid w:val="0099666C"/>
    <w:rsid w:val="009C2341"/>
    <w:rsid w:val="009F1C42"/>
    <w:rsid w:val="00A066D6"/>
    <w:rsid w:val="00A14650"/>
    <w:rsid w:val="00A173D2"/>
    <w:rsid w:val="00A352D4"/>
    <w:rsid w:val="00A922C5"/>
    <w:rsid w:val="00A95CA5"/>
    <w:rsid w:val="00AC3880"/>
    <w:rsid w:val="00AD0284"/>
    <w:rsid w:val="00AD19F2"/>
    <w:rsid w:val="00AE470F"/>
    <w:rsid w:val="00AF58DD"/>
    <w:rsid w:val="00B134A6"/>
    <w:rsid w:val="00B25A79"/>
    <w:rsid w:val="00B7289F"/>
    <w:rsid w:val="00B96D5F"/>
    <w:rsid w:val="00BA212E"/>
    <w:rsid w:val="00BB3674"/>
    <w:rsid w:val="00BC2692"/>
    <w:rsid w:val="00BC7BED"/>
    <w:rsid w:val="00BD6FFD"/>
    <w:rsid w:val="00BE0FC1"/>
    <w:rsid w:val="00C02FB6"/>
    <w:rsid w:val="00C107C7"/>
    <w:rsid w:val="00C12443"/>
    <w:rsid w:val="00C15C20"/>
    <w:rsid w:val="00C35442"/>
    <w:rsid w:val="00C36A73"/>
    <w:rsid w:val="00C37494"/>
    <w:rsid w:val="00C60A62"/>
    <w:rsid w:val="00C76023"/>
    <w:rsid w:val="00C81287"/>
    <w:rsid w:val="00CB54FB"/>
    <w:rsid w:val="00CC769D"/>
    <w:rsid w:val="00CD3FC6"/>
    <w:rsid w:val="00D1562E"/>
    <w:rsid w:val="00D254D3"/>
    <w:rsid w:val="00D26E16"/>
    <w:rsid w:val="00D415D5"/>
    <w:rsid w:val="00D75D5C"/>
    <w:rsid w:val="00D9153A"/>
    <w:rsid w:val="00DA5E97"/>
    <w:rsid w:val="00DB55F0"/>
    <w:rsid w:val="00DE422B"/>
    <w:rsid w:val="00E00AC0"/>
    <w:rsid w:val="00E0329D"/>
    <w:rsid w:val="00E065AA"/>
    <w:rsid w:val="00E23D6E"/>
    <w:rsid w:val="00E27A95"/>
    <w:rsid w:val="00E36DE8"/>
    <w:rsid w:val="00E52FD8"/>
    <w:rsid w:val="00E66C12"/>
    <w:rsid w:val="00E709E2"/>
    <w:rsid w:val="00E71632"/>
    <w:rsid w:val="00E80BDA"/>
    <w:rsid w:val="00EA1C10"/>
    <w:rsid w:val="00EB474C"/>
    <w:rsid w:val="00ED0A8C"/>
    <w:rsid w:val="00EF1282"/>
    <w:rsid w:val="00F06B5C"/>
    <w:rsid w:val="00F36680"/>
    <w:rsid w:val="00F40DB1"/>
    <w:rsid w:val="00F54C3F"/>
    <w:rsid w:val="00F61D28"/>
    <w:rsid w:val="00F64D50"/>
    <w:rsid w:val="00F6551E"/>
    <w:rsid w:val="00F84DF0"/>
    <w:rsid w:val="00FA6718"/>
    <w:rsid w:val="00FC5120"/>
    <w:rsid w:val="00FD1A79"/>
    <w:rsid w:val="00FD5F18"/>
    <w:rsid w:val="00FE1E65"/>
    <w:rsid w:val="00FE5705"/>
    <w:rsid w:val="00FE7BE7"/>
    <w:rsid w:val="00FF5AA5"/>
    <w:rsid w:val="02717C9D"/>
    <w:rsid w:val="0B01393F"/>
    <w:rsid w:val="0C955D75"/>
    <w:rsid w:val="10FD0312"/>
    <w:rsid w:val="120E6874"/>
    <w:rsid w:val="1DCD4B0A"/>
    <w:rsid w:val="25B83FF1"/>
    <w:rsid w:val="270731DD"/>
    <w:rsid w:val="357129F4"/>
    <w:rsid w:val="371050B8"/>
    <w:rsid w:val="3711503E"/>
    <w:rsid w:val="45947F31"/>
    <w:rsid w:val="48B447BE"/>
    <w:rsid w:val="4DF1278B"/>
    <w:rsid w:val="60087B46"/>
    <w:rsid w:val="629B4EDD"/>
    <w:rsid w:val="6C0B4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 w:type="character" w:customStyle="1" w:styleId="17">
    <w:name w:val="页脚 字符"/>
    <w:basedOn w:val="9"/>
    <w:link w:val="4"/>
    <w:qFormat/>
    <w:uiPriority w:val="99"/>
    <w:rPr>
      <w:kern w:val="2"/>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10</Pages>
  <Words>5707</Words>
  <Characters>6079</Characters>
  <Lines>51</Lines>
  <Paragraphs>14</Paragraphs>
  <TotalTime>552</TotalTime>
  <ScaleCrop>false</ScaleCrop>
  <LinksUpToDate>false</LinksUpToDate>
  <CharactersWithSpaces>6111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2024-11-20T01:27:24Z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