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768AD">
      <w:pPr>
        <w:spacing w:line="360" w:lineRule="auto"/>
        <w:jc w:val="center"/>
        <w:rPr>
          <w:rFonts w:ascii="Arial Narrow" w:hAnsi="Arial Narrow"/>
          <w:b/>
          <w:bCs/>
          <w:sz w:val="36"/>
          <w:szCs w:val="36"/>
        </w:rPr>
      </w:pPr>
    </w:p>
    <w:p w14:paraId="59C25931">
      <w:pPr>
        <w:spacing w:line="360" w:lineRule="auto"/>
        <w:jc w:val="center"/>
        <w:rPr>
          <w:rFonts w:ascii="Arial Narrow" w:hAnsi="Arial Narrow"/>
          <w:b/>
          <w:bCs/>
          <w:sz w:val="36"/>
          <w:szCs w:val="36"/>
        </w:rPr>
      </w:pPr>
    </w:p>
    <w:p w14:paraId="1E6F0645">
      <w:pPr>
        <w:spacing w:line="360" w:lineRule="auto"/>
        <w:jc w:val="center"/>
        <w:rPr>
          <w:rFonts w:ascii="Arial Narrow" w:hAnsi="Arial Narrow"/>
          <w:b/>
          <w:bCs/>
          <w:sz w:val="36"/>
          <w:szCs w:val="36"/>
        </w:rPr>
      </w:pPr>
    </w:p>
    <w:p w14:paraId="58E023DB">
      <w:pPr>
        <w:spacing w:line="360" w:lineRule="auto"/>
        <w:jc w:val="center"/>
        <w:rPr>
          <w:rFonts w:ascii="Arial Narrow" w:hAnsi="Arial Narrow"/>
          <w:b/>
          <w:bCs/>
          <w:sz w:val="36"/>
          <w:szCs w:val="36"/>
        </w:rPr>
      </w:pPr>
    </w:p>
    <w:p w14:paraId="43524240">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重庆市铜梁区虎峰镇翰林村花椒基地基础设施建设项目</w:t>
      </w:r>
    </w:p>
    <w:p w14:paraId="33B3F3B9">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7634DD4D">
      <w:pPr>
        <w:adjustRightInd w:val="0"/>
        <w:snapToGrid w:val="0"/>
        <w:spacing w:line="360" w:lineRule="auto"/>
        <w:jc w:val="center"/>
        <w:rPr>
          <w:rFonts w:ascii="Arial Narrow" w:hAnsi="Arial Narrow"/>
          <w:b/>
          <w:sz w:val="36"/>
          <w:szCs w:val="36"/>
        </w:rPr>
      </w:pPr>
    </w:p>
    <w:p w14:paraId="6E00A9D6">
      <w:pPr>
        <w:adjustRightInd w:val="0"/>
        <w:snapToGrid w:val="0"/>
        <w:spacing w:line="360" w:lineRule="auto"/>
        <w:jc w:val="center"/>
        <w:rPr>
          <w:rFonts w:ascii="Arial Narrow" w:hAnsi="Arial Narrow"/>
          <w:b/>
          <w:spacing w:val="100"/>
          <w:sz w:val="32"/>
          <w:szCs w:val="32"/>
        </w:rPr>
      </w:pPr>
    </w:p>
    <w:p w14:paraId="2BCCF5B6">
      <w:pPr>
        <w:adjustRightInd w:val="0"/>
        <w:snapToGrid w:val="0"/>
        <w:spacing w:line="360" w:lineRule="auto"/>
        <w:jc w:val="center"/>
        <w:rPr>
          <w:rFonts w:ascii="Arial Narrow" w:hAnsi="Arial Narrow"/>
          <w:b/>
          <w:spacing w:val="100"/>
          <w:sz w:val="32"/>
          <w:szCs w:val="32"/>
        </w:rPr>
      </w:pPr>
    </w:p>
    <w:p w14:paraId="088E3AF4">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655B1F4B">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0068</w:t>
      </w:r>
      <w:r>
        <w:rPr>
          <w:rFonts w:ascii="Arial Narrow" w:hAnsi="Arial Narrow" w:eastAsia="仿宋"/>
          <w:bCs/>
          <w:sz w:val="32"/>
          <w:szCs w:val="32"/>
        </w:rPr>
        <w:t>号</w:t>
      </w:r>
    </w:p>
    <w:p w14:paraId="565D76A1">
      <w:pPr>
        <w:adjustRightInd w:val="0"/>
        <w:snapToGrid w:val="0"/>
        <w:spacing w:line="360" w:lineRule="auto"/>
        <w:jc w:val="center"/>
        <w:rPr>
          <w:rFonts w:ascii="Arial Narrow" w:hAnsi="Arial Narrow"/>
          <w:b/>
          <w:spacing w:val="100"/>
          <w:sz w:val="32"/>
          <w:szCs w:val="32"/>
        </w:rPr>
      </w:pPr>
    </w:p>
    <w:p w14:paraId="15874249">
      <w:pPr>
        <w:adjustRightInd w:val="0"/>
        <w:snapToGrid w:val="0"/>
        <w:spacing w:line="360" w:lineRule="auto"/>
        <w:jc w:val="center"/>
        <w:rPr>
          <w:rFonts w:ascii="Arial Narrow" w:hAnsi="Arial Narrow"/>
          <w:b/>
          <w:spacing w:val="100"/>
          <w:sz w:val="32"/>
          <w:szCs w:val="32"/>
        </w:rPr>
      </w:pPr>
    </w:p>
    <w:p w14:paraId="59A56244">
      <w:pPr>
        <w:adjustRightInd w:val="0"/>
        <w:snapToGrid w:val="0"/>
        <w:spacing w:line="360" w:lineRule="auto"/>
        <w:jc w:val="center"/>
        <w:rPr>
          <w:rFonts w:ascii="Arial Narrow" w:hAnsi="Arial Narrow"/>
          <w:b/>
          <w:spacing w:val="100"/>
          <w:sz w:val="32"/>
          <w:szCs w:val="32"/>
        </w:rPr>
      </w:pPr>
    </w:p>
    <w:p w14:paraId="0BA46943">
      <w:pPr>
        <w:adjustRightInd w:val="0"/>
        <w:snapToGrid w:val="0"/>
        <w:spacing w:line="360" w:lineRule="auto"/>
        <w:jc w:val="center"/>
        <w:rPr>
          <w:rFonts w:ascii="Arial Narrow" w:hAnsi="Arial Narrow"/>
          <w:b/>
          <w:spacing w:val="100"/>
          <w:sz w:val="32"/>
          <w:szCs w:val="32"/>
        </w:rPr>
      </w:pPr>
    </w:p>
    <w:p w14:paraId="650DEF11">
      <w:pPr>
        <w:adjustRightInd w:val="0"/>
        <w:snapToGrid w:val="0"/>
        <w:spacing w:line="360" w:lineRule="auto"/>
        <w:jc w:val="center"/>
        <w:rPr>
          <w:rFonts w:ascii="Arial Narrow" w:hAnsi="Arial Narrow"/>
          <w:b/>
          <w:spacing w:val="100"/>
          <w:sz w:val="32"/>
          <w:szCs w:val="32"/>
        </w:rPr>
      </w:pPr>
    </w:p>
    <w:p w14:paraId="0EE384C8">
      <w:pPr>
        <w:adjustRightInd w:val="0"/>
        <w:snapToGrid w:val="0"/>
        <w:spacing w:line="360" w:lineRule="auto"/>
        <w:jc w:val="center"/>
        <w:rPr>
          <w:rFonts w:ascii="Arial Narrow" w:hAnsi="Arial Narrow"/>
          <w:b/>
          <w:spacing w:val="100"/>
          <w:sz w:val="32"/>
          <w:szCs w:val="32"/>
        </w:rPr>
      </w:pPr>
    </w:p>
    <w:p w14:paraId="72F12A51">
      <w:pPr>
        <w:adjustRightInd w:val="0"/>
        <w:snapToGrid w:val="0"/>
        <w:spacing w:line="360" w:lineRule="auto"/>
        <w:jc w:val="center"/>
        <w:rPr>
          <w:rFonts w:ascii="Arial Narrow" w:hAnsi="Arial Narrow"/>
          <w:b/>
          <w:spacing w:val="100"/>
          <w:sz w:val="32"/>
          <w:szCs w:val="32"/>
        </w:rPr>
      </w:pPr>
    </w:p>
    <w:p w14:paraId="4DB8DF82">
      <w:pPr>
        <w:spacing w:line="360" w:lineRule="auto"/>
        <w:jc w:val="center"/>
        <w:rPr>
          <w:rFonts w:ascii="Arial Narrow" w:hAnsi="Arial Narrow" w:eastAsia="仿宋"/>
          <w:sz w:val="32"/>
          <w:szCs w:val="32"/>
        </w:rPr>
      </w:pPr>
    </w:p>
    <w:p w14:paraId="2E4C92E7">
      <w:pPr>
        <w:spacing w:line="360" w:lineRule="auto"/>
        <w:jc w:val="center"/>
        <w:rPr>
          <w:rFonts w:ascii="Arial Narrow" w:hAnsi="Arial Narrow" w:eastAsia="仿宋"/>
          <w:sz w:val="32"/>
          <w:szCs w:val="32"/>
        </w:rPr>
      </w:pPr>
    </w:p>
    <w:p w14:paraId="4D0960C0">
      <w:pPr>
        <w:spacing w:line="360" w:lineRule="auto"/>
        <w:jc w:val="center"/>
        <w:rPr>
          <w:rFonts w:ascii="Arial Narrow" w:hAnsi="Arial Narrow" w:eastAsia="仿宋"/>
          <w:sz w:val="32"/>
          <w:szCs w:val="32"/>
        </w:rPr>
      </w:pPr>
    </w:p>
    <w:p w14:paraId="71F20B43">
      <w:pPr>
        <w:spacing w:line="360" w:lineRule="auto"/>
        <w:jc w:val="center"/>
        <w:rPr>
          <w:rFonts w:ascii="Arial Narrow" w:hAnsi="Arial Narrow" w:eastAsia="仿宋"/>
          <w:sz w:val="32"/>
          <w:szCs w:val="32"/>
        </w:rPr>
      </w:pPr>
    </w:p>
    <w:p w14:paraId="0BA8AE34">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17BFBED8">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76B2DD06">
      <w:pPr>
        <w:spacing w:line="360" w:lineRule="auto"/>
        <w:jc w:val="center"/>
        <w:rPr>
          <w:rFonts w:ascii="Arial Narrow" w:hAnsi="Arial Narrow"/>
          <w:sz w:val="24"/>
        </w:rPr>
      </w:pPr>
    </w:p>
    <w:p w14:paraId="2AEAB36D">
      <w:pPr>
        <w:pStyle w:val="6"/>
        <w:rPr>
          <w:rFonts w:asciiTheme="minorHAnsi" w:hAnsiTheme="minorHAnsi" w:eastAsiaTheme="minorEastAsia" w:cstheme="minorBidi"/>
          <w:b w:val="0"/>
          <w:bCs w:val="0"/>
          <w:szCs w:val="22"/>
          <w14:ligatures w14:val="standardContextual"/>
        </w:rPr>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fldChar w:fldCharType="begin"/>
      </w:r>
      <w:r>
        <w:instrText xml:space="preserve"> HYPERLINK \l "_Toc169624358" </w:instrText>
      </w:r>
      <w:r>
        <w:fldChar w:fldCharType="separate"/>
      </w:r>
      <w:r>
        <w:rPr>
          <w:rStyle w:val="10"/>
        </w:rPr>
        <w:t>一、基本情况</w:t>
      </w:r>
      <w:r>
        <w:tab/>
      </w:r>
      <w:r>
        <w:fldChar w:fldCharType="begin"/>
      </w:r>
      <w:r>
        <w:instrText xml:space="preserve"> PAGEREF _Toc169624358 \h </w:instrText>
      </w:r>
      <w:r>
        <w:fldChar w:fldCharType="separate"/>
      </w:r>
      <w:r>
        <w:t>1</w:t>
      </w:r>
      <w:r>
        <w:fldChar w:fldCharType="end"/>
      </w:r>
      <w:r>
        <w:fldChar w:fldCharType="end"/>
      </w:r>
    </w:p>
    <w:p w14:paraId="72B103F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"_Toc169624359" </w:instrText>
      </w:r>
      <w:r>
        <w:fldChar w:fldCharType="separate"/>
      </w:r>
      <w:r>
        <w:rPr>
          <w:rStyle w:val="10"/>
          <w:rFonts w:eastAsia="仿宋" w:cs="宋体"/>
          <w:kern w:val="0"/>
        </w:rPr>
        <w:t>（一）项目情况</w:t>
      </w:r>
      <w:r>
        <w:tab/>
      </w:r>
      <w:r>
        <w:fldChar w:fldCharType="begin"/>
      </w:r>
      <w:r>
        <w:instrText xml:space="preserve"> PAGEREF _Toc169624359 \h </w:instrText>
      </w:r>
      <w:r>
        <w:fldChar w:fldCharType="separate"/>
      </w:r>
      <w:r>
        <w:t>1</w:t>
      </w:r>
      <w:r>
        <w:fldChar w:fldCharType="end"/>
      </w:r>
      <w:r>
        <w:fldChar w:fldCharType="end"/>
      </w:r>
    </w:p>
    <w:p w14:paraId="75022556">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"_Toc169624360" </w:instrText>
      </w:r>
      <w:r>
        <w:fldChar w:fldCharType="separate"/>
      </w:r>
      <w:r>
        <w:rPr>
          <w:rStyle w:val="10"/>
        </w:rPr>
        <w:t>二、绩效评价工作情况</w:t>
      </w:r>
      <w:r>
        <w:tab/>
      </w:r>
      <w:r>
        <w:fldChar w:fldCharType="begin"/>
      </w:r>
      <w:r>
        <w:instrText xml:space="preserve"> PAGEREF _Toc169624360 \h </w:instrText>
      </w:r>
      <w:r>
        <w:fldChar w:fldCharType="separate"/>
      </w:r>
      <w:r>
        <w:t>2</w:t>
      </w:r>
      <w:r>
        <w:fldChar w:fldCharType="end"/>
      </w:r>
      <w:r>
        <w:fldChar w:fldCharType="end"/>
      </w:r>
    </w:p>
    <w:p w14:paraId="2C2C0D5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"_Toc169624361" </w:instrText>
      </w:r>
      <w:r>
        <w:fldChar w:fldCharType="separate"/>
      </w:r>
      <w:r>
        <w:rPr>
          <w:rStyle w:val="10"/>
        </w:rPr>
        <w:t>（一）绩效评价目的</w:t>
      </w:r>
      <w:r>
        <w:tab/>
      </w:r>
      <w:r>
        <w:fldChar w:fldCharType="begin"/>
      </w:r>
      <w:r>
        <w:instrText xml:space="preserve"> PAGEREF _Toc169624361 \h </w:instrText>
      </w:r>
      <w:r>
        <w:fldChar w:fldCharType="separate"/>
      </w:r>
      <w:r>
        <w:t>2</w:t>
      </w:r>
      <w:r>
        <w:fldChar w:fldCharType="end"/>
      </w:r>
      <w:r>
        <w:fldChar w:fldCharType="end"/>
      </w:r>
    </w:p>
    <w:p w14:paraId="43A3456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"_Toc169624362" </w:instrText>
      </w:r>
      <w:r>
        <w:fldChar w:fldCharType="separate"/>
      </w:r>
      <w:r>
        <w:rPr>
          <w:rStyle w:val="10"/>
        </w:rPr>
        <w:t>（二）绩效评价的基本内容</w:t>
      </w:r>
      <w:r>
        <w:tab/>
      </w:r>
      <w:r>
        <w:fldChar w:fldCharType="begin"/>
      </w:r>
      <w:r>
        <w:instrText xml:space="preserve"> PAGEREF _Toc169624362 \h </w:instrText>
      </w:r>
      <w:r>
        <w:fldChar w:fldCharType="separate"/>
      </w:r>
      <w:r>
        <w:t>2</w:t>
      </w:r>
      <w:r>
        <w:fldChar w:fldCharType="end"/>
      </w:r>
      <w:r>
        <w:fldChar w:fldCharType="end"/>
      </w:r>
    </w:p>
    <w:p w14:paraId="728D93F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"_Toc169624363" </w:instrText>
      </w:r>
      <w:r>
        <w:fldChar w:fldCharType="separate"/>
      </w:r>
      <w:r>
        <w:rPr>
          <w:rStyle w:val="10"/>
        </w:rPr>
        <w:t>（三）绩效评价依据</w:t>
      </w:r>
      <w:r>
        <w:tab/>
      </w:r>
      <w:r>
        <w:fldChar w:fldCharType="begin"/>
      </w:r>
      <w:r>
        <w:instrText xml:space="preserve"> PAGEREF _Toc169624363 \h </w:instrText>
      </w:r>
      <w:r>
        <w:fldChar w:fldCharType="separate"/>
      </w:r>
      <w:r>
        <w:t>2</w:t>
      </w:r>
      <w:r>
        <w:fldChar w:fldCharType="end"/>
      </w:r>
      <w:r>
        <w:fldChar w:fldCharType="end"/>
      </w:r>
    </w:p>
    <w:p w14:paraId="179865F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"_Toc169624364" </w:instrText>
      </w:r>
      <w:r>
        <w:fldChar w:fldCharType="separate"/>
      </w:r>
      <w:r>
        <w:rPr>
          <w:rStyle w:val="10"/>
        </w:rPr>
        <w:t>（四）绩效评价原则和指标体系</w:t>
      </w:r>
      <w:r>
        <w:tab/>
      </w:r>
      <w:r>
        <w:rPr>
          <w:rFonts w:hint="eastAsia"/>
        </w:rPr>
        <w:t>2</w:t>
      </w:r>
      <w:r>
        <w:rPr>
          <w:rFonts w:hint="eastAsia"/>
        </w:rPr>
        <w:fldChar w:fldCharType="end"/>
      </w:r>
    </w:p>
    <w:p w14:paraId="0B70144B">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"_Toc169624365" </w:instrText>
      </w:r>
      <w:r>
        <w:fldChar w:fldCharType="separate"/>
      </w:r>
      <w:r>
        <w:rPr>
          <w:rStyle w:val="10"/>
        </w:rPr>
        <w:t>（五）绩效评价标准和评价方法</w:t>
      </w:r>
      <w:r>
        <w:tab/>
      </w:r>
      <w:r>
        <w:rPr>
          <w:rFonts w:hint="eastAsia"/>
        </w:rPr>
        <w:t>5</w:t>
      </w:r>
      <w:r>
        <w:rPr>
          <w:rFonts w:hint="eastAsia"/>
        </w:rPr>
        <w:fldChar w:fldCharType="end"/>
      </w:r>
    </w:p>
    <w:p w14:paraId="05B858FF">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"_Toc169624366" </w:instrText>
      </w:r>
      <w:r>
        <w:fldChar w:fldCharType="separate"/>
      </w:r>
      <w:r>
        <w:rPr>
          <w:rStyle w:val="10"/>
        </w:rPr>
        <w:t>（六）绩效评价工作过程</w:t>
      </w:r>
      <w:r>
        <w:tab/>
      </w:r>
      <w:r>
        <w:rPr>
          <w:rFonts w:hint="eastAsia"/>
        </w:rPr>
        <w:t>5</w:t>
      </w:r>
      <w:r>
        <w:rPr>
          <w:rFonts w:hint="eastAsia"/>
        </w:rPr>
        <w:fldChar w:fldCharType="end"/>
      </w:r>
    </w:p>
    <w:p w14:paraId="5F673C84">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"_Toc169624367" </w:instrText>
      </w:r>
      <w:r>
        <w:fldChar w:fldCharType="separate"/>
      </w:r>
      <w:r>
        <w:rPr>
          <w:rStyle w:val="10"/>
        </w:rPr>
        <w:t>三、项目评价结论</w:t>
      </w:r>
      <w:r>
        <w:tab/>
      </w:r>
      <w:r>
        <w:rPr>
          <w:rFonts w:hint="eastAsia"/>
        </w:rPr>
        <w:t>6</w:t>
      </w:r>
      <w:r>
        <w:rPr>
          <w:rFonts w:hint="eastAsia"/>
        </w:rPr>
        <w:fldChar w:fldCharType="end"/>
      </w:r>
    </w:p>
    <w:p w14:paraId="62AD606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Pr>
        <w:t>四、综合评价情况</w:t>
      </w:r>
      <w:r>
        <w:tab/>
      </w:r>
      <w:r>
        <w:rPr>
          <w:rFonts w:hint="eastAsia"/>
        </w:rPr>
        <w:t>6</w:t>
      </w:r>
      <w:r>
        <w:rPr>
          <w:rFonts w:hint="eastAsia"/>
        </w:rPr>
        <w:fldChar w:fldCharType="end"/>
      </w:r>
    </w:p>
    <w:p w14:paraId="74907FB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"_Toc169624369" </w:instrText>
      </w:r>
      <w:r>
        <w:fldChar w:fldCharType="separate"/>
      </w:r>
      <w:r>
        <w:rPr>
          <w:rStyle w:val="10"/>
          <w:rFonts w:ascii="仿宋_GB2312"/>
        </w:rPr>
        <w:t>（一）资金管理</w:t>
      </w:r>
      <w:r>
        <w:tab/>
      </w:r>
      <w:r>
        <w:rPr>
          <w:rFonts w:hint="eastAsia"/>
        </w:rPr>
        <w:t>6</w:t>
      </w:r>
      <w:r>
        <w:rPr>
          <w:rFonts w:hint="eastAsia"/>
        </w:rPr>
        <w:fldChar w:fldCharType="end"/>
      </w:r>
    </w:p>
    <w:p w14:paraId="47BA8EF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"_Toc169624370" </w:instrText>
      </w:r>
      <w:r>
        <w:fldChar w:fldCharType="separate"/>
      </w:r>
      <w:r>
        <w:rPr>
          <w:rStyle w:val="10"/>
          <w:rFonts w:ascii="仿宋_GB2312"/>
        </w:rPr>
        <w:t>（二）项目管理</w:t>
      </w:r>
      <w:r>
        <w:tab/>
      </w:r>
      <w:r>
        <w:rPr>
          <w:rFonts w:hint="eastAsia"/>
        </w:rPr>
        <w:t>6</w:t>
      </w:r>
      <w:r>
        <w:rPr>
          <w:rFonts w:hint="eastAsia"/>
        </w:rPr>
        <w:fldChar w:fldCharType="end"/>
      </w:r>
    </w:p>
    <w:p w14:paraId="588E06B4">
      <w:pPr>
        <w:pStyle w:val="6"/>
      </w:pPr>
      <w:r>
        <w:fldChar w:fldCharType="begin"/>
      </w:r>
      <w:r>
        <w:instrText xml:space="preserve"> HYPERLINK \l "_Toc169624371" </w:instrText>
      </w:r>
      <w:r>
        <w:fldChar w:fldCharType="separate"/>
      </w:r>
      <w:r>
        <w:rPr>
          <w:rStyle w:val="10"/>
          <w:rFonts w:ascii="仿宋_GB2312"/>
        </w:rPr>
        <w:t>（三）</w:t>
      </w:r>
      <w:r>
        <w:rPr>
          <w:rStyle w:val="10"/>
          <w:rFonts w:hint="eastAsia" w:ascii="仿宋_GB2312"/>
        </w:rPr>
        <w:t>使用情况及通报情况</w:t>
      </w:r>
      <w:r>
        <w:tab/>
      </w:r>
      <w:r>
        <w:rPr>
          <w:rFonts w:hint="eastAsia"/>
        </w:rPr>
        <w:t>6</w:t>
      </w:r>
      <w:r>
        <w:rPr>
          <w:rFonts w:hint="eastAsia"/>
        </w:rPr>
        <w:fldChar w:fldCharType="end"/>
      </w:r>
    </w:p>
    <w:p w14:paraId="70E2F8B6">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Fonts w:hint="eastAsia"/>
        </w:rPr>
        <w:t>五</w:t>
      </w:r>
      <w:r>
        <w:rPr>
          <w:rStyle w:val="10"/>
        </w:rPr>
        <w:t>、</w:t>
      </w:r>
      <w:r>
        <w:rPr>
          <w:rStyle w:val="10"/>
          <w:rFonts w:hint="eastAsia"/>
        </w:rPr>
        <w:t>存在的问题及建议</w:t>
      </w:r>
      <w:r>
        <w:tab/>
      </w:r>
      <w:r>
        <w:rPr>
          <w:rFonts w:hint="eastAsia"/>
        </w:rPr>
        <w:t>7</w:t>
      </w:r>
      <w:r>
        <w:rPr>
          <w:rFonts w:hint="eastAsia"/>
        </w:rPr>
        <w:fldChar w:fldCharType="end"/>
      </w:r>
    </w:p>
    <w:p w14:paraId="3726A60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"_Toc169624372" </w:instrText>
      </w:r>
      <w:r>
        <w:fldChar w:fldCharType="separate"/>
      </w:r>
      <w:r>
        <w:rPr>
          <w:rStyle w:val="10"/>
          <w:rFonts w:ascii="仿宋_GB2312"/>
        </w:rPr>
        <w:t>（一）存在问题</w:t>
      </w:r>
      <w:r>
        <w:tab/>
      </w:r>
      <w:r>
        <w:rPr>
          <w:rFonts w:hint="eastAsia"/>
        </w:rPr>
        <w:t>7</w:t>
      </w:r>
      <w:r>
        <w:rPr>
          <w:rFonts w:hint="eastAsia"/>
        </w:rPr>
        <w:fldChar w:fldCharType="end"/>
      </w:r>
    </w:p>
    <w:p w14:paraId="4B7A78DF">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"_Toc169624373" </w:instrText>
      </w:r>
      <w:r>
        <w:fldChar w:fldCharType="separate"/>
      </w:r>
      <w:r>
        <w:rPr>
          <w:rStyle w:val="10"/>
          <w:rFonts w:ascii="仿宋_GB2312"/>
        </w:rPr>
        <w:t>（二）建议</w:t>
      </w:r>
      <w:r>
        <w:tab/>
      </w:r>
      <w:r>
        <w:rPr>
          <w:rFonts w:hint="eastAsia"/>
        </w:rPr>
        <w:t>7</w:t>
      </w:r>
      <w:r>
        <w:rPr>
          <w:rFonts w:hint="eastAsia"/>
        </w:rPr>
        <w:fldChar w:fldCharType="end"/>
      </w:r>
    </w:p>
    <w:p w14:paraId="4065AE91">
      <w:pPr>
        <w:pStyle w:val="12"/>
        <w:spacing w:line="460" w:lineRule="exact"/>
        <w:rPr>
          <w:rFonts w:ascii="Arial Narrow" w:hAnsi="Arial Narrow" w:eastAsia="仿宋_GB2312"/>
          <w:bCs/>
          <w:w w:val="80"/>
        </w:rPr>
        <w:sectPr>
          <w:headerReference r:id="rId5" w:type="first"/>
          <w:footerReference r:id="rId8" w:type="first"/>
          <w:headerReference r:id="rId3" w:type="default"/>
          <w:footerReference r:id="rId6" w:type="default"/>
          <w:headerReference r:id="rId4" w:type="even"/>
          <w:footerReference r:id="rId7" w:type="even"/>
          <w:pgSz w:w="11907" w:h="16840"/>
          <w:pgMar w:top="1418" w:right="1418" w:bottom="1134" w:left="1701" w:header="851" w:footer="851" w:gutter="0"/>
          <w:pgNumType w:start="1"/>
          <w:cols w:space="425" w:num="1"/>
          <w:docGrid w:linePitch="312" w:charSpace="0"/>
        </w:sectPr>
      </w:pPr>
      <w:r>
        <w:rPr>
          <w:rStyle w:val="10"/>
          <w:color w:val="auto"/>
          <w:sz w:val="21"/>
          <w:szCs w:val="21"/>
          <w:u w:val="none"/>
        </w:rPr>
        <w:fldChar w:fldCharType="end"/>
      </w:r>
    </w:p>
    <w:p w14:paraId="5FAB18CB">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13F91C4A">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548C9C6D">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0068号</w:t>
      </w:r>
    </w:p>
    <w:p w14:paraId="5B710C93">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718E6A91">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重庆市铜梁区虎峰镇翰林村花椒基地基础设施建设项目</w:t>
      </w:r>
    </w:p>
    <w:p w14:paraId="1E2A1760">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68F166B7">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“重庆市铜梁区虎峰镇翰林村花椒基地基础设施建设项目”财政专项衔接资金</w:t>
      </w:r>
      <w:r>
        <w:rPr>
          <w:rFonts w:ascii="Arial Narrow" w:hAnsi="Arial Narrow" w:eastAsia="仿宋_GB2312"/>
          <w:color w:val="auto"/>
        </w:rPr>
        <w:t>进行绩效评价，现将评价情况报告如下：</w:t>
      </w:r>
    </w:p>
    <w:p w14:paraId="0FBDCCA3">
      <w:pPr>
        <w:spacing w:before="240" w:beforeLines="100" w:line="360" w:lineRule="auto"/>
        <w:ind w:firstLine="482" w:firstLineChars="200"/>
        <w:jc w:val="left"/>
        <w:outlineLvl w:val="0"/>
        <w:rPr>
          <w:rFonts w:ascii="Arial Narrow" w:hAnsi="Arial Narrow" w:eastAsia="仿宋_GB2312"/>
          <w:b/>
          <w:sz w:val="24"/>
        </w:rPr>
      </w:pPr>
      <w:bookmarkStart w:id="3" w:name="_Toc169624358"/>
      <w:r>
        <w:rPr>
          <w:rFonts w:ascii="Arial Narrow" w:hAnsi="Arial Narrow" w:eastAsia="仿宋_GB2312"/>
          <w:b/>
          <w:sz w:val="24"/>
        </w:rPr>
        <w:t>一、基本情况</w:t>
      </w:r>
      <w:bookmarkEnd w:id="3"/>
    </w:p>
    <w:p w14:paraId="3223858D">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69624359"/>
      <w:r>
        <w:rPr>
          <w:rFonts w:hint="eastAsia" w:ascii="Arial Narrow" w:hAnsi="Arial Narrow" w:eastAsia="仿宋" w:cs="宋体"/>
          <w:b/>
          <w:bCs/>
          <w:kern w:val="0"/>
          <w:sz w:val="24"/>
        </w:rPr>
        <w:t>（一）项目情况</w:t>
      </w:r>
      <w:bookmarkEnd w:id="4"/>
    </w:p>
    <w:p w14:paraId="07949031">
      <w:pPr>
        <w:spacing w:before="120" w:beforeLines="50" w:line="360" w:lineRule="auto"/>
        <w:ind w:firstLine="480" w:firstLineChars="200"/>
        <w:jc w:val="left"/>
        <w:outlineLvl w:val="0"/>
        <w:rPr>
          <w:rFonts w:ascii="Arial Narrow" w:hAnsi="Arial Narrow" w:eastAsia="仿宋" w:cs="宋体"/>
          <w:kern w:val="0"/>
          <w:sz w:val="24"/>
        </w:rPr>
      </w:pPr>
      <w:r>
        <w:rPr>
          <w:rFonts w:hint="eastAsia" w:ascii="Arial Narrow" w:hAnsi="Arial Narrow" w:eastAsia="仿宋" w:cs="宋体"/>
          <w:kern w:val="0"/>
          <w:sz w:val="24"/>
        </w:rPr>
        <w:t>项目名称：虎峰镇翰林村花椒基地基础设施建设项目</w:t>
      </w:r>
    </w:p>
    <w:p w14:paraId="5876915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铜梁区虎峰镇翰林村股份经济合作联合社</w:t>
      </w:r>
      <w:r>
        <w:rPr>
          <w:rFonts w:hint="eastAsia" w:ascii="Arial Narrow" w:hAnsi="Arial Narrow" w:eastAsia="仿宋_GB2312"/>
          <w:sz w:val="24"/>
          <w:szCs w:val="32"/>
        </w:rPr>
        <w:br w:type="textWrapping"/>
      </w:r>
      <w:r>
        <w:rPr>
          <w:rFonts w:hint="eastAsia" w:ascii="Arial Narrow" w:hAnsi="Arial Narrow" w:eastAsia="仿宋_GB2312" w:cs="宋体"/>
          <w:kern w:val="0"/>
          <w:sz w:val="24"/>
        </w:rPr>
        <w:t xml:space="preserve">    项目内容：1、硬化生产便道3.5m宽1050m长，厚0.2m。混凝土类别：C30商品混凝土；5cm碎石垫层；每隔5m左右或弯拐处设置一道伸缩缝，建筑油膏灌缝。2、灌溉管网安装3200m。其中PE100 DN32管1.6Mpa 1200米；PE100 DN25管1.6Mpa1800米；PE100DN20管1.6Mpa 200米，安装水表3个。3、新建机耕道路基180米，宽4米。</w:t>
      </w:r>
    </w:p>
    <w:p w14:paraId="7F9DE91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项目资金安排情况：该项目2023年计划投入55万元，其中衔接资金50万元，自筹资金5万元。</w:t>
      </w:r>
    </w:p>
    <w:p w14:paraId="5D4FABB6">
      <w:pPr>
        <w:spacing w:line="360" w:lineRule="auto"/>
        <w:ind w:firstLine="482" w:firstLineChars="200"/>
        <w:jc w:val="left"/>
        <w:outlineLvl w:val="0"/>
        <w:rPr>
          <w:rFonts w:ascii="Arial Narrow" w:hAnsi="Arial Narrow" w:eastAsia="仿宋_GB2312"/>
          <w:b/>
          <w:sz w:val="24"/>
        </w:rPr>
      </w:pPr>
      <w:bookmarkStart w:id="5" w:name="_Toc169624360"/>
      <w:r>
        <w:rPr>
          <w:rFonts w:ascii="Arial Narrow" w:hAnsi="Arial Narrow" w:eastAsia="仿宋_GB2312"/>
          <w:b/>
          <w:sz w:val="24"/>
        </w:rPr>
        <w:t>二、绩效评价工作情况</w:t>
      </w:r>
      <w:bookmarkEnd w:id="5"/>
    </w:p>
    <w:p w14:paraId="6A19212F">
      <w:pPr>
        <w:spacing w:line="360" w:lineRule="auto"/>
        <w:ind w:firstLine="482" w:firstLineChars="200"/>
        <w:jc w:val="left"/>
        <w:outlineLvl w:val="0"/>
        <w:rPr>
          <w:rFonts w:ascii="Arial Narrow" w:hAnsi="Arial Narrow" w:eastAsia="仿宋_GB2312"/>
          <w:b/>
          <w:sz w:val="24"/>
        </w:rPr>
      </w:pPr>
      <w:bookmarkStart w:id="6" w:name="_Toc513775099"/>
      <w:bookmarkStart w:id="7" w:name="_Toc169624361"/>
      <w:r>
        <w:rPr>
          <w:rFonts w:ascii="Arial Narrow" w:hAnsi="Arial Narrow" w:eastAsia="仿宋_GB2312"/>
          <w:b/>
          <w:sz w:val="24"/>
        </w:rPr>
        <w:t>（一）绩效评价目的</w:t>
      </w:r>
      <w:bookmarkEnd w:id="6"/>
      <w:bookmarkEnd w:id="7"/>
    </w:p>
    <w:p w14:paraId="0E3B6FE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3E18D66B">
      <w:pPr>
        <w:spacing w:line="360" w:lineRule="auto"/>
        <w:ind w:firstLine="482" w:firstLineChars="200"/>
        <w:jc w:val="left"/>
        <w:outlineLvl w:val="0"/>
        <w:rPr>
          <w:rFonts w:ascii="Arial Narrow" w:hAnsi="Arial Narrow" w:eastAsia="仿宋_GB2312"/>
          <w:b/>
          <w:sz w:val="24"/>
        </w:rPr>
      </w:pPr>
      <w:bookmarkStart w:id="8" w:name="_Toc169624362"/>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2F0363C2">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1.绩效目标的设定情况；</w:t>
      </w:r>
    </w:p>
    <w:p w14:paraId="5E2CB95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75897E6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5F3A5F6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5BA3968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1A370CF3">
      <w:pPr>
        <w:spacing w:line="360" w:lineRule="auto"/>
        <w:ind w:firstLine="482" w:firstLineChars="200"/>
        <w:jc w:val="left"/>
        <w:outlineLvl w:val="0"/>
        <w:rPr>
          <w:rFonts w:ascii="Arial Narrow" w:hAnsi="Arial Narrow" w:eastAsia="仿宋_GB2312"/>
          <w:b/>
          <w:sz w:val="24"/>
        </w:rPr>
      </w:pPr>
      <w:bookmarkStart w:id="11" w:name="_Toc169624363"/>
      <w:r>
        <w:rPr>
          <w:rFonts w:ascii="Arial Narrow" w:hAnsi="Arial Narrow" w:eastAsia="仿宋_GB2312"/>
          <w:b/>
          <w:sz w:val="24"/>
        </w:rPr>
        <w:t>（三）绩效评价依据</w:t>
      </w:r>
      <w:bookmarkEnd w:id="9"/>
      <w:bookmarkEnd w:id="10"/>
      <w:bookmarkEnd w:id="11"/>
      <w:bookmarkStart w:id="12" w:name="_Toc335040595"/>
    </w:p>
    <w:bookmarkEnd w:id="12"/>
    <w:p w14:paraId="1B21758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2A16830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21CCA75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r>
        <w:rPr>
          <w:rFonts w:hint="eastAsia" w:ascii="Arial Narrow" w:hAnsi="Arial Narrow" w:eastAsia="仿宋_GB2312"/>
          <w:color w:val="auto"/>
        </w:rPr>
        <w:t>；</w:t>
      </w:r>
    </w:p>
    <w:p w14:paraId="6AA411C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15B8339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6B1A46A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11D7D3A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7C7E4AA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olor w:val="auto"/>
        </w:rPr>
        <w:t>；</w:t>
      </w:r>
    </w:p>
    <w:p w14:paraId="03D8682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olor w:val="auto"/>
        </w:rPr>
        <w:t>；</w:t>
      </w:r>
    </w:p>
    <w:p w14:paraId="054B4FE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r>
        <w:rPr>
          <w:rFonts w:hint="eastAsia" w:ascii="Arial Narrow" w:hAnsi="Arial Narrow" w:eastAsia="仿宋_GB2312"/>
          <w:color w:val="auto"/>
        </w:rPr>
        <w:t>；</w:t>
      </w:r>
    </w:p>
    <w:p w14:paraId="5DA7B55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0F63840A">
      <w:pPr>
        <w:spacing w:line="360" w:lineRule="auto"/>
        <w:ind w:firstLine="482" w:firstLineChars="200"/>
        <w:jc w:val="left"/>
        <w:outlineLvl w:val="0"/>
        <w:rPr>
          <w:rFonts w:ascii="Arial Narrow" w:hAnsi="Arial Narrow" w:eastAsia="仿宋_GB2312"/>
          <w:b/>
          <w:sz w:val="24"/>
        </w:rPr>
      </w:pPr>
      <w:bookmarkStart w:id="14" w:name="_Toc169624364"/>
      <w:r>
        <w:rPr>
          <w:rFonts w:ascii="Arial Narrow" w:hAnsi="Arial Narrow" w:eastAsia="仿宋_GB2312"/>
          <w:b/>
          <w:sz w:val="24"/>
        </w:rPr>
        <w:t>（四）绩效评价原则和指标体系</w:t>
      </w:r>
      <w:bookmarkEnd w:id="14"/>
    </w:p>
    <w:p w14:paraId="72D7E08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4E386A6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62467D5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ascii="Arial Narrow" w:hAnsi="Arial Narrow" w:eastAsia="仿宋_GB2312"/>
          <w:color w:val="auto"/>
        </w:rPr>
        <w:t>重要性原则。应当优先使用最具评价对象代表性、最能反映评价要求的核心指标。</w:t>
      </w:r>
    </w:p>
    <w:p w14:paraId="5321288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3F45197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4A4D89C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65566C7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43BAB9E0">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3E36A28A">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5135D750">
        <w:tblPrEx>
          <w:tblCellMar>
            <w:top w:w="0" w:type="dxa"/>
            <w:left w:w="108" w:type="dxa"/>
            <w:bottom w:w="0" w:type="dxa"/>
            <w:right w:w="108" w:type="dxa"/>
          </w:tblCellMar>
        </w:tblPrEx>
        <w:trPr>
          <w:cantSplit/>
          <w:trHeight w:val="377"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D76D3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677A401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5ED7180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10EA3953">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36934342">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22C1D86D">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评价标准</w:t>
            </w:r>
          </w:p>
        </w:tc>
      </w:tr>
      <w:tr w14:paraId="3C5AD0EB">
        <w:tblPrEx>
          <w:tblCellMar>
            <w:top w:w="0" w:type="dxa"/>
            <w:left w:w="108" w:type="dxa"/>
            <w:bottom w:w="0" w:type="dxa"/>
            <w:right w:w="108" w:type="dxa"/>
          </w:tblCellMar>
        </w:tblPrEx>
        <w:trPr>
          <w:cantSplit/>
          <w:trHeight w:val="252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C237E24">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F4EC8DC">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37D4207B">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2B00F6AB">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14ADEE0D">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7AFEFC61">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资金使用方向符合文件规定（2分）。</w:t>
            </w:r>
          </w:p>
        </w:tc>
      </w:tr>
      <w:tr w14:paraId="6DFB87EB">
        <w:tblPrEx>
          <w:tblCellMar>
            <w:top w:w="0" w:type="dxa"/>
            <w:left w:w="108" w:type="dxa"/>
            <w:bottom w:w="0" w:type="dxa"/>
            <w:right w:w="108" w:type="dxa"/>
          </w:tblCellMar>
        </w:tblPrEx>
        <w:trPr>
          <w:cantSplit/>
          <w:trHeight w:val="139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9C2386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02031727">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191315B">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F5D217A">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7CB47741">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33813215">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区财政局下达资金文件时间到区级业务主管部门下达项目及资金计划文件时间间隔≤30日（3分）。</w:t>
            </w:r>
          </w:p>
        </w:tc>
      </w:tr>
      <w:tr w14:paraId="770C3DCB">
        <w:tblPrEx>
          <w:tblCellMar>
            <w:top w:w="0" w:type="dxa"/>
            <w:left w:w="108" w:type="dxa"/>
            <w:bottom w:w="0" w:type="dxa"/>
            <w:right w:w="108" w:type="dxa"/>
          </w:tblCellMar>
        </w:tblPrEx>
        <w:trPr>
          <w:cantSplit/>
          <w:trHeight w:val="152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866BBB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28C1061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105EF6FC">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6FE0568E">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2762" w:type="dxa"/>
            <w:tcBorders>
              <w:top w:val="nil"/>
              <w:left w:val="nil"/>
              <w:bottom w:val="nil"/>
              <w:right w:val="nil"/>
            </w:tcBorders>
            <w:shd w:val="clear" w:color="auto" w:fill="auto"/>
            <w:vAlign w:val="center"/>
          </w:tcPr>
          <w:p w14:paraId="4763CA52">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评价落实《铜梁区巩固拓展脱贫攻坚成果和衔接乡村振兴项目库建设管理实施细则》（铜乡振〔2021〕7号）落实情况。根据抽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5C54D1DF">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1.项目入库及时充分、程序规范、内容完整（3分）；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2.入库项目具备实施条件（2分）；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3.衔接资金用于项目库之外的项目（-5分）。</w:t>
            </w:r>
          </w:p>
        </w:tc>
      </w:tr>
      <w:tr w14:paraId="6E837DC3">
        <w:tblPrEx>
          <w:tblCellMar>
            <w:top w:w="0" w:type="dxa"/>
            <w:left w:w="108" w:type="dxa"/>
            <w:bottom w:w="0" w:type="dxa"/>
            <w:right w:w="108" w:type="dxa"/>
          </w:tblCellMar>
        </w:tblPrEx>
        <w:trPr>
          <w:cantSplit/>
          <w:trHeight w:val="180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EDBE2C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7FDB31CD">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9CE1CD1">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38CC9662">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36637093">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评价具体项目实施方案明确绩效目标情况、开展跟踪监督绩效监控情况、事后评价情况等。根据抽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69F1E15">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1.及时制定绩效目标、审核绩效目标（2分）；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2.开展绩效监控不少于1次（2分）；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3.对绩效目标偏离项目采取纠偏措施（2分）；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4.项目实施完毕后立即开展绩效自评，并形成绩效自评报告及绩效自评表。（2分）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5.项目绩效是否达到预期。（2分）</w:t>
            </w:r>
          </w:p>
        </w:tc>
      </w:tr>
      <w:tr w14:paraId="6009929B">
        <w:tblPrEx>
          <w:tblCellMar>
            <w:top w:w="0" w:type="dxa"/>
            <w:left w:w="108" w:type="dxa"/>
            <w:bottom w:w="0" w:type="dxa"/>
            <w:right w:w="108" w:type="dxa"/>
          </w:tblCellMar>
        </w:tblPrEx>
        <w:trPr>
          <w:cantSplit/>
          <w:trHeight w:val="253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FB1EF5C">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33A6C448">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4550FE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1F841D34">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69390401">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评价有序推进项目前期工作、组织实施、项目验收、资料报送等情况。根据抽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4E47FEF">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1.项目实施方法存在变更是否按规定报批；（1分）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2.是否定期对项目实施情况进行监督检查，对检查中发现的问题进行整改；（2分）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3.是否按照项目实施节点按时提交项目报账资料；（1分）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4.日常管理资料是否及时归档整理；（1分）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5.项目完工后是否在规定时间内进行验收。（1分）</w:t>
            </w:r>
          </w:p>
        </w:tc>
      </w:tr>
      <w:tr w14:paraId="38103131">
        <w:tblPrEx>
          <w:tblCellMar>
            <w:top w:w="0" w:type="dxa"/>
            <w:left w:w="108" w:type="dxa"/>
            <w:bottom w:w="0" w:type="dxa"/>
            <w:right w:w="108" w:type="dxa"/>
          </w:tblCellMar>
        </w:tblPrEx>
        <w:trPr>
          <w:cantSplit/>
          <w:trHeight w:val="412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66E79C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420B3DE3">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389D9F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26F1CC50">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4D7927A9">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评价有序推进项目工作和资金支付情况。根据抽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8E41A13">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1.主要通过支出进度评价有序推进项目工作和资金支付情况，于7月末、10月中旬定期调度。</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1.7月末支出进度评分4分。资金支出进度达到全区平均进度或者序时进度的，得满分；未达到的按照与序时进度的比例扣分；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2.10月中旬支出进度评分4分。资金支出进度达到全区平均进度或者序时进度的，得满分；未达到的按照与序时进度的比例扣分；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5C3CA40D">
        <w:tblPrEx>
          <w:tblCellMar>
            <w:top w:w="0" w:type="dxa"/>
            <w:left w:w="108" w:type="dxa"/>
            <w:bottom w:w="0" w:type="dxa"/>
            <w:right w:w="108" w:type="dxa"/>
          </w:tblCellMar>
        </w:tblPrEx>
        <w:trPr>
          <w:cantSplit/>
          <w:trHeight w:val="263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6862180">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6050B9E8">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8016C61">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213FE657">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4668FF3F">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评价定期开展监督检查情况、发现问题整改情况。根据未处理问题比例扣减。根据抽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628F9BD4">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1.定期开展项目实施和资金支出进度等跟踪督促情况，落实到位的得2分，未完全落实到位的酌情扣分；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2.跟踪督促及各类检查发现问题整改到位情况，满分5分，根据未整改问题比例扣减；</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3.全国12317防止返贫监测和乡村振兴咨询服务平台（简称12317平台）反馈问题处理情况，满分1分。</w:t>
            </w:r>
          </w:p>
        </w:tc>
      </w:tr>
      <w:tr w14:paraId="77FD188B">
        <w:tblPrEx>
          <w:tblCellMar>
            <w:top w:w="0" w:type="dxa"/>
            <w:left w:w="108" w:type="dxa"/>
            <w:bottom w:w="0" w:type="dxa"/>
            <w:right w:w="108" w:type="dxa"/>
          </w:tblCellMar>
        </w:tblPrEx>
        <w:trPr>
          <w:cantSplit/>
          <w:trHeight w:val="124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305A13">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19CE8AF2">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F9A1C1B">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0F6D15D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3CAF42A1">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评价账务处理，资产转固，收益管理、档案管理等情况。根据抽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B5B5E4A">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1.财务处理是否规范，原始凭证是否齐全，建成资产是否及时转固、收益管理是否合规；（4分）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2.档案管理是否完整、合规、真实。（1分）</w:t>
            </w:r>
          </w:p>
        </w:tc>
      </w:tr>
      <w:tr w14:paraId="2FF46139">
        <w:tblPrEx>
          <w:tblCellMar>
            <w:top w:w="0" w:type="dxa"/>
            <w:left w:w="108" w:type="dxa"/>
            <w:bottom w:w="0" w:type="dxa"/>
            <w:right w:w="108" w:type="dxa"/>
          </w:tblCellMar>
        </w:tblPrEx>
        <w:trPr>
          <w:cantSplit/>
          <w:trHeight w:val="227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FFF3C57">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445FD136">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97BBEE4">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4F6560A2">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473CB906">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评价区级、镇级、村级落实《铜梁区财政衔接推进乡村振兴补助资金项目公告公示实施办法》（铜委农办〔2021〕19号）文件要求情况。根据抽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2E16037">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分区级、镇级、村级进行评价。</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1.抽查区级公示公开情况，满分3分，未完整公开酌情扣分；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2.抽查镇级公示公开情况，满分3分，未完整公开酌情扣分；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3.抽查村级公示公开情况，满分3分，未完整公开酌情扣分。</w:t>
            </w:r>
          </w:p>
        </w:tc>
      </w:tr>
      <w:tr w14:paraId="79FA3D44">
        <w:tblPrEx>
          <w:tblCellMar>
            <w:top w:w="0" w:type="dxa"/>
            <w:left w:w="108" w:type="dxa"/>
            <w:bottom w:w="0" w:type="dxa"/>
            <w:right w:w="108" w:type="dxa"/>
          </w:tblCellMar>
        </w:tblPrEx>
        <w:trPr>
          <w:cantSplit/>
          <w:trHeight w:val="311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FB09E8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4FB8DD25">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315A248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0DEEABA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22A4B325">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评价项目是否达到预期成效，后续管护是否存在问题等。根据抽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568B047">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满分35分，根据抽</w:t>
            </w:r>
            <w:r>
              <w:rPr>
                <w:rFonts w:hint="eastAsia" w:ascii="Arial Narrow" w:hAnsi="Arial Narrow" w:eastAsia="仿宋_GB2312" w:cs="Arial Narrow"/>
                <w:kern w:val="0"/>
                <w:sz w:val="16"/>
                <w:szCs w:val="16"/>
              </w:rPr>
              <w:t>查</w:t>
            </w:r>
            <w:r>
              <w:rPr>
                <w:rFonts w:ascii="Arial Narrow" w:hAnsi="Arial Narrow" w:eastAsia="仿宋_GB2312" w:cs="Arial Narrow"/>
                <w:kern w:val="0"/>
                <w:sz w:val="16"/>
                <w:szCs w:val="16"/>
              </w:rPr>
              <w:t>项目情况赋分。项目管理各环节，每存在一例不符合相关规定的，扣0.5分，扣完为止。</w:t>
            </w:r>
          </w:p>
        </w:tc>
      </w:tr>
      <w:tr w14:paraId="4006F966">
        <w:tblPrEx>
          <w:tblCellMar>
            <w:top w:w="0" w:type="dxa"/>
            <w:left w:w="108" w:type="dxa"/>
            <w:bottom w:w="0" w:type="dxa"/>
            <w:right w:w="108" w:type="dxa"/>
          </w:tblCellMar>
        </w:tblPrEx>
        <w:trPr>
          <w:cantSplit/>
          <w:trHeight w:val="126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1E02E57">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34228417">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33912E3">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5697B0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601B7A8A">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562E7586">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1D93DE1C">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E532AB8">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2C0B6DC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6D971D73">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14CA4096">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3BAB7A3F">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3DCD0D2C">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1.在财政衔接资金分配、使用、监管等方面存在机制创新；（2分）</w:t>
            </w:r>
            <w:r>
              <w:rPr>
                <w:rFonts w:ascii="Arial Narrow" w:hAnsi="Arial Narrow" w:eastAsia="仿宋_GB2312" w:cs="Arial Narrow"/>
                <w:kern w:val="0"/>
                <w:sz w:val="16"/>
                <w:szCs w:val="16"/>
              </w:rPr>
              <w:br w:type="textWrapping"/>
            </w:r>
            <w:r>
              <w:rPr>
                <w:rFonts w:ascii="Arial Narrow" w:hAnsi="Arial Narrow" w:eastAsia="仿宋_GB2312" w:cs="Arial Narrow"/>
                <w:kern w:val="0"/>
                <w:sz w:val="16"/>
                <w:szCs w:val="16"/>
              </w:rPr>
              <w:t>2.国家、市级对我区财政衔接资金绩效评价中，被财政部、国家乡村振兴局及其第三方总结经验做法，并调研推广的。（3分）</w:t>
            </w:r>
          </w:p>
        </w:tc>
      </w:tr>
      <w:tr w14:paraId="442EF6CA">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4C42271">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470A74EB">
            <w:pPr>
              <w:widowControl/>
              <w:jc w:val="left"/>
              <w:rPr>
                <w:rFonts w:ascii="Arial Narrow" w:hAnsi="Arial Narrow" w:eastAsia="仿宋_GB2312" w:cs="Arial Narrow"/>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8C088F9">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233DCF04">
            <w:pPr>
              <w:widowControl/>
              <w:jc w:val="center"/>
              <w:rPr>
                <w:rFonts w:ascii="Arial Narrow" w:hAnsi="Arial Narrow" w:eastAsia="仿宋_GB2312" w:cs="Arial Narrow"/>
                <w:kern w:val="0"/>
                <w:sz w:val="16"/>
                <w:szCs w:val="16"/>
              </w:rPr>
            </w:pPr>
            <w:r>
              <w:rPr>
                <w:rFonts w:ascii="Arial Narrow" w:hAnsi="Arial Narrow" w:eastAsia="仿宋_GB2312" w:cs="Arial Narrow"/>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1CDAB15E">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3FE18AD1">
            <w:pPr>
              <w:widowControl/>
              <w:jc w:val="left"/>
              <w:rPr>
                <w:rFonts w:ascii="Arial Narrow" w:hAnsi="Arial Narrow" w:eastAsia="仿宋_GB2312" w:cs="Arial Narrow"/>
                <w:kern w:val="0"/>
                <w:sz w:val="16"/>
                <w:szCs w:val="16"/>
              </w:rPr>
            </w:pPr>
            <w:r>
              <w:rPr>
                <w:rFonts w:ascii="Arial Narrow" w:hAnsi="Arial Narrow" w:eastAsia="仿宋_GB2312" w:cs="Arial Narrow"/>
                <w:kern w:val="0"/>
                <w:sz w:val="16"/>
                <w:szCs w:val="16"/>
              </w:rPr>
              <w:t>考核材料、数据中存在虚假信息的，或经有关部门监督检查发现问题的，视情节严重程度扣1-10分。</w:t>
            </w:r>
          </w:p>
        </w:tc>
      </w:tr>
    </w:tbl>
    <w:p w14:paraId="2FDBB33F">
      <w:pPr>
        <w:spacing w:before="120" w:beforeLines="50" w:line="360" w:lineRule="auto"/>
        <w:ind w:firstLine="482" w:firstLineChars="200"/>
        <w:jc w:val="left"/>
        <w:outlineLvl w:val="0"/>
        <w:rPr>
          <w:rFonts w:ascii="Arial Narrow" w:hAnsi="Arial Narrow" w:eastAsia="仿宋_GB2312"/>
          <w:b/>
          <w:sz w:val="24"/>
        </w:rPr>
      </w:pPr>
      <w:bookmarkStart w:id="15" w:name="_Toc169624365"/>
      <w:r>
        <w:rPr>
          <w:rFonts w:ascii="Arial Narrow" w:hAnsi="Arial Narrow" w:eastAsia="仿宋_GB2312"/>
          <w:b/>
          <w:sz w:val="24"/>
        </w:rPr>
        <w:t>（五）绩效评价标准和评价方法</w:t>
      </w:r>
      <w:bookmarkEnd w:id="15"/>
    </w:p>
    <w:p w14:paraId="1068E44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3A767C9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33E5923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5B4719D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0E20436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7C59D16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6A5BB02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10F5ACF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12A4E66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632B519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571F0499">
      <w:pPr>
        <w:spacing w:line="360" w:lineRule="auto"/>
        <w:ind w:firstLine="482" w:firstLineChars="200"/>
        <w:jc w:val="left"/>
        <w:outlineLvl w:val="0"/>
        <w:rPr>
          <w:rFonts w:ascii="Arial Narrow" w:hAnsi="Arial Narrow" w:eastAsia="仿宋_GB2312"/>
          <w:b/>
          <w:sz w:val="24"/>
        </w:rPr>
      </w:pPr>
      <w:bookmarkStart w:id="18" w:name="_Toc437528932"/>
      <w:bookmarkStart w:id="19" w:name="_Toc169624366"/>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563EFFB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25C161B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1D4E9EB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6B39BC1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6446BAD5">
      <w:pPr>
        <w:spacing w:line="360" w:lineRule="auto"/>
        <w:ind w:firstLine="482" w:firstLineChars="200"/>
        <w:jc w:val="left"/>
        <w:outlineLvl w:val="0"/>
        <w:rPr>
          <w:rFonts w:ascii="Arial Narrow" w:hAnsi="Arial Narrow" w:eastAsia="仿宋_GB2312"/>
          <w:b/>
          <w:sz w:val="24"/>
        </w:rPr>
      </w:pPr>
      <w:bookmarkStart w:id="20" w:name="_Toc437528933"/>
      <w:bookmarkStart w:id="21" w:name="_Toc16962436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4A959610">
      <w:pPr>
        <w:spacing w:line="360" w:lineRule="auto"/>
        <w:ind w:firstLine="480" w:firstLineChars="200"/>
        <w:jc w:val="left"/>
        <w:rPr>
          <w:rFonts w:ascii="Arial Narrow" w:hAnsi="Arial Narrow" w:eastAsia="仿宋_GB2312" w:cs="宋体"/>
          <w:kern w:val="0"/>
          <w:sz w:val="24"/>
        </w:rPr>
      </w:pPr>
      <w:r>
        <w:rPr>
          <w:rFonts w:hint="eastAsia" w:ascii="Arial Narrow" w:hAnsi="Arial Narrow" w:eastAsia="仿宋_GB2312" w:cs="宋体"/>
          <w:kern w:val="0"/>
          <w:sz w:val="24"/>
        </w:rPr>
        <w:t>重庆市铜梁区虎峰镇翰林村花椒基地基础设施建设项目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100.00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2053CCC5">
      <w:pPr>
        <w:spacing w:line="360" w:lineRule="auto"/>
        <w:ind w:firstLine="482" w:firstLineChars="200"/>
        <w:outlineLvl w:val="0"/>
        <w:rPr>
          <w:rFonts w:ascii="Arial Narrow" w:hAnsi="Arial Narrow" w:eastAsia="仿宋_GB2312"/>
          <w:b/>
          <w:sz w:val="24"/>
        </w:rPr>
      </w:pPr>
      <w:bookmarkStart w:id="22" w:name="_Toc169624368"/>
      <w:r>
        <w:rPr>
          <w:rFonts w:hint="eastAsia" w:ascii="Arial Narrow" w:hAnsi="Arial Narrow" w:eastAsia="仿宋_GB2312"/>
          <w:b/>
          <w:sz w:val="24"/>
        </w:rPr>
        <w:t>四、</w:t>
      </w:r>
      <w:r>
        <w:rPr>
          <w:rFonts w:ascii="Arial Narrow" w:hAnsi="Arial Narrow" w:eastAsia="仿宋_GB2312"/>
          <w:b/>
          <w:sz w:val="24"/>
        </w:rPr>
        <w:t>综合评价情况</w:t>
      </w:r>
      <w:bookmarkEnd w:id="22"/>
    </w:p>
    <w:p w14:paraId="4FC63907">
      <w:pPr>
        <w:spacing w:line="360" w:lineRule="auto"/>
        <w:ind w:firstLine="482" w:firstLineChars="200"/>
        <w:jc w:val="left"/>
        <w:outlineLvl w:val="0"/>
        <w:rPr>
          <w:rFonts w:ascii="仿宋_GB2312" w:eastAsia="仿宋_GB2312"/>
          <w:b/>
          <w:sz w:val="24"/>
        </w:rPr>
      </w:pPr>
      <w:bookmarkStart w:id="23" w:name="_Toc169624369"/>
      <w:r>
        <w:rPr>
          <w:rFonts w:hint="eastAsia" w:ascii="仿宋_GB2312" w:eastAsia="仿宋_GB2312"/>
          <w:b/>
          <w:sz w:val="24"/>
        </w:rPr>
        <w:t>（一）资金管理</w:t>
      </w:r>
      <w:bookmarkEnd w:id="23"/>
    </w:p>
    <w:p w14:paraId="4AEDD65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1.财政衔接资金安排情况</w:t>
      </w:r>
    </w:p>
    <w:p w14:paraId="1058BF2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1D72F4A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32772F97">
      <w:pPr>
        <w:adjustRightInd w:val="0"/>
        <w:snapToGrid w:val="0"/>
        <w:spacing w:line="360" w:lineRule="auto"/>
        <w:ind w:firstLine="480" w:firstLineChars="200"/>
        <w:rPr>
          <w:rFonts w:ascii="Arial Narrow" w:hAnsi="Arial Narrow" w:eastAsia="仿宋_GB2312" w:cs="Arial Narrow"/>
          <w:sz w:val="24"/>
        </w:rPr>
      </w:pPr>
      <w:bookmarkStart w:id="24" w:name="_Toc169624370"/>
      <w:r>
        <w:rPr>
          <w:rFonts w:ascii="Arial Narrow" w:hAnsi="Arial Narrow" w:eastAsia="仿宋_GB2312" w:cs="Arial Narrow"/>
          <w:sz w:val="24"/>
        </w:rPr>
        <w:t>项目资金从区财政局下达资金文件时间到区级业务主管部门下达项目及资金计划文件时间间隔小于30天。</w:t>
      </w:r>
    </w:p>
    <w:p w14:paraId="014CD64B">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（二）项目管理</w:t>
      </w:r>
      <w:bookmarkEnd w:id="24"/>
    </w:p>
    <w:p w14:paraId="2CCA588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1.项目库建设管理情况</w:t>
      </w:r>
    </w:p>
    <w:p w14:paraId="0179E60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5AD2830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2.项目绩效管理情况</w:t>
      </w:r>
    </w:p>
    <w:p w14:paraId="1AC06F5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项目</w:t>
      </w: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及时制定了明确的绩效目标，实施过程中对绩效目标进行监控，对绩效目标偏离项目采取纠偏措施，在项目实施完毕后开展了绩效自评，形成自评表、自评报告，项目绩效基本达到预期。</w:t>
      </w:r>
    </w:p>
    <w:p w14:paraId="134B274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7DAE8E6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项目实施方案不存在变更情况，实施过程中由重庆市铜梁区翰林花椒种植专业合作社进行监督检查，未发现重大问题。项目按照实施节点按时提交项目报账资料。项目形成了</w:t>
      </w:r>
      <w:r>
        <w:rPr>
          <w:rFonts w:hint="eastAsia" w:ascii="Arial Narrow" w:hAnsi="Arial Narrow" w:eastAsia="仿宋_GB2312" w:cs="宋体"/>
          <w:kern w:val="0"/>
          <w:sz w:val="24"/>
        </w:rPr>
        <w:t>成套档案管理资料。</w:t>
      </w:r>
    </w:p>
    <w:p w14:paraId="17B76E3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3B2F60F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截止2023年7月底，资金支出率达到100%。</w:t>
      </w:r>
    </w:p>
    <w:p w14:paraId="6D078EB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04F5E1A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7BE0556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7468298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p>
    <w:p w14:paraId="646A8FA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6E7A4579">
      <w:pPr>
        <w:adjustRightInd w:val="0"/>
        <w:snapToGrid w:val="0"/>
        <w:spacing w:line="360" w:lineRule="auto"/>
        <w:ind w:firstLine="480" w:firstLineChars="200"/>
        <w:rPr>
          <w:rFonts w:ascii="Arial Narrow" w:hAnsi="Arial Narrow" w:eastAsia="仿宋_GB2312"/>
          <w:sz w:val="24"/>
        </w:rPr>
      </w:pPr>
      <w:bookmarkStart w:id="25" w:name="_Toc169624371"/>
      <w:r>
        <w:rPr>
          <w:rFonts w:hint="eastAsia" w:ascii="Arial Narrow" w:hAnsi="Arial Narrow" w:eastAsia="仿宋_GB2312"/>
          <w:sz w:val="24"/>
        </w:rPr>
        <w:t>重庆市铜梁区虎峰镇人民政府对项目入库情况、资金计划完成情况等进行了公告公示。</w:t>
      </w:r>
    </w:p>
    <w:p w14:paraId="29A29ED0">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（三）</w:t>
      </w:r>
      <w:bookmarkEnd w:id="25"/>
      <w:r>
        <w:rPr>
          <w:rFonts w:hint="eastAsia" w:ascii="仿宋_GB2312" w:eastAsia="仿宋_GB2312"/>
          <w:b/>
          <w:sz w:val="24"/>
        </w:rPr>
        <w:t>使用成效及通报情况</w:t>
      </w:r>
    </w:p>
    <w:p w14:paraId="55B7E97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655DE42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项目资金均专款专用，完成进度和及时性达到计划预期目的。完成项目的质量能够达标，完成进行了自评、项目资金完整。</w:t>
      </w:r>
    </w:p>
    <w:p w14:paraId="11E7E22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4F5D7CD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2CDB70E3">
      <w:pPr>
        <w:adjustRightInd w:val="0"/>
        <w:snapToGrid w:val="0"/>
        <w:spacing w:line="360" w:lineRule="auto"/>
        <w:ind w:firstLine="482" w:firstLineChars="200"/>
        <w:rPr>
          <w:rFonts w:ascii="Arial Narrow" w:hAnsi="Arial Narrow" w:eastAsia="仿宋_GB2312"/>
          <w:b/>
          <w:sz w:val="24"/>
        </w:rPr>
      </w:pPr>
      <w:r>
        <w:rPr>
          <w:rFonts w:hint="eastAsia" w:ascii="Arial Narrow" w:hAnsi="Arial Narrow" w:eastAsia="仿宋_GB2312"/>
          <w:b/>
          <w:sz w:val="24"/>
        </w:rPr>
        <w:t>五</w:t>
      </w:r>
      <w:r>
        <w:rPr>
          <w:rFonts w:ascii="Arial Narrow" w:hAnsi="Arial Narrow" w:eastAsia="仿宋_GB2312"/>
          <w:b/>
          <w:sz w:val="24"/>
        </w:rPr>
        <w:t>、存在的问题和建议</w:t>
      </w:r>
    </w:p>
    <w:p w14:paraId="703CB5CD">
      <w:pPr>
        <w:spacing w:line="360" w:lineRule="auto"/>
        <w:ind w:firstLine="482" w:firstLineChars="200"/>
        <w:jc w:val="left"/>
        <w:outlineLvl w:val="0"/>
        <w:rPr>
          <w:rFonts w:ascii="仿宋_GB2312" w:eastAsia="仿宋_GB2312"/>
          <w:b/>
          <w:sz w:val="24"/>
        </w:rPr>
      </w:pPr>
      <w:bookmarkStart w:id="26" w:name="_Toc169624372"/>
      <w:r>
        <w:rPr>
          <w:rFonts w:hint="eastAsia" w:ascii="仿宋_GB2312" w:eastAsia="仿宋_GB2312"/>
          <w:b/>
          <w:sz w:val="24"/>
        </w:rPr>
        <w:t>（一）存在问题</w:t>
      </w:r>
      <w:bookmarkEnd w:id="26"/>
    </w:p>
    <w:p w14:paraId="4B71C62D">
      <w:pPr>
        <w:spacing w:line="360" w:lineRule="auto"/>
        <w:ind w:left="479" w:leftChars="228"/>
        <w:jc w:val="left"/>
        <w:outlineLvl w:val="0"/>
        <w:rPr>
          <w:rFonts w:ascii="仿宋_GB2312" w:eastAsia="仿宋_GB2312"/>
          <w:b/>
          <w:sz w:val="24"/>
        </w:rPr>
      </w:pPr>
      <w:bookmarkStart w:id="27" w:name="_Toc169624373"/>
      <w:r>
        <w:rPr>
          <w:rFonts w:hint="eastAsia" w:ascii="Arial Narrow" w:hAnsi="Arial Narrow" w:eastAsia="仿宋_GB2312"/>
          <w:sz w:val="24"/>
        </w:rPr>
        <w:t>无重大问题</w:t>
      </w:r>
      <w:r>
        <w:rPr>
          <w:rFonts w:hint="eastAsia" w:ascii="Arial Narrow" w:hAnsi="Arial Narrow" w:eastAsia="仿宋_GB2312"/>
          <w:sz w:val="24"/>
        </w:rPr>
        <w:br w:type="textWrapping"/>
      </w:r>
      <w:r>
        <w:rPr>
          <w:rFonts w:hint="eastAsia" w:ascii="仿宋_GB2312" w:eastAsia="仿宋_GB2312"/>
          <w:b/>
          <w:sz w:val="24"/>
        </w:rPr>
        <w:t>（二）建议</w:t>
      </w:r>
      <w:bookmarkEnd w:id="27"/>
    </w:p>
    <w:p w14:paraId="4677AED5">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无重大问题</w:t>
      </w:r>
    </w:p>
    <w:p w14:paraId="16C59588">
      <w:pPr>
        <w:adjustRightInd w:val="0"/>
        <w:snapToGrid w:val="0"/>
        <w:spacing w:line="360" w:lineRule="auto"/>
        <w:ind w:firstLine="480" w:firstLineChars="200"/>
        <w:rPr>
          <w:rStyle w:val="10"/>
          <w:rFonts w:ascii="Arial Narrow" w:hAnsi="Arial Narrow" w:eastAsia="仿宋_GB2312"/>
          <w:color w:val="auto"/>
          <w:sz w:val="24"/>
          <w:u w:val="none"/>
        </w:rPr>
      </w:pPr>
    </w:p>
    <w:p w14:paraId="45333853">
      <w:pPr>
        <w:adjustRightInd w:val="0"/>
        <w:snapToGrid w:val="0"/>
        <w:spacing w:line="360" w:lineRule="auto"/>
        <w:rPr>
          <w:rStyle w:val="10"/>
          <w:rFonts w:ascii="Arial Narrow" w:hAnsi="Arial Narrow" w:eastAsia="仿宋_GB2312"/>
          <w:color w:val="auto"/>
          <w:sz w:val="24"/>
          <w:u w:val="none"/>
        </w:rPr>
      </w:pPr>
    </w:p>
    <w:p w14:paraId="715EAC04">
      <w:pPr>
        <w:adjustRightInd w:val="0"/>
        <w:snapToGrid w:val="0"/>
        <w:spacing w:line="360" w:lineRule="auto"/>
        <w:rPr>
          <w:rStyle w:val="10"/>
          <w:rFonts w:ascii="Arial Narrow" w:hAnsi="Arial Narrow" w:eastAsia="仿宋_GB2312"/>
          <w:color w:val="auto"/>
          <w:sz w:val="24"/>
          <w:u w:val="none"/>
        </w:rPr>
      </w:pPr>
    </w:p>
    <w:p w14:paraId="303B8383">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附件：1、绩效评价指标体系及评分结果表；</w:t>
      </w:r>
    </w:p>
    <w:p w14:paraId="4AAC9939">
      <w:pPr>
        <w:adjustRightInd w:val="0"/>
        <w:snapToGrid w:val="0"/>
        <w:spacing w:line="360" w:lineRule="auto"/>
        <w:ind w:firstLine="1440" w:firstLineChars="6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2、会计师事务所营业执照和资质复印件。</w:t>
      </w:r>
    </w:p>
    <w:p w14:paraId="779D5D56">
      <w:pPr>
        <w:adjustRightInd w:val="0"/>
        <w:snapToGrid w:val="0"/>
        <w:spacing w:line="360" w:lineRule="auto"/>
        <w:ind w:firstLine="720" w:firstLineChars="300"/>
        <w:rPr>
          <w:rStyle w:val="10"/>
          <w:rFonts w:ascii="Arial Narrow" w:hAnsi="Arial Narrow" w:eastAsia="仿宋_GB2312"/>
          <w:color w:val="auto"/>
          <w:sz w:val="24"/>
          <w:u w:val="none"/>
        </w:rPr>
      </w:pPr>
    </w:p>
    <w:p w14:paraId="02303707">
      <w:pPr>
        <w:adjustRightInd w:val="0"/>
        <w:snapToGrid w:val="0"/>
        <w:spacing w:line="360" w:lineRule="auto"/>
        <w:ind w:firstLine="720" w:firstLineChars="300"/>
        <w:rPr>
          <w:rStyle w:val="10"/>
          <w:rFonts w:ascii="Arial Narrow" w:hAnsi="Arial Narrow" w:eastAsia="仿宋_GB2312"/>
          <w:color w:val="auto"/>
          <w:sz w:val="24"/>
          <w:u w:val="none"/>
        </w:rPr>
      </w:pPr>
    </w:p>
    <w:p w14:paraId="0BD8442C">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1FF79807">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8" w:name="_GoBack"/>
      <w:bookmarkEnd w:id="28"/>
      <w:r>
        <w:rPr>
          <w:rStyle w:val="10"/>
          <w:rFonts w:hint="eastAsia" w:ascii="Arial Narrow" w:hAnsi="Arial Narrow" w:eastAsia="仿宋_GB2312"/>
          <w:color w:val="auto"/>
          <w:sz w:val="24"/>
          <w:u w:val="none"/>
        </w:rPr>
        <w:t>二四年六月二十八日</w:t>
      </w:r>
    </w:p>
    <w:sectPr>
      <w:headerReference r:id="rId9" w:type="default"/>
      <w:footerReference r:id="rId10" w:type="default"/>
      <w:pgSz w:w="11907" w:h="16840" w:orient="landscape"/>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E169086C-F9E2-4D37-A484-2ED9E7525792}"/>
  </w:font>
  <w:font w:name="Arial Narrow">
    <w:panose1 w:val="020B0606020202030204"/>
    <w:charset w:val="00"/>
    <w:family w:val="swiss"/>
    <w:pitch w:val="default"/>
    <w:sig w:usb0="00000287" w:usb1="00000800" w:usb2="00000000" w:usb3="00000000" w:csb0="2000009F" w:csb1="DFD70000"/>
    <w:embedRegular r:id="rId2" w:fontKey="{30D2FA59-9BD3-4C54-B6C5-41B2B5EB2688}"/>
  </w:font>
  <w:font w:name="仿宋_GB2312">
    <w:panose1 w:val="02010609030101010101"/>
    <w:charset w:val="86"/>
    <w:family w:val="modern"/>
    <w:pitch w:val="default"/>
    <w:sig w:usb0="00000001" w:usb1="080E0000" w:usb2="00000000" w:usb3="00000000" w:csb0="00040000" w:csb1="00000000"/>
    <w:embedRegular r:id="rId3" w:fontKey="{39D0888E-3B1A-4AE6-BD0A-1E7F099334EB}"/>
  </w:font>
  <w:font w:name="仿宋">
    <w:panose1 w:val="02010609060101010101"/>
    <w:charset w:val="86"/>
    <w:family w:val="modern"/>
    <w:pitch w:val="default"/>
    <w:sig w:usb0="800002BF" w:usb1="38CF7CFA" w:usb2="00000016" w:usb3="00000000" w:csb0="00040001" w:csb1="00000000"/>
    <w:embedRegular r:id="rId4" w:fontKey="{68B9D7CF-94EE-428C-96E3-C70EC7CFC29A}"/>
  </w:font>
  <w:font w:name="楷体">
    <w:panose1 w:val="02010609060101010101"/>
    <w:charset w:val="86"/>
    <w:family w:val="modern"/>
    <w:pitch w:val="default"/>
    <w:sig w:usb0="800002BF" w:usb1="38CF7CFA" w:usb2="00000016" w:usb3="00000000" w:csb0="00040001" w:csb1="00000000"/>
    <w:embedRegular r:id="rId5" w:fontKey="{6C508755-45B9-4269-BBCE-B2AC39EB48EE}"/>
  </w:font>
  <w:font w:name="MS Mincho">
    <w:panose1 w:val="02020609040205080304"/>
    <w:charset w:val="80"/>
    <w:family w:val="modern"/>
    <w:pitch w:val="default"/>
    <w:sig w:usb0="E00002FF" w:usb1="6AC7FDFB" w:usb2="00000012" w:usb3="00000000" w:csb0="4002009F" w:csb1="DFD70000"/>
    <w:embedRegular r:id="rId6" w:fontKey="{ECFB5C6F-21DD-4BAE-AE65-599915E203F7}"/>
  </w:font>
  <w:font w:name="Segoe UI Symbol">
    <w:panose1 w:val="020B0502040204020203"/>
    <w:charset w:val="00"/>
    <w:family w:val="swiss"/>
    <w:pitch w:val="default"/>
    <w:sig w:usb0="8000006F" w:usb1="1200FBEF" w:usb2="0064C000" w:usb3="00000002" w:csb0="00000001" w:csb1="40000000"/>
    <w:embedRegular r:id="rId7" w:fontKey="{6E7F365F-F222-4465-BC53-CB83D139941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16894">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46427">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B64CB">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6473B">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F55F6">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6B040">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0AC89">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89DAC">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 w:name="KSO_WPS_MARK_KEY" w:val="9de57a84-6c2c-4e3d-9a8b-172b9d2ac4df"/>
  </w:docVars>
  <w:rsids>
    <w:rsidRoot w:val="008952B1"/>
    <w:rsid w:val="0000562E"/>
    <w:rsid w:val="00060BD2"/>
    <w:rsid w:val="00063E0B"/>
    <w:rsid w:val="000769EE"/>
    <w:rsid w:val="000D1A3B"/>
    <w:rsid w:val="000E4529"/>
    <w:rsid w:val="000E6A52"/>
    <w:rsid w:val="0010003E"/>
    <w:rsid w:val="00104568"/>
    <w:rsid w:val="00143A99"/>
    <w:rsid w:val="00152152"/>
    <w:rsid w:val="00163EB6"/>
    <w:rsid w:val="00164C87"/>
    <w:rsid w:val="001A42EB"/>
    <w:rsid w:val="001B06C4"/>
    <w:rsid w:val="001C2CC6"/>
    <w:rsid w:val="001C628F"/>
    <w:rsid w:val="001C6F32"/>
    <w:rsid w:val="001E0132"/>
    <w:rsid w:val="001F3624"/>
    <w:rsid w:val="001F43AE"/>
    <w:rsid w:val="00216472"/>
    <w:rsid w:val="00224D96"/>
    <w:rsid w:val="00226E7E"/>
    <w:rsid w:val="002357B3"/>
    <w:rsid w:val="00276D1C"/>
    <w:rsid w:val="00282997"/>
    <w:rsid w:val="002C083D"/>
    <w:rsid w:val="002C36AE"/>
    <w:rsid w:val="002C5020"/>
    <w:rsid w:val="002C7EFA"/>
    <w:rsid w:val="00324E2F"/>
    <w:rsid w:val="00331DC5"/>
    <w:rsid w:val="0037066E"/>
    <w:rsid w:val="00384C3C"/>
    <w:rsid w:val="003879CE"/>
    <w:rsid w:val="003A00D8"/>
    <w:rsid w:val="003B42BF"/>
    <w:rsid w:val="00411A19"/>
    <w:rsid w:val="00414A58"/>
    <w:rsid w:val="004200C2"/>
    <w:rsid w:val="00420AA7"/>
    <w:rsid w:val="00421C71"/>
    <w:rsid w:val="00470930"/>
    <w:rsid w:val="00481491"/>
    <w:rsid w:val="004A014C"/>
    <w:rsid w:val="004C1F3A"/>
    <w:rsid w:val="004C38B4"/>
    <w:rsid w:val="004D1145"/>
    <w:rsid w:val="004D2A6E"/>
    <w:rsid w:val="004E6833"/>
    <w:rsid w:val="004F7A0F"/>
    <w:rsid w:val="00501A64"/>
    <w:rsid w:val="00536985"/>
    <w:rsid w:val="00536FB3"/>
    <w:rsid w:val="00550B58"/>
    <w:rsid w:val="00572DD6"/>
    <w:rsid w:val="005B6C99"/>
    <w:rsid w:val="005E133F"/>
    <w:rsid w:val="005F01BA"/>
    <w:rsid w:val="0061001E"/>
    <w:rsid w:val="0061417A"/>
    <w:rsid w:val="00630D6F"/>
    <w:rsid w:val="00655510"/>
    <w:rsid w:val="0069678B"/>
    <w:rsid w:val="006A58E0"/>
    <w:rsid w:val="006D14F7"/>
    <w:rsid w:val="006E75D6"/>
    <w:rsid w:val="006E7DA1"/>
    <w:rsid w:val="006F7CBD"/>
    <w:rsid w:val="0073019B"/>
    <w:rsid w:val="00730A8E"/>
    <w:rsid w:val="00740E9D"/>
    <w:rsid w:val="00741402"/>
    <w:rsid w:val="00773A4C"/>
    <w:rsid w:val="007A6BE6"/>
    <w:rsid w:val="00801C95"/>
    <w:rsid w:val="00827385"/>
    <w:rsid w:val="00842151"/>
    <w:rsid w:val="00850B3F"/>
    <w:rsid w:val="00856815"/>
    <w:rsid w:val="008952B1"/>
    <w:rsid w:val="008D4F7C"/>
    <w:rsid w:val="008E609D"/>
    <w:rsid w:val="0090729E"/>
    <w:rsid w:val="009309C0"/>
    <w:rsid w:val="0093667D"/>
    <w:rsid w:val="00947B08"/>
    <w:rsid w:val="00982DA0"/>
    <w:rsid w:val="00983CB7"/>
    <w:rsid w:val="0099281A"/>
    <w:rsid w:val="009957B8"/>
    <w:rsid w:val="0099666C"/>
    <w:rsid w:val="009B257C"/>
    <w:rsid w:val="009F1C42"/>
    <w:rsid w:val="009F5DBA"/>
    <w:rsid w:val="00A066D6"/>
    <w:rsid w:val="00A14650"/>
    <w:rsid w:val="00A352D4"/>
    <w:rsid w:val="00A922C5"/>
    <w:rsid w:val="00A95CA5"/>
    <w:rsid w:val="00AA7653"/>
    <w:rsid w:val="00AC3880"/>
    <w:rsid w:val="00AD0284"/>
    <w:rsid w:val="00AD3A66"/>
    <w:rsid w:val="00AE470F"/>
    <w:rsid w:val="00AF58DD"/>
    <w:rsid w:val="00B134A6"/>
    <w:rsid w:val="00B25A79"/>
    <w:rsid w:val="00B7289F"/>
    <w:rsid w:val="00B95504"/>
    <w:rsid w:val="00BA212E"/>
    <w:rsid w:val="00BB3674"/>
    <w:rsid w:val="00BC2692"/>
    <w:rsid w:val="00BC7BED"/>
    <w:rsid w:val="00BD6FFD"/>
    <w:rsid w:val="00BF2B0A"/>
    <w:rsid w:val="00C02FB6"/>
    <w:rsid w:val="00C107C7"/>
    <w:rsid w:val="00C109AB"/>
    <w:rsid w:val="00C12443"/>
    <w:rsid w:val="00C35442"/>
    <w:rsid w:val="00C36A73"/>
    <w:rsid w:val="00C60A62"/>
    <w:rsid w:val="00C87754"/>
    <w:rsid w:val="00C92087"/>
    <w:rsid w:val="00C97623"/>
    <w:rsid w:val="00CB54FB"/>
    <w:rsid w:val="00CC769D"/>
    <w:rsid w:val="00D1562E"/>
    <w:rsid w:val="00D254D3"/>
    <w:rsid w:val="00D26E16"/>
    <w:rsid w:val="00D415D5"/>
    <w:rsid w:val="00D52EC3"/>
    <w:rsid w:val="00D66A39"/>
    <w:rsid w:val="00DB55F0"/>
    <w:rsid w:val="00DD0553"/>
    <w:rsid w:val="00E065AA"/>
    <w:rsid w:val="00E23D6E"/>
    <w:rsid w:val="00E25809"/>
    <w:rsid w:val="00E27A95"/>
    <w:rsid w:val="00E4719D"/>
    <w:rsid w:val="00E66C12"/>
    <w:rsid w:val="00E709E2"/>
    <w:rsid w:val="00E80BDA"/>
    <w:rsid w:val="00EA1C10"/>
    <w:rsid w:val="00EB474C"/>
    <w:rsid w:val="00EB62F7"/>
    <w:rsid w:val="00ED0A8C"/>
    <w:rsid w:val="00EF54C2"/>
    <w:rsid w:val="00F36680"/>
    <w:rsid w:val="00F54C3F"/>
    <w:rsid w:val="00F61D28"/>
    <w:rsid w:val="00F64D50"/>
    <w:rsid w:val="00F6551E"/>
    <w:rsid w:val="00F84DF0"/>
    <w:rsid w:val="00FA0A60"/>
    <w:rsid w:val="00FA6718"/>
    <w:rsid w:val="00FC2FEB"/>
    <w:rsid w:val="00FD1A79"/>
    <w:rsid w:val="00FD1B38"/>
    <w:rsid w:val="00FD5F18"/>
    <w:rsid w:val="00FE1E65"/>
    <w:rsid w:val="00FE5705"/>
    <w:rsid w:val="00FF5AA5"/>
    <w:rsid w:val="00FF7EFE"/>
    <w:rsid w:val="02717C9D"/>
    <w:rsid w:val="0C955D75"/>
    <w:rsid w:val="10FD0312"/>
    <w:rsid w:val="120E6874"/>
    <w:rsid w:val="137D4D0B"/>
    <w:rsid w:val="14D6217C"/>
    <w:rsid w:val="20D00CF2"/>
    <w:rsid w:val="270731DD"/>
    <w:rsid w:val="2A735ECC"/>
    <w:rsid w:val="357129F4"/>
    <w:rsid w:val="371050B8"/>
    <w:rsid w:val="3BDD426E"/>
    <w:rsid w:val="45947F31"/>
    <w:rsid w:val="4D9D5B81"/>
    <w:rsid w:val="4DF1278B"/>
    <w:rsid w:val="5B0C126A"/>
    <w:rsid w:val="60087B46"/>
    <w:rsid w:val="629B4EDD"/>
    <w:rsid w:val="66C71AB9"/>
    <w:rsid w:val="6B7D09E3"/>
    <w:rsid w:val="6C0B491D"/>
    <w:rsid w:val="794E3ADA"/>
    <w:rsid w:val="7B264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9</Pages>
  <Words>5344</Words>
  <Characters>5713</Characters>
  <Lines>47</Lines>
  <Paragraphs>13</Paragraphs>
  <TotalTime>525</TotalTime>
  <ScaleCrop>false</ScaleCrop>
  <LinksUpToDate>false</LinksUpToDate>
  <CharactersWithSpaces>5751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2024-11-20T01:18:22Z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