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94B14">
      <w:pPr>
        <w:spacing w:line="360" w:lineRule="auto"/>
        <w:jc w:val="center"/>
        <w:rPr>
          <w:rFonts w:ascii="Arial Narrow" w:hAnsi="Arial Narrow" w:eastAsiaTheme="minorEastAsia"/>
          <w:b/>
          <w:bCs/>
          <w:sz w:val="36"/>
          <w:szCs w:val="36"/>
        </w:rPr>
      </w:pPr>
    </w:p>
    <w:p w14:paraId="27A68820">
      <w:pPr>
        <w:spacing w:line="360" w:lineRule="auto"/>
        <w:jc w:val="center"/>
        <w:rPr>
          <w:rFonts w:ascii="Arial Narrow" w:hAnsi="Arial Narrow" w:eastAsiaTheme="minorEastAsia"/>
          <w:b/>
          <w:bCs/>
          <w:sz w:val="36"/>
          <w:szCs w:val="36"/>
        </w:rPr>
      </w:pPr>
    </w:p>
    <w:p w14:paraId="4E63538C">
      <w:pPr>
        <w:spacing w:line="360" w:lineRule="auto"/>
        <w:jc w:val="center"/>
        <w:rPr>
          <w:rFonts w:ascii="Arial Narrow" w:hAnsi="Arial Narrow" w:eastAsiaTheme="minorEastAsia"/>
          <w:b/>
          <w:bCs/>
          <w:sz w:val="36"/>
          <w:szCs w:val="36"/>
        </w:rPr>
      </w:pPr>
    </w:p>
    <w:p w14:paraId="1448F965">
      <w:pPr>
        <w:spacing w:line="360" w:lineRule="auto"/>
        <w:jc w:val="center"/>
        <w:rPr>
          <w:rFonts w:ascii="Arial Narrow" w:hAnsi="Arial Narrow" w:eastAsiaTheme="minorEastAsia"/>
          <w:b/>
          <w:bCs/>
          <w:sz w:val="36"/>
          <w:szCs w:val="36"/>
        </w:rPr>
      </w:pPr>
    </w:p>
    <w:p w14:paraId="35839598">
      <w:pPr>
        <w:adjustRightInd w:val="0"/>
        <w:snapToGrid w:val="0"/>
        <w:spacing w:line="360" w:lineRule="auto"/>
        <w:jc w:val="center"/>
        <w:rPr>
          <w:rFonts w:ascii="Arial Narrow" w:hAnsi="Arial Narrow" w:eastAsiaTheme="minorEastAsia"/>
          <w:b/>
          <w:sz w:val="36"/>
          <w:szCs w:val="36"/>
        </w:rPr>
      </w:pPr>
      <w:r>
        <w:rPr>
          <w:rFonts w:hint="eastAsia" w:ascii="Arial Narrow" w:hAnsi="Arial Narrow" w:eastAsiaTheme="minorEastAsia"/>
          <w:b/>
          <w:sz w:val="36"/>
          <w:szCs w:val="36"/>
        </w:rPr>
        <w:t>重庆市铜梁区维新镇乡村振兴产业发展</w:t>
      </w:r>
      <w:r>
        <w:rPr>
          <w:rFonts w:hint="eastAsia" w:ascii="Arial Narrow" w:hAnsi="Arial Narrow" w:eastAsiaTheme="minorEastAsia"/>
          <w:b/>
          <w:sz w:val="36"/>
          <w:szCs w:val="36"/>
          <w:lang w:val="en-US" w:eastAsia="zh-CN"/>
        </w:rPr>
        <w:t>等</w:t>
      </w:r>
      <w:r>
        <w:rPr>
          <w:rFonts w:ascii="Arial Narrow" w:hAnsi="Arial Narrow" w:eastAsiaTheme="minorEastAsia"/>
          <w:b/>
          <w:sz w:val="36"/>
          <w:szCs w:val="36"/>
        </w:rPr>
        <w:t>3</w:t>
      </w:r>
      <w:r>
        <w:rPr>
          <w:rFonts w:hint="eastAsia" w:ascii="Arial Narrow" w:hAnsi="Arial Narrow" w:eastAsiaTheme="minorEastAsia"/>
          <w:b/>
          <w:sz w:val="36"/>
          <w:szCs w:val="36"/>
        </w:rPr>
        <w:t>个项目</w:t>
      </w:r>
    </w:p>
    <w:p w14:paraId="3889F62A">
      <w:pPr>
        <w:adjustRightInd w:val="0"/>
        <w:snapToGrid w:val="0"/>
        <w:spacing w:line="360" w:lineRule="auto"/>
        <w:jc w:val="center"/>
        <w:rPr>
          <w:rFonts w:hint="eastAsia" w:ascii="Arial Narrow" w:hAnsi="Arial Narrow" w:eastAsiaTheme="minorEastAsia"/>
          <w:b/>
          <w:sz w:val="36"/>
          <w:szCs w:val="36"/>
        </w:rPr>
      </w:pPr>
      <w:r>
        <w:rPr>
          <w:rFonts w:hint="eastAsia" w:ascii="Arial Narrow" w:hAnsi="Arial Narrow" w:eastAsiaTheme="minorEastAsia"/>
          <w:b/>
          <w:sz w:val="36"/>
          <w:szCs w:val="36"/>
        </w:rPr>
        <w:t>财政专项衔接资金</w:t>
      </w:r>
    </w:p>
    <w:p w14:paraId="139D18F6">
      <w:pPr>
        <w:adjustRightInd w:val="0"/>
        <w:snapToGrid w:val="0"/>
        <w:spacing w:line="360" w:lineRule="auto"/>
        <w:jc w:val="center"/>
        <w:rPr>
          <w:rFonts w:hint="eastAsia" w:ascii="Arial Narrow" w:hAnsi="Arial Narrow" w:eastAsiaTheme="minorEastAsia"/>
          <w:b/>
          <w:sz w:val="36"/>
          <w:szCs w:val="36"/>
        </w:rPr>
      </w:pPr>
    </w:p>
    <w:p w14:paraId="69CD6042">
      <w:pPr>
        <w:adjustRightInd w:val="0"/>
        <w:snapToGrid w:val="0"/>
        <w:spacing w:line="360" w:lineRule="auto"/>
        <w:jc w:val="both"/>
        <w:rPr>
          <w:rFonts w:hint="eastAsia" w:ascii="Arial Narrow" w:hAnsi="Arial Narrow" w:eastAsiaTheme="minorEastAsia"/>
          <w:b/>
          <w:sz w:val="36"/>
          <w:szCs w:val="36"/>
        </w:rPr>
      </w:pPr>
    </w:p>
    <w:p w14:paraId="43DBA1C0">
      <w:pPr>
        <w:tabs>
          <w:tab w:val="center" w:pos="4393"/>
          <w:tab w:val="left" w:pos="7258"/>
        </w:tabs>
        <w:adjustRightInd w:val="0"/>
        <w:snapToGrid w:val="0"/>
        <w:spacing w:line="360" w:lineRule="auto"/>
        <w:jc w:val="center"/>
        <w:rPr>
          <w:rFonts w:ascii="Arial Narrow" w:hAnsi="Arial Narrow" w:eastAsiaTheme="minorEastAsia"/>
          <w:b/>
          <w:w w:val="102"/>
          <w:sz w:val="44"/>
          <w:szCs w:val="44"/>
        </w:rPr>
      </w:pPr>
      <w:r>
        <w:rPr>
          <w:rFonts w:hint="eastAsia" w:ascii="Arial Narrow" w:hAnsi="Arial Narrow" w:eastAsiaTheme="minorEastAsia"/>
          <w:b/>
          <w:w w:val="102"/>
          <w:sz w:val="44"/>
          <w:szCs w:val="44"/>
        </w:rPr>
        <w:t>绩效评价</w:t>
      </w:r>
      <w:bookmarkStart w:id="0" w:name="_Toc488637980"/>
      <w:bookmarkStart w:id="1" w:name="_Toc488804777"/>
      <w:r>
        <w:rPr>
          <w:rFonts w:hint="eastAsia" w:ascii="Arial Narrow" w:hAnsi="Arial Narrow" w:eastAsiaTheme="minorEastAsia"/>
          <w:b/>
          <w:w w:val="102"/>
          <w:sz w:val="44"/>
          <w:szCs w:val="44"/>
        </w:rPr>
        <w:t>报告</w:t>
      </w:r>
    </w:p>
    <w:p w14:paraId="0F88FC4E">
      <w:pPr>
        <w:spacing w:line="360" w:lineRule="auto"/>
        <w:jc w:val="center"/>
        <w:rPr>
          <w:rFonts w:ascii="Arial Narrow" w:hAnsi="Arial Narrow" w:eastAsiaTheme="minorEastAsia"/>
          <w:bCs/>
          <w:sz w:val="32"/>
          <w:szCs w:val="32"/>
        </w:rPr>
      </w:pPr>
      <w:r>
        <w:rPr>
          <w:rFonts w:hint="eastAsia" w:ascii="Arial Narrow" w:hAnsi="Arial Narrow" w:eastAsiaTheme="minorEastAsia"/>
          <w:bCs/>
          <w:sz w:val="32"/>
          <w:szCs w:val="32"/>
        </w:rPr>
        <w:t>铭鸿咨字【</w:t>
      </w:r>
      <w:r>
        <w:rPr>
          <w:rFonts w:ascii="Arial Narrow" w:hAnsi="Arial Narrow" w:eastAsiaTheme="minorEastAsia"/>
          <w:bCs/>
          <w:sz w:val="32"/>
          <w:szCs w:val="32"/>
        </w:rPr>
        <w:t>2024</w:t>
      </w:r>
      <w:r>
        <w:rPr>
          <w:rFonts w:hint="eastAsia" w:ascii="Arial Narrow" w:hAnsi="Arial Narrow" w:eastAsiaTheme="minorEastAsia"/>
          <w:bCs/>
          <w:sz w:val="32"/>
          <w:szCs w:val="32"/>
        </w:rPr>
        <w:t>】第</w:t>
      </w:r>
      <w:r>
        <w:rPr>
          <w:rFonts w:ascii="Arial Narrow" w:hAnsi="Arial Narrow" w:eastAsiaTheme="minorEastAsia"/>
          <w:bCs/>
          <w:sz w:val="32"/>
          <w:szCs w:val="32"/>
        </w:rPr>
        <w:t>0041</w:t>
      </w:r>
      <w:r>
        <w:rPr>
          <w:rFonts w:hint="eastAsia" w:ascii="Arial Narrow" w:hAnsi="Arial Narrow" w:eastAsiaTheme="minorEastAsia"/>
          <w:bCs/>
          <w:sz w:val="32"/>
          <w:szCs w:val="32"/>
        </w:rPr>
        <w:t>号</w:t>
      </w:r>
    </w:p>
    <w:p w14:paraId="1A3DF042">
      <w:pPr>
        <w:adjustRightInd w:val="0"/>
        <w:snapToGrid w:val="0"/>
        <w:spacing w:line="360" w:lineRule="auto"/>
        <w:jc w:val="center"/>
        <w:rPr>
          <w:rFonts w:ascii="Arial Narrow" w:hAnsi="Arial Narrow" w:eastAsiaTheme="minorEastAsia"/>
          <w:b/>
          <w:spacing w:val="100"/>
          <w:sz w:val="32"/>
          <w:szCs w:val="32"/>
        </w:rPr>
      </w:pPr>
    </w:p>
    <w:p w14:paraId="7A008C51">
      <w:pPr>
        <w:adjustRightInd w:val="0"/>
        <w:snapToGrid w:val="0"/>
        <w:spacing w:line="360" w:lineRule="auto"/>
        <w:jc w:val="center"/>
        <w:rPr>
          <w:rFonts w:ascii="Arial Narrow" w:hAnsi="Arial Narrow" w:eastAsiaTheme="minorEastAsia"/>
          <w:b/>
          <w:spacing w:val="100"/>
          <w:sz w:val="32"/>
          <w:szCs w:val="32"/>
        </w:rPr>
      </w:pPr>
    </w:p>
    <w:p w14:paraId="6A5A100F">
      <w:pPr>
        <w:adjustRightInd w:val="0"/>
        <w:snapToGrid w:val="0"/>
        <w:spacing w:line="360" w:lineRule="auto"/>
        <w:jc w:val="center"/>
        <w:rPr>
          <w:rFonts w:ascii="Arial Narrow" w:hAnsi="Arial Narrow" w:eastAsiaTheme="minorEastAsia"/>
          <w:b/>
          <w:spacing w:val="100"/>
          <w:sz w:val="32"/>
          <w:szCs w:val="32"/>
        </w:rPr>
      </w:pPr>
    </w:p>
    <w:p w14:paraId="705662DB">
      <w:pPr>
        <w:adjustRightInd w:val="0"/>
        <w:snapToGrid w:val="0"/>
        <w:spacing w:line="360" w:lineRule="auto"/>
        <w:jc w:val="center"/>
        <w:rPr>
          <w:rFonts w:ascii="Arial Narrow" w:hAnsi="Arial Narrow" w:eastAsiaTheme="minorEastAsia"/>
          <w:b/>
          <w:spacing w:val="100"/>
          <w:sz w:val="32"/>
          <w:szCs w:val="32"/>
        </w:rPr>
      </w:pPr>
    </w:p>
    <w:p w14:paraId="1FF72932">
      <w:pPr>
        <w:adjustRightInd w:val="0"/>
        <w:snapToGrid w:val="0"/>
        <w:spacing w:line="360" w:lineRule="auto"/>
        <w:jc w:val="center"/>
        <w:rPr>
          <w:rFonts w:ascii="Arial Narrow" w:hAnsi="Arial Narrow" w:eastAsiaTheme="minorEastAsia"/>
          <w:b/>
          <w:spacing w:val="100"/>
          <w:sz w:val="32"/>
          <w:szCs w:val="32"/>
        </w:rPr>
      </w:pPr>
    </w:p>
    <w:p w14:paraId="79653982">
      <w:pPr>
        <w:adjustRightInd w:val="0"/>
        <w:snapToGrid w:val="0"/>
        <w:spacing w:line="360" w:lineRule="auto"/>
        <w:jc w:val="center"/>
        <w:rPr>
          <w:rFonts w:ascii="Arial Narrow" w:hAnsi="Arial Narrow" w:eastAsiaTheme="minorEastAsia"/>
          <w:b/>
          <w:spacing w:val="100"/>
          <w:sz w:val="32"/>
          <w:szCs w:val="32"/>
        </w:rPr>
      </w:pPr>
    </w:p>
    <w:p w14:paraId="155E896F">
      <w:pPr>
        <w:adjustRightInd w:val="0"/>
        <w:snapToGrid w:val="0"/>
        <w:spacing w:line="360" w:lineRule="auto"/>
        <w:jc w:val="center"/>
        <w:rPr>
          <w:rFonts w:hint="default" w:ascii="Arial Narrow" w:hAnsi="Arial Narrow" w:eastAsiaTheme="minorEastAsia"/>
          <w:b/>
          <w:spacing w:val="100"/>
          <w:sz w:val="32"/>
          <w:szCs w:val="32"/>
          <w:lang w:val="en-US" w:eastAsia="zh-CN"/>
        </w:rPr>
      </w:pPr>
    </w:p>
    <w:p w14:paraId="3B602DA0">
      <w:pPr>
        <w:spacing w:line="360" w:lineRule="auto"/>
        <w:jc w:val="center"/>
        <w:rPr>
          <w:rFonts w:ascii="Arial Narrow" w:hAnsi="Arial Narrow" w:eastAsiaTheme="minorEastAsia"/>
          <w:sz w:val="32"/>
          <w:szCs w:val="32"/>
        </w:rPr>
      </w:pPr>
      <w:r>
        <w:rPr>
          <w:rFonts w:hint="eastAsia" w:ascii="Arial Narrow" w:hAnsi="Arial Narrow" w:eastAsiaTheme="minorEastAsia"/>
          <w:sz w:val="32"/>
          <w:szCs w:val="32"/>
        </w:rPr>
        <w:t>重庆铭鸿金全会计师事务所有限</w:t>
      </w:r>
      <w:r>
        <w:rPr>
          <w:rFonts w:hint="eastAsia" w:ascii="Arial Narrow" w:hAnsi="Arial Narrow" w:eastAsiaTheme="minorEastAsia"/>
          <w:sz w:val="32"/>
          <w:szCs w:val="32"/>
          <w:lang w:val="en-US" w:eastAsia="zh-CN"/>
        </w:rPr>
        <w:t>责任</w:t>
      </w:r>
      <w:r>
        <w:rPr>
          <w:rFonts w:hint="eastAsia" w:ascii="Arial Narrow" w:hAnsi="Arial Narrow" w:eastAsiaTheme="minorEastAsia"/>
          <w:sz w:val="32"/>
          <w:szCs w:val="32"/>
        </w:rPr>
        <w:t>公司</w:t>
      </w:r>
    </w:p>
    <w:p w14:paraId="5A77A907">
      <w:pPr>
        <w:spacing w:line="360" w:lineRule="auto"/>
        <w:jc w:val="center"/>
        <w:rPr>
          <w:rFonts w:ascii="Arial Narrow" w:hAnsi="Arial Narrow" w:eastAsiaTheme="minorEastAsia"/>
          <w:sz w:val="32"/>
          <w:szCs w:val="32"/>
        </w:rPr>
      </w:pPr>
      <w:r>
        <w:rPr>
          <w:rFonts w:hint="eastAsia" w:ascii="Arial Narrow" w:hAnsi="Arial Narrow" w:eastAsiaTheme="minorEastAsia"/>
          <w:sz w:val="32"/>
          <w:szCs w:val="32"/>
        </w:rPr>
        <w:t>二</w:t>
      </w:r>
      <w:r>
        <w:rPr>
          <w:rFonts w:hint="eastAsia" w:ascii="Arial Narrow" w:hAnsi="Arial Narrow" w:eastAsiaTheme="minorEastAsia"/>
          <w:sz w:val="32"/>
          <w:szCs w:val="32"/>
          <w:lang w:val="en-US" w:eastAsia="zh-CN"/>
        </w:rPr>
        <w:t>〇</w:t>
      </w:r>
      <w:r>
        <w:rPr>
          <w:rFonts w:hint="eastAsia" w:ascii="Arial Narrow" w:hAnsi="Arial Narrow" w:eastAsiaTheme="minorEastAsia"/>
          <w:sz w:val="32"/>
          <w:szCs w:val="32"/>
        </w:rPr>
        <w:t>二</w:t>
      </w:r>
      <w:r>
        <w:rPr>
          <w:rFonts w:hint="eastAsia" w:ascii="Arial Narrow" w:hAnsi="Arial Narrow" w:eastAsiaTheme="minorEastAsia"/>
          <w:sz w:val="32"/>
          <w:szCs w:val="32"/>
          <w:lang w:eastAsia="zh-CN"/>
        </w:rPr>
        <w:t>四</w:t>
      </w:r>
      <w:r>
        <w:rPr>
          <w:rFonts w:hint="eastAsia" w:ascii="Arial Narrow" w:hAnsi="Arial Narrow" w:eastAsiaTheme="minorEastAsia"/>
          <w:sz w:val="32"/>
          <w:szCs w:val="32"/>
        </w:rPr>
        <w:t>年六月</w:t>
      </w:r>
    </w:p>
    <w:p w14:paraId="773E281C">
      <w:pPr>
        <w:spacing w:line="360" w:lineRule="auto"/>
        <w:jc w:val="center"/>
        <w:rPr>
          <w:rFonts w:ascii="Arial Narrow" w:hAnsi="Arial Narrow" w:eastAsiaTheme="minorEastAsia"/>
          <w:sz w:val="44"/>
          <w:szCs w:val="44"/>
        </w:rPr>
      </w:pPr>
      <w:r>
        <w:rPr>
          <w:rFonts w:ascii="Arial Narrow" w:hAnsi="Arial Narrow" w:eastAsiaTheme="minorEastAsia"/>
          <w:b/>
          <w:spacing w:val="100"/>
          <w:sz w:val="52"/>
          <w:szCs w:val="52"/>
        </w:rPr>
        <w:br w:type="page"/>
      </w:r>
      <w:bookmarkEnd w:id="0"/>
      <w:bookmarkEnd w:id="1"/>
      <w:r>
        <w:rPr>
          <w:rFonts w:hint="eastAsia" w:ascii="Arial Narrow" w:hAnsi="Arial Narrow" w:eastAsiaTheme="minorEastAsia"/>
          <w:sz w:val="44"/>
          <w:szCs w:val="44"/>
        </w:rPr>
        <w:t>目</w:t>
      </w:r>
      <w:r>
        <w:rPr>
          <w:rFonts w:ascii="Arial Narrow" w:hAnsi="Arial Narrow" w:eastAsiaTheme="minorEastAsia"/>
          <w:sz w:val="44"/>
          <w:szCs w:val="44"/>
        </w:rPr>
        <w:t xml:space="preserve">   </w:t>
      </w:r>
      <w:r>
        <w:rPr>
          <w:rFonts w:hint="eastAsia" w:ascii="Arial Narrow" w:hAnsi="Arial Narrow" w:eastAsiaTheme="minorEastAsia"/>
          <w:sz w:val="44"/>
          <w:szCs w:val="44"/>
        </w:rPr>
        <w:t>录</w:t>
      </w:r>
    </w:p>
    <w:p w14:paraId="4F0CF202">
      <w:pPr>
        <w:spacing w:line="360" w:lineRule="auto"/>
        <w:jc w:val="center"/>
        <w:rPr>
          <w:rFonts w:ascii="Arial Narrow" w:hAnsi="Arial Narrow" w:eastAsiaTheme="minorEastAsia"/>
          <w:sz w:val="24"/>
        </w:rPr>
      </w:pPr>
    </w:p>
    <w:p w14:paraId="289778C9">
      <w:pPr>
        <w:pStyle w:val="7"/>
        <w:rPr>
          <w:rFonts w:asciiTheme="minorHAnsi" w:hAnsiTheme="minorHAnsi" w:eastAsiaTheme="minorEastAsia" w:cstheme="minorBidi"/>
          <w:b w:val="0"/>
          <w:bCs w:val="0"/>
          <w:szCs w:val="22"/>
          <w14:ligatures w14:val="standardContextual"/>
        </w:rPr>
      </w:pPr>
      <w:r>
        <w:rPr>
          <w:rStyle w:val="11"/>
          <w:rFonts w:ascii="Arial Narrow" w:hAnsi="Arial Narrow" w:eastAsiaTheme="minorEastAsia"/>
          <w:b w:val="0"/>
          <w:bCs w:val="0"/>
          <w:color w:val="auto"/>
          <w:szCs w:val="21"/>
          <w:u w:val="none"/>
        </w:rPr>
        <w:fldChar w:fldCharType="begin"/>
      </w:r>
      <w:r>
        <w:rPr>
          <w:rStyle w:val="11"/>
          <w:rFonts w:ascii="Arial Narrow" w:hAnsi="Arial Narrow" w:eastAsiaTheme="minorEastAsia"/>
          <w:b w:val="0"/>
          <w:bCs w:val="0"/>
          <w:color w:val="auto"/>
          <w:szCs w:val="21"/>
          <w:u w:val="none"/>
        </w:rPr>
        <w:instrText xml:space="preserve"> TOC \o "1-3" \h \z \u </w:instrText>
      </w:r>
      <w:r>
        <w:rPr>
          <w:rStyle w:val="11"/>
          <w:rFonts w:ascii="Arial Narrow" w:hAnsi="Arial Narrow" w:eastAsiaTheme="minorEastAsia"/>
          <w:b w:val="0"/>
          <w:bCs w:val="0"/>
          <w:color w:val="auto"/>
          <w:szCs w:val="21"/>
          <w:u w:val="none"/>
        </w:rPr>
        <w:fldChar w:fldCharType="separate"/>
      </w:r>
      <w:r>
        <w:rPr>
          <w:rStyle w:val="11"/>
        </w:rPr>
        <w:fldChar w:fldCharType="begin"/>
      </w:r>
      <w:r>
        <w:rPr>
          <w:rStyle w:val="11"/>
        </w:rPr>
        <w:instrText xml:space="preserve"> </w:instrText>
      </w:r>
      <w:r>
        <w:instrText xml:space="preserve">HYPERLINK \l "_Toc171673230"</w:instrText>
      </w:r>
      <w:r>
        <w:rPr>
          <w:rStyle w:val="11"/>
        </w:rPr>
        <w:instrText xml:space="preserve"> </w:instrText>
      </w:r>
      <w:r>
        <w:rPr>
          <w:rStyle w:val="11"/>
        </w:rPr>
        <w:fldChar w:fldCharType="separate"/>
      </w:r>
      <w:r>
        <w:rPr>
          <w:rStyle w:val="11"/>
        </w:rPr>
        <w:t>一、基本情况</w:t>
      </w:r>
      <w:r>
        <w:tab/>
      </w:r>
      <w:r>
        <w:fldChar w:fldCharType="begin"/>
      </w:r>
      <w:r>
        <w:instrText xml:space="preserve"> PAGEREF _Toc171673230 \h </w:instrText>
      </w:r>
      <w:r>
        <w:fldChar w:fldCharType="separate"/>
      </w:r>
      <w:r>
        <w:t>1</w:t>
      </w:r>
      <w:r>
        <w:fldChar w:fldCharType="end"/>
      </w:r>
      <w:r>
        <w:rPr>
          <w:rStyle w:val="11"/>
        </w:rPr>
        <w:fldChar w:fldCharType="end"/>
      </w:r>
    </w:p>
    <w:p w14:paraId="6965E29C">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"_Toc171673231"</w:instrText>
      </w:r>
      <w:r>
        <w:rPr>
          <w:rStyle w:val="11"/>
        </w:rPr>
        <w:instrText xml:space="preserve"> </w:instrText>
      </w:r>
      <w:r>
        <w:rPr>
          <w:rStyle w:val="11"/>
        </w:rPr>
        <w:fldChar w:fldCharType="separate"/>
      </w:r>
      <w:r>
        <w:rPr>
          <w:rStyle w:val="11"/>
          <w:rFonts w:cs="宋体"/>
          <w:kern w:val="0"/>
        </w:rPr>
        <w:t>（一）项目情况</w:t>
      </w:r>
      <w:r>
        <w:tab/>
      </w:r>
      <w:r>
        <w:fldChar w:fldCharType="begin"/>
      </w:r>
      <w:r>
        <w:instrText xml:space="preserve"> PAGEREF _Toc171673231 \h </w:instrText>
      </w:r>
      <w:r>
        <w:fldChar w:fldCharType="separate"/>
      </w:r>
      <w:r>
        <w:t>1</w:t>
      </w:r>
      <w:r>
        <w:fldChar w:fldCharType="end"/>
      </w:r>
      <w:r>
        <w:rPr>
          <w:rStyle w:val="11"/>
        </w:rPr>
        <w:fldChar w:fldCharType="end"/>
      </w:r>
    </w:p>
    <w:p w14:paraId="21DA8024">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"_Toc171673232"</w:instrText>
      </w:r>
      <w:r>
        <w:rPr>
          <w:rStyle w:val="11"/>
        </w:rPr>
        <w:instrText xml:space="preserve"> </w:instrText>
      </w:r>
      <w:r>
        <w:rPr>
          <w:rStyle w:val="11"/>
        </w:rPr>
        <w:fldChar w:fldCharType="separate"/>
      </w:r>
      <w:r>
        <w:rPr>
          <w:rStyle w:val="11"/>
        </w:rPr>
        <w:t>二、绩效评价工作情况</w:t>
      </w:r>
      <w:r>
        <w:tab/>
      </w:r>
      <w:r>
        <w:fldChar w:fldCharType="begin"/>
      </w:r>
      <w:r>
        <w:instrText xml:space="preserve"> PAGEREF _Toc171673232 \h </w:instrText>
      </w:r>
      <w:r>
        <w:fldChar w:fldCharType="separate"/>
      </w:r>
      <w:r>
        <w:t>2</w:t>
      </w:r>
      <w:r>
        <w:fldChar w:fldCharType="end"/>
      </w:r>
      <w:r>
        <w:rPr>
          <w:rStyle w:val="11"/>
        </w:rPr>
        <w:fldChar w:fldCharType="end"/>
      </w:r>
    </w:p>
    <w:p w14:paraId="0BA902DF">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"_Toc171673233"</w:instrText>
      </w:r>
      <w:r>
        <w:rPr>
          <w:rStyle w:val="11"/>
        </w:rPr>
        <w:instrText xml:space="preserve"> </w:instrText>
      </w:r>
      <w:r>
        <w:rPr>
          <w:rStyle w:val="11"/>
        </w:rPr>
        <w:fldChar w:fldCharType="separate"/>
      </w:r>
      <w:r>
        <w:rPr>
          <w:rStyle w:val="11"/>
        </w:rPr>
        <w:t>（一）绩效评价目的</w:t>
      </w:r>
      <w:r>
        <w:tab/>
      </w:r>
      <w:r>
        <w:fldChar w:fldCharType="begin"/>
      </w:r>
      <w:r>
        <w:instrText xml:space="preserve"> PAGEREF _Toc171673233 \h </w:instrText>
      </w:r>
      <w:r>
        <w:fldChar w:fldCharType="separate"/>
      </w:r>
      <w:r>
        <w:t>2</w:t>
      </w:r>
      <w:r>
        <w:fldChar w:fldCharType="end"/>
      </w:r>
      <w:r>
        <w:rPr>
          <w:rStyle w:val="11"/>
        </w:rPr>
        <w:fldChar w:fldCharType="end"/>
      </w:r>
    </w:p>
    <w:p w14:paraId="095B263B">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"_Toc171673234"</w:instrText>
      </w:r>
      <w:r>
        <w:rPr>
          <w:rStyle w:val="11"/>
        </w:rPr>
        <w:instrText xml:space="preserve"> </w:instrText>
      </w:r>
      <w:r>
        <w:rPr>
          <w:rStyle w:val="11"/>
        </w:rPr>
        <w:fldChar w:fldCharType="separate"/>
      </w:r>
      <w:r>
        <w:rPr>
          <w:rStyle w:val="11"/>
        </w:rPr>
        <w:t>（二）绩效评价的基本内容</w:t>
      </w:r>
      <w:r>
        <w:tab/>
      </w:r>
      <w:r>
        <w:fldChar w:fldCharType="begin"/>
      </w:r>
      <w:r>
        <w:instrText xml:space="preserve"> PAGEREF _Toc171673234 \h </w:instrText>
      </w:r>
      <w:r>
        <w:fldChar w:fldCharType="separate"/>
      </w:r>
      <w:r>
        <w:t>2</w:t>
      </w:r>
      <w:r>
        <w:fldChar w:fldCharType="end"/>
      </w:r>
      <w:r>
        <w:rPr>
          <w:rStyle w:val="11"/>
        </w:rPr>
        <w:fldChar w:fldCharType="end"/>
      </w:r>
    </w:p>
    <w:p w14:paraId="215D6855">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"_Toc171673235"</w:instrText>
      </w:r>
      <w:r>
        <w:rPr>
          <w:rStyle w:val="11"/>
        </w:rPr>
        <w:instrText xml:space="preserve"> </w:instrText>
      </w:r>
      <w:r>
        <w:rPr>
          <w:rStyle w:val="11"/>
        </w:rPr>
        <w:fldChar w:fldCharType="separate"/>
      </w:r>
      <w:r>
        <w:rPr>
          <w:rStyle w:val="11"/>
        </w:rPr>
        <w:t>（三）绩效评价依据</w:t>
      </w:r>
      <w:r>
        <w:tab/>
      </w:r>
      <w:r>
        <w:fldChar w:fldCharType="begin"/>
      </w:r>
      <w:r>
        <w:instrText xml:space="preserve"> PAGEREF _Toc171673235 \h </w:instrText>
      </w:r>
      <w:r>
        <w:fldChar w:fldCharType="separate"/>
      </w:r>
      <w:r>
        <w:t>2</w:t>
      </w:r>
      <w:r>
        <w:fldChar w:fldCharType="end"/>
      </w:r>
      <w:r>
        <w:rPr>
          <w:rStyle w:val="11"/>
        </w:rPr>
        <w:fldChar w:fldCharType="end"/>
      </w:r>
    </w:p>
    <w:p w14:paraId="71564448">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"_Toc171673236"</w:instrText>
      </w:r>
      <w:r>
        <w:rPr>
          <w:rStyle w:val="11"/>
        </w:rPr>
        <w:instrText xml:space="preserve"> </w:instrText>
      </w:r>
      <w:r>
        <w:rPr>
          <w:rStyle w:val="11"/>
        </w:rPr>
        <w:fldChar w:fldCharType="separate"/>
      </w:r>
      <w:r>
        <w:rPr>
          <w:rStyle w:val="11"/>
        </w:rPr>
        <w:t>（四）绩效评价原则和指标体系</w:t>
      </w:r>
      <w:r>
        <w:tab/>
      </w:r>
      <w:r>
        <w:fldChar w:fldCharType="begin"/>
      </w:r>
      <w:r>
        <w:instrText xml:space="preserve"> PAGEREF _Toc171673236 \h </w:instrText>
      </w:r>
      <w:r>
        <w:fldChar w:fldCharType="separate"/>
      </w:r>
      <w:r>
        <w:t>3</w:t>
      </w:r>
      <w:r>
        <w:fldChar w:fldCharType="end"/>
      </w:r>
      <w:r>
        <w:rPr>
          <w:rStyle w:val="11"/>
        </w:rPr>
        <w:fldChar w:fldCharType="end"/>
      </w:r>
    </w:p>
    <w:p w14:paraId="3C98ED48">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"_Toc171673237"</w:instrText>
      </w:r>
      <w:r>
        <w:rPr>
          <w:rStyle w:val="11"/>
        </w:rPr>
        <w:instrText xml:space="preserve"> </w:instrText>
      </w:r>
      <w:r>
        <w:rPr>
          <w:rStyle w:val="11"/>
        </w:rPr>
        <w:fldChar w:fldCharType="separate"/>
      </w:r>
      <w:r>
        <w:rPr>
          <w:rStyle w:val="11"/>
        </w:rPr>
        <w:t>（五）绩效评价标准和评价方法</w:t>
      </w:r>
      <w:r>
        <w:tab/>
      </w:r>
      <w:r>
        <w:fldChar w:fldCharType="begin"/>
      </w:r>
      <w:r>
        <w:instrText xml:space="preserve"> PAGEREF _Toc171673237 \h </w:instrText>
      </w:r>
      <w:r>
        <w:fldChar w:fldCharType="separate"/>
      </w:r>
      <w:r>
        <w:t>5</w:t>
      </w:r>
      <w:r>
        <w:fldChar w:fldCharType="end"/>
      </w:r>
      <w:r>
        <w:rPr>
          <w:rStyle w:val="11"/>
        </w:rPr>
        <w:fldChar w:fldCharType="end"/>
      </w:r>
    </w:p>
    <w:p w14:paraId="55FA9C76">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"_Toc171673238"</w:instrText>
      </w:r>
      <w:r>
        <w:rPr>
          <w:rStyle w:val="11"/>
        </w:rPr>
        <w:instrText xml:space="preserve"> </w:instrText>
      </w:r>
      <w:r>
        <w:rPr>
          <w:rStyle w:val="11"/>
        </w:rPr>
        <w:fldChar w:fldCharType="separate"/>
      </w:r>
      <w:r>
        <w:rPr>
          <w:rStyle w:val="11"/>
        </w:rPr>
        <w:t>（六）绩效评价工作过程</w:t>
      </w:r>
      <w:r>
        <w:tab/>
      </w:r>
      <w:r>
        <w:fldChar w:fldCharType="begin"/>
      </w:r>
      <w:r>
        <w:instrText xml:space="preserve"> PAGEREF _Toc171673238 \h </w:instrText>
      </w:r>
      <w:r>
        <w:fldChar w:fldCharType="separate"/>
      </w:r>
      <w:r>
        <w:t>6</w:t>
      </w:r>
      <w:r>
        <w:fldChar w:fldCharType="end"/>
      </w:r>
      <w:r>
        <w:rPr>
          <w:rStyle w:val="11"/>
        </w:rPr>
        <w:fldChar w:fldCharType="end"/>
      </w:r>
    </w:p>
    <w:p w14:paraId="315A0215">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"_Toc171673239"</w:instrText>
      </w:r>
      <w:r>
        <w:rPr>
          <w:rStyle w:val="11"/>
        </w:rPr>
        <w:instrText xml:space="preserve"> </w:instrText>
      </w:r>
      <w:r>
        <w:rPr>
          <w:rStyle w:val="11"/>
        </w:rPr>
        <w:fldChar w:fldCharType="separate"/>
      </w:r>
      <w:r>
        <w:rPr>
          <w:rStyle w:val="11"/>
        </w:rPr>
        <w:t>三、项目评价结论</w:t>
      </w:r>
      <w:r>
        <w:tab/>
      </w:r>
      <w:r>
        <w:fldChar w:fldCharType="begin"/>
      </w:r>
      <w:r>
        <w:instrText xml:space="preserve"> PAGEREF _Toc171673239 \h </w:instrText>
      </w:r>
      <w:r>
        <w:fldChar w:fldCharType="separate"/>
      </w:r>
      <w:r>
        <w:t>6</w:t>
      </w:r>
      <w:r>
        <w:fldChar w:fldCharType="end"/>
      </w:r>
      <w:r>
        <w:rPr>
          <w:rStyle w:val="11"/>
        </w:rPr>
        <w:fldChar w:fldCharType="end"/>
      </w:r>
    </w:p>
    <w:p w14:paraId="49BC4544">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"_Toc171673240"</w:instrText>
      </w:r>
      <w:r>
        <w:rPr>
          <w:rStyle w:val="11"/>
        </w:rPr>
        <w:instrText xml:space="preserve"> </w:instrText>
      </w:r>
      <w:r>
        <w:rPr>
          <w:rStyle w:val="11"/>
        </w:rPr>
        <w:fldChar w:fldCharType="separate"/>
      </w:r>
      <w:r>
        <w:rPr>
          <w:rStyle w:val="11"/>
        </w:rPr>
        <w:t>四、综合评价情况</w:t>
      </w:r>
      <w:r>
        <w:tab/>
      </w:r>
      <w:r>
        <w:fldChar w:fldCharType="begin"/>
      </w:r>
      <w:r>
        <w:instrText xml:space="preserve"> PAGEREF _Toc171673240 \h </w:instrText>
      </w:r>
      <w:r>
        <w:fldChar w:fldCharType="separate"/>
      </w:r>
      <w:r>
        <w:t>6</w:t>
      </w:r>
      <w:r>
        <w:fldChar w:fldCharType="end"/>
      </w:r>
      <w:r>
        <w:rPr>
          <w:rStyle w:val="11"/>
        </w:rPr>
        <w:fldChar w:fldCharType="end"/>
      </w:r>
    </w:p>
    <w:p w14:paraId="76260DBA">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"_Toc171673241"</w:instrText>
      </w:r>
      <w:r>
        <w:rPr>
          <w:rStyle w:val="11"/>
        </w:rPr>
        <w:instrText xml:space="preserve"> </w:instrText>
      </w:r>
      <w:r>
        <w:rPr>
          <w:rStyle w:val="11"/>
        </w:rPr>
        <w:fldChar w:fldCharType="separate"/>
      </w:r>
      <w:r>
        <w:rPr>
          <w:rStyle w:val="11"/>
        </w:rPr>
        <w:t>（一）资金管理</w:t>
      </w:r>
      <w:r>
        <w:tab/>
      </w:r>
      <w:r>
        <w:fldChar w:fldCharType="begin"/>
      </w:r>
      <w:r>
        <w:instrText xml:space="preserve"> PAGEREF _Toc171673241 \h </w:instrText>
      </w:r>
      <w:r>
        <w:fldChar w:fldCharType="separate"/>
      </w:r>
      <w:r>
        <w:t>6</w:t>
      </w:r>
      <w:r>
        <w:fldChar w:fldCharType="end"/>
      </w:r>
      <w:r>
        <w:rPr>
          <w:rStyle w:val="11"/>
        </w:rPr>
        <w:fldChar w:fldCharType="end"/>
      </w:r>
    </w:p>
    <w:p w14:paraId="22CE6C00">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"_Toc171673242"</w:instrText>
      </w:r>
      <w:r>
        <w:rPr>
          <w:rStyle w:val="11"/>
        </w:rPr>
        <w:instrText xml:space="preserve"> </w:instrText>
      </w:r>
      <w:r>
        <w:rPr>
          <w:rStyle w:val="11"/>
        </w:rPr>
        <w:fldChar w:fldCharType="separate"/>
      </w:r>
      <w:r>
        <w:rPr>
          <w:rStyle w:val="11"/>
        </w:rPr>
        <w:t>（二）项目管理</w:t>
      </w:r>
      <w:r>
        <w:tab/>
      </w:r>
      <w:r>
        <w:fldChar w:fldCharType="begin"/>
      </w:r>
      <w:r>
        <w:instrText xml:space="preserve"> PAGEREF _Toc171673242 \h </w:instrText>
      </w:r>
      <w:r>
        <w:fldChar w:fldCharType="separate"/>
      </w:r>
      <w:r>
        <w:t>7</w:t>
      </w:r>
      <w:r>
        <w:fldChar w:fldCharType="end"/>
      </w:r>
      <w:r>
        <w:rPr>
          <w:rStyle w:val="11"/>
        </w:rPr>
        <w:fldChar w:fldCharType="end"/>
      </w:r>
    </w:p>
    <w:p w14:paraId="2642DED8">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"_Toc171673243"</w:instrText>
      </w:r>
      <w:r>
        <w:rPr>
          <w:rStyle w:val="11"/>
        </w:rPr>
        <w:instrText xml:space="preserve"> </w:instrText>
      </w:r>
      <w:r>
        <w:rPr>
          <w:rStyle w:val="11"/>
        </w:rPr>
        <w:fldChar w:fldCharType="separate"/>
      </w:r>
      <w:r>
        <w:rPr>
          <w:rStyle w:val="11"/>
        </w:rPr>
        <w:t>（三）使用成效及通报情况</w:t>
      </w:r>
      <w:r>
        <w:tab/>
      </w:r>
      <w:r>
        <w:fldChar w:fldCharType="begin"/>
      </w:r>
      <w:r>
        <w:instrText xml:space="preserve"> PAGEREF _Toc171673243 \h </w:instrText>
      </w:r>
      <w:r>
        <w:fldChar w:fldCharType="separate"/>
      </w:r>
      <w:r>
        <w:t>8</w:t>
      </w:r>
      <w:r>
        <w:fldChar w:fldCharType="end"/>
      </w:r>
      <w:r>
        <w:rPr>
          <w:rStyle w:val="11"/>
        </w:rPr>
        <w:fldChar w:fldCharType="end"/>
      </w:r>
    </w:p>
    <w:p w14:paraId="55301096">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"_Toc171673244"</w:instrText>
      </w:r>
      <w:r>
        <w:rPr>
          <w:rStyle w:val="11"/>
        </w:rPr>
        <w:instrText xml:space="preserve"> </w:instrText>
      </w:r>
      <w:r>
        <w:rPr>
          <w:rStyle w:val="11"/>
        </w:rPr>
        <w:fldChar w:fldCharType="separate"/>
      </w:r>
      <w:r>
        <w:rPr>
          <w:rStyle w:val="11"/>
        </w:rPr>
        <w:t>五、存在的问题和建议</w:t>
      </w:r>
      <w:r>
        <w:tab/>
      </w:r>
      <w:r>
        <w:fldChar w:fldCharType="begin"/>
      </w:r>
      <w:r>
        <w:instrText xml:space="preserve"> PAGEREF _Toc171673244 \h </w:instrText>
      </w:r>
      <w:r>
        <w:fldChar w:fldCharType="separate"/>
      </w:r>
      <w:r>
        <w:t>8</w:t>
      </w:r>
      <w:r>
        <w:fldChar w:fldCharType="end"/>
      </w:r>
      <w:r>
        <w:rPr>
          <w:rStyle w:val="11"/>
        </w:rPr>
        <w:fldChar w:fldCharType="end"/>
      </w:r>
    </w:p>
    <w:p w14:paraId="4497122B">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"_Toc171673245"</w:instrText>
      </w:r>
      <w:r>
        <w:rPr>
          <w:rStyle w:val="11"/>
        </w:rPr>
        <w:instrText xml:space="preserve"> </w:instrText>
      </w:r>
      <w:r>
        <w:rPr>
          <w:rStyle w:val="11"/>
        </w:rPr>
        <w:fldChar w:fldCharType="separate"/>
      </w:r>
      <w:r>
        <w:rPr>
          <w:rStyle w:val="11"/>
        </w:rPr>
        <w:t>（一）存在问题</w:t>
      </w:r>
      <w:r>
        <w:tab/>
      </w:r>
      <w:r>
        <w:fldChar w:fldCharType="begin"/>
      </w:r>
      <w:r>
        <w:instrText xml:space="preserve"> PAGEREF _Toc171673245 \h </w:instrText>
      </w:r>
      <w:r>
        <w:fldChar w:fldCharType="separate"/>
      </w:r>
      <w:r>
        <w:t>8</w:t>
      </w:r>
      <w:r>
        <w:fldChar w:fldCharType="end"/>
      </w:r>
      <w:r>
        <w:rPr>
          <w:rStyle w:val="11"/>
        </w:rPr>
        <w:fldChar w:fldCharType="end"/>
      </w:r>
    </w:p>
    <w:p w14:paraId="07DADD60">
      <w:pPr>
        <w:pStyle w:val="7"/>
        <w:rPr>
          <w:rFonts w:asciiTheme="minorHAnsi" w:hAnsiTheme="minorHAnsi" w:eastAsiaTheme="minorEastAsia" w:cstheme="minorBidi"/>
          <w:b w:val="0"/>
          <w:bCs w:val="0"/>
          <w:szCs w:val="22"/>
          <w14:ligatures w14:val="standardContextual"/>
        </w:rPr>
      </w:pPr>
      <w:r>
        <w:rPr>
          <w:rStyle w:val="11"/>
        </w:rPr>
        <w:fldChar w:fldCharType="begin"/>
      </w:r>
      <w:r>
        <w:rPr>
          <w:rStyle w:val="11"/>
        </w:rPr>
        <w:instrText xml:space="preserve"> </w:instrText>
      </w:r>
      <w:r>
        <w:instrText xml:space="preserve">HYPERLINK \l "_Toc171673246"</w:instrText>
      </w:r>
      <w:r>
        <w:rPr>
          <w:rStyle w:val="11"/>
        </w:rPr>
        <w:instrText xml:space="preserve"> </w:instrText>
      </w:r>
      <w:r>
        <w:rPr>
          <w:rStyle w:val="11"/>
        </w:rPr>
        <w:fldChar w:fldCharType="separate"/>
      </w:r>
      <w:r>
        <w:rPr>
          <w:rStyle w:val="11"/>
        </w:rPr>
        <w:t>（二）建议</w:t>
      </w:r>
      <w:r>
        <w:tab/>
      </w:r>
      <w:r>
        <w:fldChar w:fldCharType="begin"/>
      </w:r>
      <w:r>
        <w:instrText xml:space="preserve"> PAGEREF _Toc171673246 \h </w:instrText>
      </w:r>
      <w:r>
        <w:fldChar w:fldCharType="separate"/>
      </w:r>
      <w:r>
        <w:t>8</w:t>
      </w:r>
      <w:r>
        <w:fldChar w:fldCharType="end"/>
      </w:r>
      <w:r>
        <w:rPr>
          <w:rStyle w:val="11"/>
        </w:rPr>
        <w:fldChar w:fldCharType="end"/>
      </w:r>
    </w:p>
    <w:p w14:paraId="5BE7A925">
      <w:pPr>
        <w:pStyle w:val="13"/>
        <w:spacing w:line="460" w:lineRule="exact"/>
        <w:rPr>
          <w:rFonts w:ascii="Arial Narrow" w:hAnsi="Arial Narrow" w:eastAsiaTheme="minorEastAsia"/>
          <w:bCs/>
          <w:w w:val="80"/>
        </w:rPr>
        <w:sectPr>
          <w:footerReference r:id="rId3" w:type="default"/>
          <w:pgSz w:w="11907" w:h="16840"/>
          <w:pgMar w:top="1418" w:right="1418" w:bottom="1134" w:left="1701" w:header="851" w:footer="851" w:gutter="0"/>
          <w:pgNumType w:start="1"/>
          <w:cols w:space="425" w:num="1"/>
          <w:docGrid w:linePitch="312" w:charSpace="0"/>
        </w:sectPr>
      </w:pPr>
      <w:r>
        <w:rPr>
          <w:rStyle w:val="11"/>
          <w:rFonts w:ascii="Arial Narrow" w:hAnsi="Arial Narrow" w:eastAsiaTheme="minorEastAsia"/>
          <w:color w:val="auto"/>
          <w:sz w:val="21"/>
          <w:szCs w:val="21"/>
          <w:u w:val="none"/>
        </w:rPr>
        <w:fldChar w:fldCharType="end"/>
      </w:r>
    </w:p>
    <w:p w14:paraId="701ACA28">
      <w:pPr>
        <w:spacing w:line="360" w:lineRule="auto"/>
        <w:jc w:val="right"/>
        <w:rPr>
          <w:rFonts w:ascii="Arial Narrow" w:hAnsi="Arial Narrow" w:eastAsiaTheme="minorEastAsia"/>
          <w:bCs/>
          <w:w w:val="80"/>
          <w:sz w:val="28"/>
          <w:szCs w:val="28"/>
        </w:rPr>
      </w:pPr>
    </w:p>
    <w:p w14:paraId="76EF5EE6">
      <w:pPr>
        <w:spacing w:line="360" w:lineRule="auto"/>
        <w:jc w:val="right"/>
        <w:rPr>
          <w:rFonts w:ascii="Arial Narrow" w:hAnsi="Arial Narrow" w:eastAsiaTheme="minorEastAsia"/>
          <w:bCs/>
          <w:w w:val="80"/>
          <w:sz w:val="28"/>
          <w:szCs w:val="28"/>
        </w:rPr>
      </w:pPr>
    </w:p>
    <w:p w14:paraId="7631DECF">
      <w:pPr>
        <w:widowControl/>
        <w:jc w:val="distribute"/>
        <w:rPr>
          <w:rFonts w:ascii="Arial Narrow" w:hAnsi="Arial Narrow" w:cs="楷体" w:eastAsiaTheme="minorEastAsia"/>
          <w:bCs/>
          <w:kern w:val="0"/>
          <w:sz w:val="28"/>
          <w:szCs w:val="28"/>
        </w:rPr>
      </w:pPr>
      <w:r>
        <w:rPr>
          <w:rFonts w:hint="eastAsia" w:ascii="Arial Narrow" w:hAnsi="Arial Narrow" w:cs="楷体" w:eastAsiaTheme="minorEastAsia"/>
          <w:b/>
          <w:kern w:val="0"/>
          <w:sz w:val="72"/>
          <w:szCs w:val="72"/>
        </w:rPr>
        <w:t>重庆铭鸿金全会计师事务所</w:t>
      </w:r>
    </w:p>
    <w:p w14:paraId="69B78050">
      <w:pPr>
        <w:widowControl/>
        <w:spacing w:line="360" w:lineRule="auto"/>
        <w:ind w:right="-2"/>
        <w:jc w:val="distribute"/>
        <w:rPr>
          <w:rFonts w:ascii="Arial Narrow" w:hAnsi="Arial Narrow" w:eastAsiaTheme="minorEastAsia"/>
          <w:kern w:val="0"/>
          <w:sz w:val="28"/>
          <w:szCs w:val="28"/>
          <w:lang w:eastAsia="zh-TW"/>
        </w:rPr>
      </w:pPr>
      <w:r>
        <w:rPr>
          <w:rFonts w:ascii="Arial Narrow" w:hAnsi="Arial Narrow" w:eastAsiaTheme="minorEastAsia"/>
          <w:b/>
          <w:kern w:val="0"/>
          <w:sz w:val="32"/>
          <w:szCs w:val="20"/>
          <w:lang w:eastAsia="zh-TW"/>
        </w:rPr>
        <w:t>Chongqing</w:t>
      </w:r>
      <w:r>
        <w:rPr>
          <w:rFonts w:hint="eastAsia" w:ascii="Arial Narrow" w:hAnsi="Arial Narrow" w:eastAsiaTheme="minorEastAsia"/>
          <w:b/>
          <w:kern w:val="0"/>
          <w:sz w:val="32"/>
          <w:szCs w:val="20"/>
          <w:lang w:val="en-US" w:eastAsia="zh-CN"/>
        </w:rPr>
        <w:t xml:space="preserve"> </w:t>
      </w:r>
      <w:r>
        <w:rPr>
          <w:rFonts w:ascii="Arial Narrow" w:hAnsi="Arial Narrow" w:eastAsiaTheme="minorEastAsia"/>
          <w:b/>
          <w:kern w:val="0"/>
          <w:sz w:val="32"/>
          <w:szCs w:val="20"/>
        </w:rPr>
        <w:t>MingHong</w:t>
      </w:r>
      <w:r>
        <w:rPr>
          <w:rFonts w:hint="eastAsia" w:ascii="Arial Narrow" w:hAnsi="Arial Narrow" w:eastAsiaTheme="minorEastAsia"/>
          <w:b/>
          <w:kern w:val="0"/>
          <w:sz w:val="32"/>
          <w:szCs w:val="20"/>
          <w:lang w:val="en-US" w:eastAsia="zh-CN"/>
        </w:rPr>
        <w:t xml:space="preserve"> </w:t>
      </w:r>
      <w:r>
        <w:rPr>
          <w:rFonts w:ascii="Arial Narrow" w:hAnsi="Arial Narrow" w:eastAsiaTheme="minorEastAsia"/>
          <w:b/>
          <w:kern w:val="0"/>
          <w:sz w:val="32"/>
          <w:szCs w:val="20"/>
        </w:rPr>
        <w:t>JinQuan</w:t>
      </w:r>
      <w:r>
        <w:rPr>
          <w:rFonts w:hint="eastAsia" w:ascii="Arial Narrow" w:hAnsi="Arial Narrow" w:eastAsiaTheme="minorEastAsia"/>
          <w:b/>
          <w:kern w:val="0"/>
          <w:sz w:val="32"/>
          <w:szCs w:val="20"/>
          <w:lang w:val="en-US" w:eastAsia="zh-CN"/>
        </w:rPr>
        <w:t xml:space="preserve"> </w:t>
      </w:r>
      <w:r>
        <w:rPr>
          <w:rFonts w:ascii="Arial Narrow" w:hAnsi="Arial Narrow" w:eastAsiaTheme="minorEastAsia"/>
          <w:b/>
          <w:kern w:val="0"/>
          <w:sz w:val="32"/>
          <w:szCs w:val="20"/>
          <w:lang w:eastAsia="zh-TW"/>
        </w:rPr>
        <w:t>Certified</w:t>
      </w:r>
      <w:r>
        <w:rPr>
          <w:rFonts w:hint="eastAsia" w:ascii="Arial Narrow" w:hAnsi="Arial Narrow" w:eastAsiaTheme="minorEastAsia"/>
          <w:b/>
          <w:kern w:val="0"/>
          <w:sz w:val="32"/>
          <w:szCs w:val="20"/>
          <w:lang w:val="en-US" w:eastAsia="zh-CN"/>
        </w:rPr>
        <w:t xml:space="preserve"> </w:t>
      </w:r>
      <w:r>
        <w:rPr>
          <w:rFonts w:ascii="Arial Narrow" w:hAnsi="Arial Narrow" w:eastAsiaTheme="minorEastAsia"/>
          <w:b/>
          <w:kern w:val="0"/>
          <w:sz w:val="32"/>
          <w:szCs w:val="20"/>
          <w:lang w:eastAsia="zh-TW"/>
        </w:rPr>
        <w:t>Public</w:t>
      </w:r>
      <w:r>
        <w:rPr>
          <w:rFonts w:hint="eastAsia" w:ascii="Arial Narrow" w:hAnsi="Arial Narrow" w:eastAsiaTheme="minorEastAsia"/>
          <w:b/>
          <w:kern w:val="0"/>
          <w:sz w:val="32"/>
          <w:szCs w:val="20"/>
          <w:lang w:val="en-US" w:eastAsia="zh-CN"/>
        </w:rPr>
        <w:t xml:space="preserve"> </w:t>
      </w:r>
      <w:r>
        <w:rPr>
          <w:rFonts w:ascii="Arial Narrow" w:hAnsi="Arial Narrow" w:eastAsiaTheme="minorEastAsia"/>
          <w:b/>
          <w:kern w:val="0"/>
          <w:sz w:val="32"/>
          <w:szCs w:val="20"/>
          <w:lang w:eastAsia="zh-TW"/>
        </w:rPr>
        <w:t>Accountants</w:t>
      </w:r>
    </w:p>
    <w:p w14:paraId="00400919">
      <w:pPr>
        <w:spacing w:line="360" w:lineRule="auto"/>
        <w:jc w:val="center"/>
        <w:rPr>
          <w:rFonts w:ascii="Arial Narrow" w:hAnsi="Arial Narrow" w:eastAsiaTheme="minorEastAsia"/>
          <w:sz w:val="28"/>
          <w:szCs w:val="28"/>
        </w:rPr>
      </w:pPr>
      <w:r>
        <w:rPr>
          <w:rFonts w:hint="eastAsia" w:ascii="Arial Narrow" w:hAnsi="Arial Narrow" w:eastAsiaTheme="minorEastAsia"/>
          <w:kern w:val="0"/>
          <w:sz w:val="28"/>
          <w:szCs w:val="28"/>
        </w:rPr>
        <w:t>铭</w:t>
      </w:r>
      <w:r>
        <w:rPr>
          <w:rFonts w:hint="eastAsia" w:ascii="Arial Narrow" w:hAnsi="Arial Narrow" w:eastAsiaTheme="minorEastAsia"/>
          <w:sz w:val="28"/>
          <w:szCs w:val="28"/>
        </w:rPr>
        <w:t>鸿咨字〔</w:t>
      </w:r>
      <w:r>
        <w:rPr>
          <w:rFonts w:ascii="Arial Narrow" w:hAnsi="Arial Narrow" w:eastAsiaTheme="minorEastAsia"/>
          <w:sz w:val="28"/>
          <w:szCs w:val="28"/>
        </w:rPr>
        <w:t>2024</w:t>
      </w:r>
      <w:r>
        <w:rPr>
          <w:rFonts w:hint="eastAsia" w:ascii="Arial Narrow" w:hAnsi="Arial Narrow" w:eastAsiaTheme="minorEastAsia"/>
          <w:sz w:val="28"/>
          <w:szCs w:val="28"/>
        </w:rPr>
        <w:t>〕第</w:t>
      </w:r>
      <w:r>
        <w:rPr>
          <w:rFonts w:ascii="Arial Narrow" w:hAnsi="Arial Narrow" w:eastAsiaTheme="minorEastAsia"/>
          <w:sz w:val="28"/>
          <w:szCs w:val="28"/>
        </w:rPr>
        <w:t>0041</w:t>
      </w:r>
      <w:r>
        <w:rPr>
          <w:rFonts w:hint="eastAsia" w:ascii="Arial Narrow" w:hAnsi="Arial Narrow" w:eastAsiaTheme="minorEastAsia"/>
          <w:sz w:val="28"/>
          <w:szCs w:val="28"/>
        </w:rPr>
        <w:t>号</w:t>
      </w:r>
    </w:p>
    <w:p w14:paraId="42EF4AA4">
      <w:pPr>
        <w:spacing w:line="360" w:lineRule="auto"/>
        <w:jc w:val="distribute"/>
        <w:rPr>
          <w:rFonts w:ascii="Arial Narrow" w:hAnsi="Arial Narrow" w:eastAsiaTheme="minorEastAsia"/>
          <w:w w:val="94"/>
        </w:rPr>
      </w:pPr>
      <w:r>
        <w:rPr>
          <w:rFonts w:hint="eastAsia" w:ascii="宋体" w:hAnsi="宋体" w:cs="宋体"/>
          <w:b/>
          <w:bCs/>
          <w:w w:val="94"/>
          <w:sz w:val="36"/>
          <w:szCs w:val="36"/>
        </w:rPr>
        <w:t>━━━━━━━━━━━━</w:t>
      </w:r>
      <w:r>
        <w:rPr>
          <w:rFonts w:ascii="Arial Narrow" w:hAnsi="Arial Narrow" w:eastAsiaTheme="minorEastAsia"/>
          <w:b/>
          <w:bCs/>
          <w:w w:val="94"/>
          <w:sz w:val="36"/>
          <w:szCs w:val="36"/>
        </w:rPr>
        <w:t xml:space="preserve"> </w:t>
      </w:r>
      <w:r>
        <w:rPr>
          <w:rFonts w:hint="eastAsia" w:ascii="Segoe UI Symbol" w:hAnsi="Segoe UI Symbol" w:cs="Segoe UI Symbol" w:eastAsiaTheme="minorEastAsia"/>
          <w:b/>
          <w:bCs/>
          <w:w w:val="94"/>
          <w:sz w:val="36"/>
          <w:szCs w:val="36"/>
        </w:rPr>
        <w:t>★</w:t>
      </w:r>
      <w:r>
        <w:rPr>
          <w:rFonts w:ascii="Arial Narrow" w:hAnsi="Arial Narrow" w:eastAsiaTheme="minorEastAsia"/>
          <w:b/>
          <w:bCs/>
          <w:w w:val="94"/>
          <w:sz w:val="36"/>
          <w:szCs w:val="36"/>
        </w:rPr>
        <w:t xml:space="preserve"> </w:t>
      </w:r>
      <w:r>
        <w:rPr>
          <w:rFonts w:hint="eastAsia" w:ascii="宋体" w:hAnsi="宋体" w:cs="宋体"/>
          <w:b/>
          <w:bCs/>
          <w:w w:val="94"/>
          <w:sz w:val="36"/>
          <w:szCs w:val="36"/>
        </w:rPr>
        <w:t>━━━━━━━━━━━</w:t>
      </w:r>
      <w:bookmarkStart w:id="2" w:name="_Hlk51614207"/>
      <w:r>
        <w:rPr>
          <w:rFonts w:hint="eastAsia" w:ascii="宋体" w:hAnsi="宋体" w:cs="宋体"/>
          <w:b/>
          <w:bCs/>
          <w:w w:val="94"/>
          <w:sz w:val="36"/>
          <w:szCs w:val="36"/>
        </w:rPr>
        <w:t>━</w:t>
      </w:r>
      <w:bookmarkEnd w:id="2"/>
    </w:p>
    <w:p w14:paraId="271F5BEF">
      <w:pPr>
        <w:adjustRightInd w:val="0"/>
        <w:snapToGrid w:val="0"/>
        <w:spacing w:line="360" w:lineRule="auto"/>
        <w:jc w:val="center"/>
        <w:rPr>
          <w:rFonts w:ascii="Arial Narrow" w:hAnsi="Arial Narrow" w:eastAsiaTheme="minorEastAsia"/>
          <w:b/>
          <w:sz w:val="36"/>
          <w:szCs w:val="36"/>
        </w:rPr>
      </w:pPr>
      <w:r>
        <w:rPr>
          <w:rStyle w:val="11"/>
          <w:rFonts w:hint="eastAsia" w:ascii="Arial Narrow" w:hAnsi="Arial Narrow" w:eastAsiaTheme="minorEastAsia"/>
          <w:b/>
          <w:color w:val="auto"/>
          <w:sz w:val="36"/>
          <w:szCs w:val="36"/>
          <w:u w:val="none"/>
        </w:rPr>
        <w:t>重庆市铜梁区维新镇人民政府</w:t>
      </w:r>
      <w:r>
        <w:rPr>
          <w:rStyle w:val="11"/>
          <w:rFonts w:ascii="Arial Narrow" w:hAnsi="Arial Narrow" w:eastAsiaTheme="minorEastAsia"/>
          <w:b/>
          <w:color w:val="auto"/>
          <w:sz w:val="36"/>
          <w:szCs w:val="36"/>
          <w:u w:val="none"/>
        </w:rPr>
        <w:t>3</w:t>
      </w:r>
      <w:r>
        <w:rPr>
          <w:rStyle w:val="11"/>
          <w:rFonts w:hint="eastAsia" w:ascii="Arial Narrow" w:hAnsi="Arial Narrow" w:eastAsiaTheme="minorEastAsia"/>
          <w:b/>
          <w:color w:val="auto"/>
          <w:sz w:val="36"/>
          <w:szCs w:val="36"/>
          <w:u w:val="none"/>
        </w:rPr>
        <w:t>个项目</w:t>
      </w:r>
      <w:r>
        <w:rPr>
          <w:rFonts w:hint="eastAsia" w:ascii="Arial Narrow" w:hAnsi="Arial Narrow" w:eastAsiaTheme="minorEastAsia"/>
          <w:b/>
          <w:sz w:val="36"/>
          <w:szCs w:val="36"/>
        </w:rPr>
        <w:t>绩效评价报告</w:t>
      </w:r>
    </w:p>
    <w:p w14:paraId="3368AD43">
      <w:pPr>
        <w:pStyle w:val="14"/>
        <w:spacing w:line="360" w:lineRule="auto"/>
        <w:ind w:firstLine="480" w:firstLineChars="200"/>
        <w:jc w:val="both"/>
        <w:rPr>
          <w:rFonts w:ascii="Arial Narrow" w:hAnsi="Arial Narrow" w:eastAsiaTheme="minorEastAsia"/>
          <w:color w:val="auto"/>
        </w:rPr>
      </w:pPr>
      <w:r>
        <w:rPr>
          <w:rFonts w:hint="eastAsia" w:ascii="Arial Narrow" w:hAnsi="Arial Narrow" w:eastAsiaTheme="minorEastAsia"/>
          <w:color w:val="auto"/>
        </w:rPr>
        <w:t>为深入贯彻落实党的十九大</w:t>
      </w:r>
      <w:r>
        <w:rPr>
          <w:rFonts w:hint="eastAsia" w:ascii="Arial Narrow" w:hAnsi="Arial Narrow" w:eastAsiaTheme="minorEastAsia"/>
          <w:color w:val="auto"/>
          <w:lang w:eastAsia="zh-CN"/>
        </w:rPr>
        <w:t>“</w:t>
      </w:r>
      <w:r>
        <w:rPr>
          <w:rFonts w:hint="eastAsia" w:ascii="Arial Narrow" w:hAnsi="Arial Narrow" w:eastAsiaTheme="minorEastAsia"/>
          <w:color w:val="auto"/>
        </w:rPr>
        <w:t>全面实施绩效管理</w:t>
      </w:r>
      <w:r>
        <w:rPr>
          <w:rFonts w:hint="eastAsia" w:ascii="Arial Narrow" w:hAnsi="Arial Narrow" w:eastAsiaTheme="minorEastAsia"/>
          <w:color w:val="auto"/>
          <w:lang w:eastAsia="zh-CN"/>
        </w:rPr>
        <w:t>”</w:t>
      </w:r>
      <w:r>
        <w:rPr>
          <w:rFonts w:hint="eastAsia" w:ascii="Arial Narrow" w:hAnsi="Arial Narrow" w:eastAsiaTheme="minorEastAsia"/>
          <w:color w:val="auto"/>
        </w:rPr>
        <w:t>决策部署，进一步提高政府投入资金的使用效益，促进公共服务资源的优化配置，根据《中华人民共和国预算法》、《项目支出绩效评价管理办法》（财预〔</w:t>
      </w:r>
      <w:r>
        <w:rPr>
          <w:rFonts w:ascii="Arial Narrow" w:hAnsi="Arial Narrow" w:eastAsiaTheme="minorEastAsia"/>
          <w:color w:val="auto"/>
        </w:rPr>
        <w:t>2020</w:t>
      </w:r>
      <w:r>
        <w:rPr>
          <w:rFonts w:hint="eastAsia" w:ascii="Arial Narrow" w:hAnsi="Arial Narrow" w:eastAsiaTheme="minorEastAsia"/>
          <w:color w:val="auto"/>
        </w:rPr>
        <w:t>〕</w:t>
      </w:r>
      <w:r>
        <w:rPr>
          <w:rFonts w:ascii="Arial Narrow" w:hAnsi="Arial Narrow" w:eastAsiaTheme="minorEastAsia"/>
          <w:color w:val="auto"/>
        </w:rPr>
        <w:t>10</w:t>
      </w:r>
      <w:r>
        <w:rPr>
          <w:rFonts w:hint="eastAsia" w:ascii="Arial Narrow" w:hAnsi="Arial Narrow" w:eastAsiaTheme="minorEastAsia"/>
          <w:color w:val="auto"/>
        </w:rPr>
        <w:t>号）</w:t>
      </w:r>
      <w:r>
        <w:rPr>
          <w:rFonts w:hint="eastAsia" w:ascii="Arial Narrow" w:hAnsi="Arial Narrow" w:eastAsiaTheme="minorEastAsia"/>
          <w:color w:val="auto"/>
          <w:lang w:eastAsia="zh-CN"/>
        </w:rPr>
        <w:t>、</w:t>
      </w:r>
      <w:r>
        <w:rPr>
          <w:rFonts w:hint="eastAsia" w:ascii="Arial Narrow" w:hAnsi="Arial Narrow" w:eastAsiaTheme="minorEastAsia"/>
          <w:color w:val="auto"/>
        </w:rPr>
        <w:t>《重庆市市级政策和项目预算绩效管理办法（试行）》（渝财绩〔</w:t>
      </w:r>
      <w:r>
        <w:rPr>
          <w:rFonts w:ascii="Arial Narrow" w:hAnsi="Arial Narrow" w:eastAsiaTheme="minorEastAsia"/>
          <w:color w:val="auto"/>
        </w:rPr>
        <w:t>2019</w:t>
      </w:r>
      <w:r>
        <w:rPr>
          <w:rFonts w:hint="eastAsia" w:ascii="Arial Narrow" w:hAnsi="Arial Narrow" w:eastAsiaTheme="minorEastAsia"/>
          <w:color w:val="auto"/>
        </w:rPr>
        <w:t>〕</w:t>
      </w:r>
      <w:r>
        <w:rPr>
          <w:rFonts w:ascii="Arial Narrow" w:hAnsi="Arial Narrow" w:eastAsiaTheme="minorEastAsia"/>
          <w:color w:val="auto"/>
        </w:rPr>
        <w:t>19</w:t>
      </w:r>
      <w:r>
        <w:rPr>
          <w:rFonts w:hint="eastAsia" w:ascii="Arial Narrow" w:hAnsi="Arial Narrow" w:eastAsiaTheme="minorEastAsia"/>
          <w:color w:val="auto"/>
        </w:rPr>
        <w:t>号），受重庆市铜梁区财政局（以下简称</w:t>
      </w:r>
      <w:r>
        <w:rPr>
          <w:rFonts w:hint="eastAsia" w:ascii="Arial Narrow" w:hAnsi="Arial Narrow" w:eastAsiaTheme="minorEastAsia"/>
          <w:color w:val="auto"/>
          <w:lang w:eastAsia="zh-CN"/>
        </w:rPr>
        <w:t>“</w:t>
      </w:r>
      <w:r>
        <w:rPr>
          <w:rFonts w:hint="eastAsia" w:ascii="Arial Narrow" w:hAnsi="Arial Narrow" w:eastAsiaTheme="minorEastAsia"/>
          <w:color w:val="auto"/>
        </w:rPr>
        <w:t>财政局</w:t>
      </w:r>
      <w:r>
        <w:rPr>
          <w:rFonts w:hint="eastAsia" w:ascii="Arial Narrow" w:hAnsi="Arial Narrow" w:eastAsiaTheme="minorEastAsia"/>
          <w:color w:val="auto"/>
          <w:lang w:eastAsia="zh-CN"/>
        </w:rPr>
        <w:t>”</w:t>
      </w:r>
      <w:r>
        <w:rPr>
          <w:rFonts w:hint="eastAsia" w:ascii="Arial Narrow" w:hAnsi="Arial Narrow" w:eastAsiaTheme="minorEastAsia"/>
          <w:color w:val="auto"/>
        </w:rPr>
        <w:t>）的委托，我们对重庆市铜梁区维新镇人民政府</w:t>
      </w:r>
      <w:r>
        <w:rPr>
          <w:rFonts w:ascii="Arial Narrow" w:hAnsi="Arial Narrow" w:eastAsiaTheme="minorEastAsia"/>
          <w:color w:val="auto"/>
        </w:rPr>
        <w:t>3</w:t>
      </w:r>
      <w:r>
        <w:rPr>
          <w:rFonts w:hint="eastAsia" w:ascii="Arial Narrow" w:hAnsi="Arial Narrow" w:eastAsiaTheme="minorEastAsia"/>
          <w:color w:val="auto"/>
        </w:rPr>
        <w:t>个项目进行绩效评价，现将评价情况报告如下：</w:t>
      </w:r>
    </w:p>
    <w:p w14:paraId="0FB6B7F2">
      <w:pPr>
        <w:spacing w:before="240" w:beforeLines="100" w:line="360" w:lineRule="auto"/>
        <w:ind w:firstLine="482" w:firstLineChars="200"/>
        <w:jc w:val="left"/>
        <w:outlineLvl w:val="0"/>
        <w:rPr>
          <w:rFonts w:ascii="Arial Narrow" w:hAnsi="Arial Narrow" w:eastAsiaTheme="minorEastAsia"/>
          <w:b/>
          <w:sz w:val="24"/>
        </w:rPr>
      </w:pPr>
      <w:bookmarkStart w:id="3" w:name="_Toc171673230"/>
      <w:r>
        <w:rPr>
          <w:rFonts w:hint="eastAsia" w:ascii="Arial Narrow" w:hAnsi="Arial Narrow" w:eastAsiaTheme="minorEastAsia"/>
          <w:b/>
          <w:sz w:val="24"/>
        </w:rPr>
        <w:t>一、基本情况</w:t>
      </w:r>
      <w:bookmarkEnd w:id="3"/>
    </w:p>
    <w:p w14:paraId="0519F62B">
      <w:pPr>
        <w:spacing w:before="120" w:beforeLines="50" w:line="360" w:lineRule="auto"/>
        <w:ind w:firstLine="482" w:firstLineChars="200"/>
        <w:jc w:val="left"/>
        <w:outlineLvl w:val="0"/>
        <w:rPr>
          <w:rFonts w:ascii="Arial Narrow" w:hAnsi="Arial Narrow" w:cs="宋体" w:eastAsiaTheme="minorEastAsia"/>
          <w:b/>
          <w:bCs/>
          <w:kern w:val="0"/>
          <w:sz w:val="24"/>
        </w:rPr>
      </w:pPr>
      <w:bookmarkStart w:id="4" w:name="_Toc171673231"/>
      <w:r>
        <w:rPr>
          <w:rFonts w:hint="eastAsia" w:ascii="Arial Narrow" w:hAnsi="Arial Narrow" w:cs="宋体" w:eastAsiaTheme="minorEastAsia"/>
          <w:b/>
          <w:bCs/>
          <w:kern w:val="0"/>
          <w:sz w:val="24"/>
        </w:rPr>
        <w:t>（一）项目情况</w:t>
      </w:r>
      <w:bookmarkEnd w:id="4"/>
    </w:p>
    <w:p w14:paraId="59D2ED00">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1</w:t>
      </w:r>
      <w:r>
        <w:rPr>
          <w:rFonts w:hint="eastAsia" w:ascii="Arial Narrow" w:hAnsi="Arial Narrow" w:cs="宋体" w:eastAsiaTheme="minorEastAsia"/>
          <w:kern w:val="0"/>
          <w:sz w:val="24"/>
        </w:rPr>
        <w:t>.沿河村</w:t>
      </w:r>
      <w:r>
        <w:rPr>
          <w:rFonts w:ascii="Arial Narrow" w:hAnsi="Arial Narrow" w:cs="宋体" w:eastAsiaTheme="minorEastAsia"/>
          <w:kern w:val="0"/>
          <w:sz w:val="24"/>
        </w:rPr>
        <w:t>2023</w:t>
      </w:r>
      <w:r>
        <w:rPr>
          <w:rFonts w:hint="eastAsia" w:ascii="Arial Narrow" w:hAnsi="Arial Narrow" w:cs="宋体" w:eastAsiaTheme="minorEastAsia"/>
          <w:kern w:val="0"/>
          <w:sz w:val="24"/>
        </w:rPr>
        <w:t>年乡村振兴产业发展项目</w:t>
      </w:r>
    </w:p>
    <w:p w14:paraId="7F283254">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实施单位：重庆市铜梁区维新镇沿河村股份经济合作联合社</w:t>
      </w:r>
    </w:p>
    <w:p w14:paraId="796F6560">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项目内容：</w:t>
      </w:r>
      <w:r>
        <w:rPr>
          <w:rFonts w:ascii="Arial Narrow" w:hAnsi="Arial Narrow" w:cs="宋体" w:eastAsiaTheme="minorEastAsia"/>
          <w:kern w:val="0"/>
          <w:sz w:val="24"/>
        </w:rPr>
        <w:t>1.</w:t>
      </w:r>
      <w:r>
        <w:rPr>
          <w:rFonts w:hint="eastAsia" w:ascii="Arial Narrow" w:hAnsi="Arial Narrow" w:cs="宋体" w:eastAsiaTheme="minorEastAsia"/>
          <w:kern w:val="0"/>
          <w:sz w:val="24"/>
        </w:rPr>
        <w:t>旱情受损苗木补植补种</w:t>
      </w:r>
      <w:r>
        <w:rPr>
          <w:rFonts w:ascii="Arial Narrow" w:hAnsi="Arial Narrow" w:cs="宋体" w:eastAsiaTheme="minorEastAsia"/>
          <w:kern w:val="0"/>
          <w:sz w:val="24"/>
        </w:rPr>
        <w:t>3000</w:t>
      </w:r>
      <w:r>
        <w:rPr>
          <w:rFonts w:hint="eastAsia" w:ascii="Arial Narrow" w:hAnsi="Arial Narrow" w:cs="宋体" w:eastAsiaTheme="minorEastAsia"/>
          <w:kern w:val="0"/>
          <w:sz w:val="24"/>
        </w:rPr>
        <w:t>株：采购并栽植爱媛</w:t>
      </w:r>
      <w:r>
        <w:rPr>
          <w:rFonts w:ascii="Arial Narrow" w:hAnsi="Arial Narrow" w:cs="宋体" w:eastAsiaTheme="minorEastAsia"/>
          <w:kern w:val="0"/>
          <w:sz w:val="24"/>
        </w:rPr>
        <w:t>38</w:t>
      </w:r>
      <w:r>
        <w:rPr>
          <w:rFonts w:hint="eastAsia" w:ascii="Arial Narrow" w:hAnsi="Arial Narrow" w:cs="宋体" w:eastAsiaTheme="minorEastAsia"/>
          <w:kern w:val="0"/>
          <w:sz w:val="24"/>
        </w:rPr>
        <w:t>果苗。</w:t>
      </w:r>
      <w:r>
        <w:rPr>
          <w:rFonts w:ascii="Arial Narrow" w:hAnsi="Arial Narrow" w:cs="宋体" w:eastAsiaTheme="minorEastAsia"/>
          <w:kern w:val="0"/>
          <w:sz w:val="24"/>
        </w:rPr>
        <w:t>2.</w:t>
      </w:r>
      <w:r>
        <w:rPr>
          <w:rFonts w:hint="eastAsia" w:ascii="Arial Narrow" w:hAnsi="Arial Narrow" w:cs="宋体" w:eastAsiaTheme="minorEastAsia"/>
          <w:kern w:val="0"/>
          <w:sz w:val="24"/>
        </w:rPr>
        <w:t>联通新基建光网建设：新建光缆</w:t>
      </w:r>
      <w:r>
        <w:rPr>
          <w:rFonts w:ascii="Arial Narrow" w:hAnsi="Arial Narrow" w:cs="宋体" w:eastAsiaTheme="minorEastAsia"/>
          <w:kern w:val="0"/>
          <w:sz w:val="24"/>
        </w:rPr>
        <w:t>25446</w:t>
      </w:r>
      <w:r>
        <w:rPr>
          <w:rFonts w:hint="eastAsia" w:ascii="Arial Narrow" w:hAnsi="Arial Narrow" w:cs="宋体" w:eastAsiaTheme="minorEastAsia"/>
          <w:kern w:val="0"/>
          <w:sz w:val="24"/>
        </w:rPr>
        <w:t>米</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含分光器、分纤箱等配套设备</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w:t>
      </w:r>
      <w:r>
        <w:rPr>
          <w:rFonts w:ascii="Arial Narrow" w:hAnsi="Arial Narrow" w:cs="宋体" w:eastAsiaTheme="minorEastAsia"/>
          <w:kern w:val="0"/>
          <w:sz w:val="24"/>
        </w:rPr>
        <w:t>3.</w:t>
      </w:r>
      <w:r>
        <w:rPr>
          <w:rFonts w:hint="eastAsia" w:ascii="Arial Narrow" w:hAnsi="Arial Narrow" w:cs="宋体" w:eastAsiaTheme="minorEastAsia"/>
          <w:kern w:val="0"/>
          <w:sz w:val="24"/>
        </w:rPr>
        <w:t>建设麻羊养殖规范化养殖场</w:t>
      </w:r>
      <w:r>
        <w:rPr>
          <w:rFonts w:ascii="Arial Narrow" w:hAnsi="Arial Narrow" w:cs="宋体" w:eastAsiaTheme="minorEastAsia"/>
          <w:kern w:val="0"/>
          <w:sz w:val="24"/>
        </w:rPr>
        <w:t>1</w:t>
      </w:r>
      <w:r>
        <w:rPr>
          <w:rFonts w:hint="eastAsia" w:ascii="Arial Narrow" w:hAnsi="Arial Narrow" w:cs="宋体" w:eastAsiaTheme="minorEastAsia"/>
          <w:kern w:val="0"/>
          <w:sz w:val="24"/>
        </w:rPr>
        <w:t>处，</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1</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新建麻羊养殖规范化管理用房</w:t>
      </w:r>
      <w:r>
        <w:rPr>
          <w:rFonts w:ascii="Arial Narrow" w:hAnsi="Arial Narrow" w:cs="宋体" w:eastAsiaTheme="minorEastAsia"/>
          <w:kern w:val="0"/>
          <w:sz w:val="24"/>
        </w:rPr>
        <w:t>4</w:t>
      </w:r>
      <w:r>
        <w:rPr>
          <w:rFonts w:hint="eastAsia" w:ascii="Arial Narrow" w:hAnsi="Arial Narrow" w:cs="宋体" w:eastAsiaTheme="minorEastAsia"/>
          <w:kern w:val="0"/>
          <w:sz w:val="24"/>
        </w:rPr>
        <w:t>间，共计</w:t>
      </w:r>
      <w:r>
        <w:rPr>
          <w:rFonts w:ascii="Arial Narrow" w:hAnsi="Arial Narrow" w:cs="宋体" w:eastAsiaTheme="minorEastAsia"/>
          <w:kern w:val="0"/>
          <w:sz w:val="24"/>
        </w:rPr>
        <w:t>200</w:t>
      </w:r>
      <w:r>
        <w:rPr>
          <w:rFonts w:hint="eastAsia" w:ascii="Arial Narrow" w:hAnsi="Arial Narrow" w:cs="宋体" w:eastAsiaTheme="minorEastAsia"/>
          <w:kern w:val="0"/>
          <w:sz w:val="24"/>
          <w:lang w:eastAsia="zh-CN"/>
        </w:rPr>
        <w:t>平方米（</w:t>
      </w:r>
      <w:r>
        <w:rPr>
          <w:rFonts w:hint="eastAsia" w:ascii="Arial Narrow" w:hAnsi="Arial Narrow" w:cs="宋体" w:eastAsiaTheme="minorEastAsia"/>
          <w:kern w:val="0"/>
          <w:sz w:val="24"/>
        </w:rPr>
        <w:t>含建筑工程部分、土石方工程部分、安装工程部分</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2</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新建麻羊养殖规范化圈舍</w:t>
      </w:r>
      <w:r>
        <w:rPr>
          <w:rFonts w:ascii="Arial Narrow" w:hAnsi="Arial Narrow" w:cs="宋体" w:eastAsiaTheme="minorEastAsia"/>
          <w:kern w:val="0"/>
          <w:sz w:val="24"/>
        </w:rPr>
        <w:t>30</w:t>
      </w:r>
      <w:r>
        <w:rPr>
          <w:rFonts w:hint="eastAsia" w:ascii="Arial Narrow" w:hAnsi="Arial Narrow" w:cs="宋体" w:eastAsiaTheme="minorEastAsia"/>
          <w:kern w:val="0"/>
          <w:sz w:val="24"/>
        </w:rPr>
        <w:t>间，共计</w:t>
      </w:r>
      <w:r>
        <w:rPr>
          <w:rFonts w:ascii="Arial Narrow" w:hAnsi="Arial Narrow" w:cs="宋体" w:eastAsiaTheme="minorEastAsia"/>
          <w:kern w:val="0"/>
          <w:sz w:val="24"/>
        </w:rPr>
        <w:t>700</w:t>
      </w:r>
      <w:r>
        <w:rPr>
          <w:rFonts w:hint="eastAsia" w:ascii="Arial Narrow" w:hAnsi="Arial Narrow" w:cs="宋体" w:eastAsiaTheme="minorEastAsia"/>
          <w:kern w:val="0"/>
          <w:sz w:val="24"/>
          <w:lang w:eastAsia="zh-CN"/>
        </w:rPr>
        <w:t>平方米（</w:t>
      </w:r>
      <w:r>
        <w:rPr>
          <w:rFonts w:hint="eastAsia" w:ascii="Arial Narrow" w:hAnsi="Arial Narrow" w:cs="宋体" w:eastAsiaTheme="minorEastAsia"/>
          <w:kern w:val="0"/>
          <w:sz w:val="24"/>
        </w:rPr>
        <w:t>含建筑工程部分、土石方工程部分、安装工程部分</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3</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新建麻羊养殖规范化活动场地</w:t>
      </w:r>
      <w:r>
        <w:rPr>
          <w:rFonts w:ascii="Arial Narrow" w:hAnsi="Arial Narrow" w:cs="宋体" w:eastAsiaTheme="minorEastAsia"/>
          <w:kern w:val="0"/>
          <w:sz w:val="24"/>
        </w:rPr>
        <w:t>5</w:t>
      </w:r>
      <w:r>
        <w:rPr>
          <w:rFonts w:hint="eastAsia" w:ascii="Arial Narrow" w:hAnsi="Arial Narrow" w:cs="宋体" w:eastAsiaTheme="minorEastAsia"/>
          <w:kern w:val="0"/>
          <w:sz w:val="24"/>
        </w:rPr>
        <w:t>处，共计</w:t>
      </w:r>
      <w:r>
        <w:rPr>
          <w:rFonts w:ascii="Arial Narrow" w:hAnsi="Arial Narrow" w:cs="宋体" w:eastAsiaTheme="minorEastAsia"/>
          <w:kern w:val="0"/>
          <w:sz w:val="24"/>
        </w:rPr>
        <w:t>240</w:t>
      </w:r>
      <w:r>
        <w:rPr>
          <w:rFonts w:hint="eastAsia" w:ascii="Arial Narrow" w:hAnsi="Arial Narrow" w:cs="宋体" w:eastAsiaTheme="minorEastAsia"/>
          <w:kern w:val="0"/>
          <w:sz w:val="24"/>
          <w:lang w:eastAsia="zh-CN"/>
        </w:rPr>
        <w:t>平方米（</w:t>
      </w:r>
      <w:r>
        <w:rPr>
          <w:rFonts w:hint="eastAsia" w:ascii="Arial Narrow" w:hAnsi="Arial Narrow" w:cs="宋体" w:eastAsiaTheme="minorEastAsia"/>
          <w:kern w:val="0"/>
          <w:sz w:val="24"/>
        </w:rPr>
        <w:t>含建筑工程部分、土石方工程部分、安装工程部分</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4</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新建麻羊养殖规范化牧草场</w:t>
      </w:r>
      <w:r>
        <w:rPr>
          <w:rFonts w:ascii="Arial Narrow" w:hAnsi="Arial Narrow" w:cs="宋体" w:eastAsiaTheme="minorEastAsia"/>
          <w:kern w:val="0"/>
          <w:sz w:val="24"/>
        </w:rPr>
        <w:t>1</w:t>
      </w:r>
      <w:r>
        <w:rPr>
          <w:rFonts w:hint="eastAsia" w:ascii="Arial Narrow" w:hAnsi="Arial Narrow" w:cs="宋体" w:eastAsiaTheme="minorEastAsia"/>
          <w:kern w:val="0"/>
          <w:sz w:val="24"/>
        </w:rPr>
        <w:t>处，共计</w:t>
      </w:r>
      <w:r>
        <w:rPr>
          <w:rFonts w:ascii="Arial Narrow" w:hAnsi="Arial Narrow" w:cs="宋体" w:eastAsiaTheme="minorEastAsia"/>
          <w:kern w:val="0"/>
          <w:sz w:val="24"/>
        </w:rPr>
        <w:t>30</w:t>
      </w:r>
      <w:r>
        <w:rPr>
          <w:rFonts w:hint="eastAsia" w:ascii="Arial Narrow" w:hAnsi="Arial Narrow" w:cs="宋体" w:eastAsiaTheme="minorEastAsia"/>
          <w:kern w:val="0"/>
          <w:sz w:val="24"/>
        </w:rPr>
        <w:t>亩</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含土地整治、便道建设等</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w:t>
      </w:r>
    </w:p>
    <w:p w14:paraId="5AF5B732">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项目资金安排情况：该项目</w:t>
      </w:r>
      <w:r>
        <w:rPr>
          <w:rFonts w:ascii="Arial Narrow" w:hAnsi="Arial Narrow" w:cs="宋体" w:eastAsiaTheme="minorEastAsia"/>
          <w:kern w:val="0"/>
          <w:sz w:val="24"/>
        </w:rPr>
        <w:t>2023</w:t>
      </w:r>
      <w:r>
        <w:rPr>
          <w:rFonts w:hint="eastAsia" w:ascii="Arial Narrow" w:hAnsi="Arial Narrow" w:cs="宋体" w:eastAsiaTheme="minorEastAsia"/>
          <w:kern w:val="0"/>
          <w:sz w:val="24"/>
        </w:rPr>
        <w:t>年计划投入</w:t>
      </w:r>
      <w:r>
        <w:rPr>
          <w:rFonts w:ascii="Arial Narrow" w:hAnsi="Arial Narrow" w:cs="宋体" w:eastAsiaTheme="minorEastAsia"/>
          <w:kern w:val="0"/>
          <w:sz w:val="24"/>
        </w:rPr>
        <w:t>100</w:t>
      </w:r>
      <w:r>
        <w:rPr>
          <w:rFonts w:hint="eastAsia" w:ascii="Arial Narrow" w:hAnsi="Arial Narrow" w:cs="宋体" w:eastAsiaTheme="minorEastAsia"/>
          <w:kern w:val="0"/>
          <w:sz w:val="24"/>
        </w:rPr>
        <w:t>万元，实际投入</w:t>
      </w:r>
      <w:r>
        <w:rPr>
          <w:rFonts w:ascii="Arial Narrow" w:hAnsi="Arial Narrow" w:cs="宋体" w:eastAsiaTheme="minorEastAsia"/>
          <w:kern w:val="0"/>
          <w:sz w:val="24"/>
        </w:rPr>
        <w:t>100</w:t>
      </w:r>
      <w:r>
        <w:rPr>
          <w:rFonts w:hint="eastAsia" w:ascii="Arial Narrow" w:hAnsi="Arial Narrow" w:cs="宋体" w:eastAsiaTheme="minorEastAsia"/>
          <w:kern w:val="0"/>
          <w:sz w:val="24"/>
        </w:rPr>
        <w:t>万元，全部为上级专项资金</w:t>
      </w:r>
      <w:r>
        <w:rPr>
          <w:rFonts w:ascii="Arial Narrow" w:hAnsi="Arial Narrow" w:cs="宋体" w:eastAsiaTheme="minorEastAsia"/>
          <w:kern w:val="0"/>
          <w:sz w:val="24"/>
        </w:rPr>
        <w:t>100</w:t>
      </w:r>
      <w:r>
        <w:rPr>
          <w:rFonts w:hint="eastAsia" w:ascii="Arial Narrow" w:hAnsi="Arial Narrow" w:cs="宋体" w:eastAsiaTheme="minorEastAsia"/>
          <w:kern w:val="0"/>
          <w:sz w:val="24"/>
        </w:rPr>
        <w:t>万元。</w:t>
      </w:r>
    </w:p>
    <w:p w14:paraId="2606AE3F">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2</w:t>
      </w:r>
      <w:r>
        <w:rPr>
          <w:rFonts w:hint="eastAsia" w:ascii="Arial Narrow" w:hAnsi="Arial Narrow" w:cs="宋体" w:eastAsiaTheme="minorEastAsia"/>
          <w:kern w:val="0"/>
          <w:sz w:val="24"/>
        </w:rPr>
        <w:t>.新堰村水肥一体化管网建设项目</w:t>
      </w:r>
    </w:p>
    <w:p w14:paraId="4D40CEA9">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实施单位：重庆市铜梁区维新镇新堰村</w:t>
      </w:r>
      <w:bookmarkStart w:id="5" w:name="_Hlk170726691"/>
      <w:r>
        <w:rPr>
          <w:rFonts w:hint="eastAsia" w:ascii="Arial Narrow" w:hAnsi="Arial Narrow" w:cs="宋体" w:eastAsiaTheme="minorEastAsia"/>
          <w:kern w:val="0"/>
          <w:sz w:val="24"/>
        </w:rPr>
        <w:t>股份经济合作联合社</w:t>
      </w:r>
      <w:bookmarkEnd w:id="5"/>
    </w:p>
    <w:p w14:paraId="3EB3B609">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项目内容：</w:t>
      </w:r>
      <w:r>
        <w:rPr>
          <w:rFonts w:ascii="Arial Narrow" w:hAnsi="Arial Narrow" w:cs="宋体" w:eastAsiaTheme="minorEastAsia"/>
          <w:kern w:val="0"/>
          <w:sz w:val="24"/>
        </w:rPr>
        <w:t>1</w:t>
      </w:r>
      <w:r>
        <w:rPr>
          <w:rFonts w:hint="eastAsia" w:ascii="Arial Narrow" w:hAnsi="Arial Narrow" w:cs="宋体" w:eastAsiaTheme="minorEastAsia"/>
          <w:kern w:val="0"/>
          <w:sz w:val="24"/>
        </w:rPr>
        <w:t>、泵房</w:t>
      </w:r>
      <w:r>
        <w:rPr>
          <w:rFonts w:ascii="Arial Narrow" w:hAnsi="Arial Narrow" w:cs="宋体" w:eastAsiaTheme="minorEastAsia"/>
          <w:kern w:val="0"/>
          <w:sz w:val="24"/>
        </w:rPr>
        <w:t>1</w:t>
      </w:r>
      <w:r>
        <w:rPr>
          <w:rFonts w:hint="eastAsia" w:ascii="Arial Narrow" w:hAnsi="Arial Narrow" w:cs="宋体" w:eastAsiaTheme="minorEastAsia"/>
          <w:kern w:val="0"/>
          <w:sz w:val="24"/>
        </w:rPr>
        <w:t>处</w:t>
      </w:r>
      <w:r>
        <w:rPr>
          <w:rFonts w:ascii="Arial Narrow" w:hAnsi="Arial Narrow" w:cs="宋体" w:eastAsiaTheme="minorEastAsia"/>
          <w:kern w:val="0"/>
          <w:sz w:val="24"/>
        </w:rPr>
        <w:t>14</w:t>
      </w:r>
      <w:r>
        <w:rPr>
          <w:rFonts w:hint="eastAsia" w:ascii="Arial Narrow" w:hAnsi="Arial Narrow" w:cs="宋体" w:eastAsiaTheme="minorEastAsia"/>
          <w:kern w:val="0"/>
          <w:sz w:val="24"/>
        </w:rPr>
        <w:t>平方</w:t>
      </w:r>
      <w:r>
        <w:rPr>
          <w:rFonts w:hint="eastAsia" w:ascii="Arial Narrow" w:hAnsi="Arial Narrow" w:cs="宋体" w:eastAsiaTheme="minorEastAsia"/>
          <w:kern w:val="0"/>
          <w:sz w:val="24"/>
          <w:lang w:eastAsia="zh-CN"/>
        </w:rPr>
        <w:t>米（</w:t>
      </w:r>
      <w:r>
        <w:rPr>
          <w:rFonts w:hint="eastAsia" w:ascii="Arial Narrow" w:hAnsi="Arial Narrow" w:cs="宋体" w:eastAsiaTheme="minorEastAsia"/>
          <w:kern w:val="0"/>
          <w:sz w:val="24"/>
        </w:rPr>
        <w:t>含砖、瓦、地基、门、窗</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20000</w:t>
      </w:r>
      <w:r>
        <w:rPr>
          <w:rFonts w:hint="eastAsia" w:ascii="Arial Narrow" w:hAnsi="Arial Narrow" w:cs="宋体" w:eastAsiaTheme="minorEastAsia"/>
          <w:kern w:val="0"/>
          <w:sz w:val="24"/>
        </w:rPr>
        <w:t>元；</w:t>
      </w:r>
      <w:r>
        <w:rPr>
          <w:rFonts w:ascii="Arial Narrow" w:hAnsi="Arial Narrow" w:cs="宋体" w:eastAsiaTheme="minorEastAsia"/>
          <w:kern w:val="0"/>
          <w:sz w:val="24"/>
        </w:rPr>
        <w:t>75</w:t>
      </w:r>
      <w:r>
        <w:rPr>
          <w:rFonts w:hint="eastAsia" w:ascii="Arial Narrow" w:hAnsi="Arial Narrow" w:cs="宋体" w:eastAsiaTheme="minorEastAsia"/>
          <w:kern w:val="0"/>
          <w:sz w:val="24"/>
        </w:rPr>
        <w:t>千瓦水泵</w:t>
      </w:r>
      <w:r>
        <w:rPr>
          <w:rFonts w:ascii="Arial Narrow" w:hAnsi="Arial Narrow" w:cs="宋体" w:eastAsiaTheme="minorEastAsia"/>
          <w:kern w:val="0"/>
          <w:sz w:val="24"/>
        </w:rPr>
        <w:t>1</w:t>
      </w:r>
      <w:r>
        <w:rPr>
          <w:rFonts w:hint="eastAsia" w:ascii="Arial Narrow" w:hAnsi="Arial Narrow" w:cs="宋体" w:eastAsiaTheme="minorEastAsia"/>
          <w:kern w:val="0"/>
          <w:sz w:val="24"/>
        </w:rPr>
        <w:t>台；</w:t>
      </w:r>
      <w:r>
        <w:rPr>
          <w:rFonts w:ascii="Arial Narrow" w:hAnsi="Arial Narrow" w:cs="宋体" w:eastAsiaTheme="minorEastAsia"/>
          <w:kern w:val="0"/>
          <w:sz w:val="24"/>
        </w:rPr>
        <w:t>40080</w:t>
      </w:r>
      <w:r>
        <w:rPr>
          <w:rFonts w:hint="eastAsia" w:ascii="Arial Narrow" w:hAnsi="Arial Narrow" w:cs="宋体" w:eastAsiaTheme="minorEastAsia"/>
          <w:kern w:val="0"/>
          <w:sz w:val="24"/>
        </w:rPr>
        <w:t>元，</w:t>
      </w:r>
      <w:r>
        <w:rPr>
          <w:rFonts w:ascii="Arial Narrow" w:hAnsi="Arial Narrow" w:cs="宋体" w:eastAsiaTheme="minorEastAsia"/>
          <w:kern w:val="0"/>
          <w:sz w:val="24"/>
        </w:rPr>
        <w:t>37</w:t>
      </w:r>
      <w:r>
        <w:rPr>
          <w:rFonts w:hint="eastAsia" w:ascii="Arial Narrow" w:hAnsi="Arial Narrow" w:cs="宋体" w:eastAsiaTheme="minorEastAsia"/>
          <w:kern w:val="0"/>
          <w:sz w:val="24"/>
        </w:rPr>
        <w:t>千瓦水泵</w:t>
      </w:r>
      <w:r>
        <w:rPr>
          <w:rFonts w:ascii="Arial Narrow" w:hAnsi="Arial Narrow" w:cs="宋体" w:eastAsiaTheme="minorEastAsia"/>
          <w:kern w:val="0"/>
          <w:sz w:val="24"/>
        </w:rPr>
        <w:t>1</w:t>
      </w:r>
      <w:r>
        <w:rPr>
          <w:rFonts w:hint="eastAsia" w:ascii="Arial Narrow" w:hAnsi="Arial Narrow" w:cs="宋体" w:eastAsiaTheme="minorEastAsia"/>
          <w:kern w:val="0"/>
          <w:sz w:val="24"/>
        </w:rPr>
        <w:t>台；</w:t>
      </w:r>
      <w:r>
        <w:rPr>
          <w:rFonts w:ascii="Arial Narrow" w:hAnsi="Arial Narrow" w:cs="宋体" w:eastAsiaTheme="minorEastAsia"/>
          <w:kern w:val="0"/>
          <w:sz w:val="24"/>
        </w:rPr>
        <w:t>25200</w:t>
      </w:r>
      <w:r>
        <w:rPr>
          <w:rFonts w:hint="eastAsia" w:ascii="Arial Narrow" w:hAnsi="Arial Narrow" w:cs="宋体" w:eastAsiaTheme="minorEastAsia"/>
          <w:kern w:val="0"/>
          <w:sz w:val="24"/>
        </w:rPr>
        <w:t>元，强电启动柜</w:t>
      </w:r>
      <w:r>
        <w:rPr>
          <w:rFonts w:ascii="Arial Narrow" w:hAnsi="Arial Narrow" w:cs="宋体" w:eastAsiaTheme="minorEastAsia"/>
          <w:kern w:val="0"/>
          <w:sz w:val="24"/>
        </w:rPr>
        <w:t>1</w:t>
      </w:r>
      <w:r>
        <w:rPr>
          <w:rFonts w:hint="eastAsia" w:ascii="Arial Narrow" w:hAnsi="Arial Narrow" w:cs="宋体" w:eastAsiaTheme="minorEastAsia"/>
          <w:kern w:val="0"/>
          <w:sz w:val="24"/>
        </w:rPr>
        <w:t>台</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含线</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25500</w:t>
      </w:r>
      <w:r>
        <w:rPr>
          <w:rFonts w:hint="eastAsia" w:ascii="Arial Narrow" w:hAnsi="Arial Narrow" w:cs="宋体" w:eastAsiaTheme="minorEastAsia"/>
          <w:kern w:val="0"/>
          <w:sz w:val="24"/>
        </w:rPr>
        <w:t>元，小计：</w:t>
      </w:r>
      <w:r>
        <w:rPr>
          <w:rFonts w:ascii="Arial Narrow" w:hAnsi="Arial Narrow" w:cs="宋体" w:eastAsiaTheme="minorEastAsia"/>
          <w:kern w:val="0"/>
          <w:sz w:val="24"/>
        </w:rPr>
        <w:t>110780</w:t>
      </w:r>
      <w:r>
        <w:rPr>
          <w:rFonts w:hint="eastAsia" w:ascii="Arial Narrow" w:hAnsi="Arial Narrow" w:cs="宋体" w:eastAsiaTheme="minorEastAsia"/>
          <w:kern w:val="0"/>
          <w:sz w:val="24"/>
        </w:rPr>
        <w:t>元。</w:t>
      </w:r>
      <w:r>
        <w:rPr>
          <w:rFonts w:ascii="Arial Narrow" w:hAnsi="Arial Narrow" w:cs="宋体" w:eastAsiaTheme="minorEastAsia"/>
          <w:kern w:val="0"/>
          <w:sz w:val="24"/>
        </w:rPr>
        <w:t>2</w:t>
      </w:r>
      <w:r>
        <w:rPr>
          <w:rFonts w:hint="eastAsia" w:ascii="Arial Narrow" w:hAnsi="Arial Narrow" w:cs="宋体" w:eastAsiaTheme="minorEastAsia"/>
          <w:kern w:val="0"/>
          <w:sz w:val="24"/>
        </w:rPr>
        <w:t>、输水管道：</w:t>
      </w:r>
      <w:r>
        <w:rPr>
          <w:rFonts w:ascii="Arial Narrow" w:hAnsi="Arial Narrow" w:cs="宋体" w:eastAsiaTheme="minorEastAsia"/>
          <w:kern w:val="0"/>
          <w:sz w:val="24"/>
        </w:rPr>
        <w:t>PE</w:t>
      </w:r>
      <w:r>
        <w:rPr>
          <w:rFonts w:hint="eastAsia" w:ascii="Arial Narrow" w:hAnsi="Arial Narrow" w:cs="宋体" w:eastAsiaTheme="minorEastAsia"/>
          <w:kern w:val="0"/>
          <w:sz w:val="24"/>
        </w:rPr>
        <w:t>管</w:t>
      </w:r>
      <w:r>
        <w:rPr>
          <w:rFonts w:ascii="Arial Narrow" w:hAnsi="Arial Narrow" w:cs="宋体" w:eastAsiaTheme="minorEastAsia"/>
          <w:kern w:val="0"/>
          <w:sz w:val="24"/>
        </w:rPr>
        <w:t>110</w:t>
      </w:r>
      <w:r>
        <w:rPr>
          <w:rFonts w:hint="eastAsia" w:ascii="Arial Narrow" w:hAnsi="Arial Narrow" w:cs="宋体" w:eastAsiaTheme="minorEastAsia"/>
          <w:kern w:val="0"/>
          <w:sz w:val="24"/>
        </w:rPr>
        <w:t>型管道</w:t>
      </w:r>
      <w:r>
        <w:rPr>
          <w:rFonts w:ascii="Arial Narrow" w:hAnsi="Arial Narrow" w:cs="宋体" w:eastAsiaTheme="minorEastAsia"/>
          <w:kern w:val="0"/>
          <w:sz w:val="24"/>
        </w:rPr>
        <w:t>10302</w:t>
      </w:r>
      <w:r>
        <w:rPr>
          <w:rFonts w:hint="eastAsia" w:ascii="Arial Narrow" w:hAnsi="Arial Narrow" w:cs="宋体" w:eastAsiaTheme="minorEastAsia"/>
          <w:kern w:val="0"/>
          <w:sz w:val="24"/>
        </w:rPr>
        <w:t>米；</w:t>
      </w:r>
      <w:r>
        <w:rPr>
          <w:rFonts w:ascii="Arial Narrow" w:hAnsi="Arial Narrow" w:cs="宋体" w:eastAsiaTheme="minorEastAsia"/>
          <w:kern w:val="0"/>
          <w:sz w:val="24"/>
        </w:rPr>
        <w:t>515100</w:t>
      </w:r>
      <w:r>
        <w:rPr>
          <w:rFonts w:hint="eastAsia" w:ascii="Arial Narrow" w:hAnsi="Arial Narrow" w:cs="宋体" w:eastAsiaTheme="minorEastAsia"/>
          <w:kern w:val="0"/>
          <w:sz w:val="24"/>
        </w:rPr>
        <w:t>元，</w:t>
      </w:r>
      <w:r>
        <w:rPr>
          <w:rFonts w:ascii="Arial Narrow" w:hAnsi="Arial Narrow" w:cs="宋体" w:eastAsiaTheme="minorEastAsia"/>
          <w:kern w:val="0"/>
          <w:sz w:val="24"/>
        </w:rPr>
        <w:t>PE110</w:t>
      </w:r>
      <w:r>
        <w:rPr>
          <w:rFonts w:hint="eastAsia" w:ascii="Arial Narrow" w:hAnsi="Arial Narrow" w:cs="宋体" w:eastAsiaTheme="minorEastAsia"/>
          <w:kern w:val="0"/>
          <w:sz w:val="24"/>
        </w:rPr>
        <w:t>三通变</w:t>
      </w:r>
      <w:r>
        <w:rPr>
          <w:rFonts w:ascii="Arial Narrow" w:hAnsi="Arial Narrow" w:cs="宋体" w:eastAsiaTheme="minorEastAsia"/>
          <w:kern w:val="0"/>
          <w:sz w:val="24"/>
        </w:rPr>
        <w:t>50</w:t>
      </w:r>
      <w:r>
        <w:rPr>
          <w:rFonts w:hint="eastAsia" w:ascii="Arial Narrow" w:hAnsi="Arial Narrow" w:cs="宋体" w:eastAsiaTheme="minorEastAsia"/>
          <w:kern w:val="0"/>
          <w:sz w:val="24"/>
        </w:rPr>
        <w:t>，</w:t>
      </w:r>
      <w:r>
        <w:rPr>
          <w:rFonts w:ascii="Arial Narrow" w:hAnsi="Arial Narrow" w:cs="宋体" w:eastAsiaTheme="minorEastAsia"/>
          <w:kern w:val="0"/>
          <w:sz w:val="24"/>
        </w:rPr>
        <w:t>800</w:t>
      </w:r>
      <w:r>
        <w:rPr>
          <w:rFonts w:hint="eastAsia" w:ascii="Arial Narrow" w:hAnsi="Arial Narrow" w:cs="宋体" w:eastAsiaTheme="minorEastAsia"/>
          <w:kern w:val="0"/>
          <w:sz w:val="24"/>
        </w:rPr>
        <w:t>个；</w:t>
      </w:r>
      <w:r>
        <w:rPr>
          <w:rFonts w:ascii="Arial Narrow" w:hAnsi="Arial Narrow" w:cs="宋体" w:eastAsiaTheme="minorEastAsia"/>
          <w:kern w:val="0"/>
          <w:sz w:val="24"/>
        </w:rPr>
        <w:t>44000</w:t>
      </w:r>
      <w:r>
        <w:rPr>
          <w:rFonts w:hint="eastAsia" w:ascii="Arial Narrow" w:hAnsi="Arial Narrow" w:cs="宋体" w:eastAsiaTheme="minorEastAsia"/>
          <w:kern w:val="0"/>
          <w:sz w:val="24"/>
        </w:rPr>
        <w:t>元，</w:t>
      </w:r>
      <w:r>
        <w:rPr>
          <w:rFonts w:ascii="Arial Narrow" w:hAnsi="Arial Narrow" w:cs="宋体" w:eastAsiaTheme="minorEastAsia"/>
          <w:kern w:val="0"/>
          <w:sz w:val="24"/>
        </w:rPr>
        <w:t>PE50</w:t>
      </w:r>
      <w:r>
        <w:rPr>
          <w:rFonts w:hint="eastAsia" w:ascii="Arial Narrow" w:hAnsi="Arial Narrow" w:cs="宋体" w:eastAsiaTheme="minorEastAsia"/>
          <w:kern w:val="0"/>
          <w:sz w:val="24"/>
        </w:rPr>
        <w:t>管道</w:t>
      </w:r>
      <w:r>
        <w:rPr>
          <w:rFonts w:ascii="Arial Narrow" w:hAnsi="Arial Narrow" w:cs="宋体" w:eastAsiaTheme="minorEastAsia"/>
          <w:kern w:val="0"/>
          <w:sz w:val="24"/>
        </w:rPr>
        <w:t>214</w:t>
      </w:r>
      <w:r>
        <w:rPr>
          <w:rFonts w:hint="eastAsia" w:ascii="Arial Narrow" w:hAnsi="Arial Narrow" w:cs="宋体" w:eastAsiaTheme="minorEastAsia"/>
          <w:kern w:val="0"/>
          <w:sz w:val="24"/>
        </w:rPr>
        <w:t>米；</w:t>
      </w:r>
      <w:r>
        <w:rPr>
          <w:rFonts w:ascii="Arial Narrow" w:hAnsi="Arial Narrow" w:cs="宋体" w:eastAsiaTheme="minorEastAsia"/>
          <w:kern w:val="0"/>
          <w:sz w:val="24"/>
        </w:rPr>
        <w:t>4280</w:t>
      </w:r>
      <w:r>
        <w:rPr>
          <w:rFonts w:hint="eastAsia" w:ascii="Arial Narrow" w:hAnsi="Arial Narrow" w:cs="宋体" w:eastAsiaTheme="minorEastAsia"/>
          <w:kern w:val="0"/>
          <w:sz w:val="24"/>
        </w:rPr>
        <w:t>元，</w:t>
      </w:r>
      <w:r>
        <w:rPr>
          <w:rFonts w:ascii="Arial Narrow" w:hAnsi="Arial Narrow" w:cs="宋体" w:eastAsiaTheme="minorEastAsia"/>
          <w:kern w:val="0"/>
          <w:sz w:val="24"/>
        </w:rPr>
        <w:t>PE110</w:t>
      </w:r>
      <w:r>
        <w:rPr>
          <w:rFonts w:hint="eastAsia" w:ascii="Arial Narrow" w:hAnsi="Arial Narrow" w:cs="宋体" w:eastAsiaTheme="minorEastAsia"/>
          <w:kern w:val="0"/>
          <w:sz w:val="24"/>
        </w:rPr>
        <w:t>三通</w:t>
      </w:r>
      <w:r>
        <w:rPr>
          <w:rFonts w:ascii="Arial Narrow" w:hAnsi="Arial Narrow" w:cs="宋体" w:eastAsiaTheme="minorEastAsia"/>
          <w:kern w:val="0"/>
          <w:sz w:val="24"/>
        </w:rPr>
        <w:t>10</w:t>
      </w:r>
      <w:r>
        <w:rPr>
          <w:rFonts w:hint="eastAsia" w:ascii="Arial Narrow" w:hAnsi="Arial Narrow" w:cs="宋体" w:eastAsiaTheme="minorEastAsia"/>
          <w:kern w:val="0"/>
          <w:sz w:val="24"/>
        </w:rPr>
        <w:t>个；</w:t>
      </w:r>
      <w:r>
        <w:rPr>
          <w:rFonts w:ascii="Arial Narrow" w:hAnsi="Arial Narrow" w:cs="宋体" w:eastAsiaTheme="minorEastAsia"/>
          <w:kern w:val="0"/>
          <w:sz w:val="24"/>
        </w:rPr>
        <w:t>650</w:t>
      </w:r>
      <w:r>
        <w:rPr>
          <w:rFonts w:hint="eastAsia" w:ascii="Arial Narrow" w:hAnsi="Arial Narrow" w:cs="宋体" w:eastAsiaTheme="minorEastAsia"/>
          <w:kern w:val="0"/>
          <w:sz w:val="24"/>
        </w:rPr>
        <w:t>元，</w:t>
      </w:r>
      <w:r>
        <w:rPr>
          <w:rFonts w:ascii="Arial Narrow" w:hAnsi="Arial Narrow" w:cs="宋体" w:eastAsiaTheme="minorEastAsia"/>
          <w:kern w:val="0"/>
          <w:sz w:val="24"/>
        </w:rPr>
        <w:t>50</w:t>
      </w:r>
      <w:r>
        <w:rPr>
          <w:rFonts w:hint="eastAsia" w:ascii="Arial Narrow" w:hAnsi="Arial Narrow" w:cs="宋体" w:eastAsiaTheme="minorEastAsia"/>
          <w:kern w:val="0"/>
          <w:sz w:val="24"/>
        </w:rPr>
        <w:t>型球阀</w:t>
      </w:r>
      <w:r>
        <w:rPr>
          <w:rFonts w:ascii="Arial Narrow" w:hAnsi="Arial Narrow" w:cs="宋体" w:eastAsiaTheme="minorEastAsia"/>
          <w:kern w:val="0"/>
          <w:sz w:val="24"/>
        </w:rPr>
        <w:t>800</w:t>
      </w:r>
      <w:r>
        <w:rPr>
          <w:rFonts w:hint="eastAsia" w:ascii="Arial Narrow" w:hAnsi="Arial Narrow" w:cs="宋体" w:eastAsiaTheme="minorEastAsia"/>
          <w:kern w:val="0"/>
          <w:sz w:val="24"/>
        </w:rPr>
        <w:t>个；</w:t>
      </w:r>
      <w:r>
        <w:rPr>
          <w:rFonts w:ascii="Arial Narrow" w:hAnsi="Arial Narrow" w:cs="宋体" w:eastAsiaTheme="minorEastAsia"/>
          <w:kern w:val="0"/>
          <w:sz w:val="24"/>
        </w:rPr>
        <w:t>33600</w:t>
      </w:r>
      <w:r>
        <w:rPr>
          <w:rFonts w:hint="eastAsia" w:ascii="Arial Narrow" w:hAnsi="Arial Narrow" w:cs="宋体" w:eastAsiaTheme="minorEastAsia"/>
          <w:kern w:val="0"/>
          <w:sz w:val="24"/>
        </w:rPr>
        <w:t>元，</w:t>
      </w:r>
      <w:r>
        <w:rPr>
          <w:rFonts w:ascii="Arial Narrow" w:hAnsi="Arial Narrow" w:cs="宋体" w:eastAsiaTheme="minorEastAsia"/>
          <w:kern w:val="0"/>
          <w:sz w:val="24"/>
        </w:rPr>
        <w:t>DN100</w:t>
      </w:r>
      <w:r>
        <w:rPr>
          <w:rFonts w:hint="eastAsia" w:ascii="Arial Narrow" w:hAnsi="Arial Narrow" w:cs="宋体" w:eastAsiaTheme="minorEastAsia"/>
          <w:kern w:val="0"/>
          <w:sz w:val="24"/>
        </w:rPr>
        <w:t>闸阀</w:t>
      </w:r>
      <w:r>
        <w:rPr>
          <w:rFonts w:ascii="Arial Narrow" w:hAnsi="Arial Narrow" w:cs="宋体" w:eastAsiaTheme="minorEastAsia"/>
          <w:kern w:val="0"/>
          <w:sz w:val="24"/>
        </w:rPr>
        <w:t>10</w:t>
      </w:r>
      <w:r>
        <w:rPr>
          <w:rFonts w:hint="eastAsia" w:ascii="Arial Narrow" w:hAnsi="Arial Narrow" w:cs="宋体" w:eastAsiaTheme="minorEastAsia"/>
          <w:kern w:val="0"/>
          <w:sz w:val="24"/>
        </w:rPr>
        <w:t>个；</w:t>
      </w:r>
      <w:r>
        <w:rPr>
          <w:rFonts w:ascii="Arial Narrow" w:hAnsi="Arial Narrow" w:cs="宋体" w:eastAsiaTheme="minorEastAsia"/>
          <w:kern w:val="0"/>
          <w:sz w:val="24"/>
        </w:rPr>
        <w:t>7200</w:t>
      </w:r>
      <w:r>
        <w:rPr>
          <w:rFonts w:hint="eastAsia" w:ascii="Arial Narrow" w:hAnsi="Arial Narrow" w:cs="宋体" w:eastAsiaTheme="minorEastAsia"/>
          <w:kern w:val="0"/>
          <w:sz w:val="24"/>
        </w:rPr>
        <w:t>元，</w:t>
      </w:r>
      <w:r>
        <w:rPr>
          <w:rFonts w:ascii="Arial Narrow" w:hAnsi="Arial Narrow" w:cs="宋体" w:eastAsiaTheme="minorEastAsia"/>
          <w:kern w:val="0"/>
          <w:sz w:val="24"/>
        </w:rPr>
        <w:t>50</w:t>
      </w:r>
      <w:r>
        <w:rPr>
          <w:rFonts w:hint="eastAsia" w:ascii="Arial Narrow" w:hAnsi="Arial Narrow" w:cs="宋体" w:eastAsiaTheme="minorEastAsia"/>
          <w:kern w:val="0"/>
          <w:sz w:val="24"/>
        </w:rPr>
        <w:t>编织浇灌水带</w:t>
      </w:r>
      <w:r>
        <w:rPr>
          <w:rFonts w:ascii="Arial Narrow" w:hAnsi="Arial Narrow" w:cs="宋体" w:eastAsiaTheme="minorEastAsia"/>
          <w:kern w:val="0"/>
          <w:sz w:val="24"/>
        </w:rPr>
        <w:t>3200</w:t>
      </w:r>
      <w:r>
        <w:rPr>
          <w:rFonts w:hint="eastAsia" w:ascii="Arial Narrow" w:hAnsi="Arial Narrow" w:cs="宋体" w:eastAsiaTheme="minorEastAsia"/>
          <w:kern w:val="0"/>
          <w:sz w:val="24"/>
        </w:rPr>
        <w:t>米；</w:t>
      </w:r>
      <w:r>
        <w:rPr>
          <w:rFonts w:ascii="Arial Narrow" w:hAnsi="Arial Narrow" w:cs="宋体" w:eastAsiaTheme="minorEastAsia"/>
          <w:kern w:val="0"/>
          <w:sz w:val="24"/>
        </w:rPr>
        <w:t>38400</w:t>
      </w:r>
      <w:r>
        <w:rPr>
          <w:rFonts w:hint="eastAsia" w:ascii="Arial Narrow" w:hAnsi="Arial Narrow" w:cs="宋体" w:eastAsiaTheme="minorEastAsia"/>
          <w:kern w:val="0"/>
          <w:sz w:val="24"/>
        </w:rPr>
        <w:t>元，小计：</w:t>
      </w:r>
      <w:r>
        <w:rPr>
          <w:rFonts w:ascii="Arial Narrow" w:hAnsi="Arial Narrow" w:cs="宋体" w:eastAsiaTheme="minorEastAsia"/>
          <w:kern w:val="0"/>
          <w:sz w:val="24"/>
        </w:rPr>
        <w:t>643230</w:t>
      </w:r>
      <w:r>
        <w:rPr>
          <w:rFonts w:hint="eastAsia" w:ascii="Arial Narrow" w:hAnsi="Arial Narrow" w:cs="宋体" w:eastAsiaTheme="minorEastAsia"/>
          <w:kern w:val="0"/>
          <w:sz w:val="24"/>
        </w:rPr>
        <w:t>元。</w:t>
      </w:r>
      <w:r>
        <w:rPr>
          <w:rFonts w:ascii="Arial Narrow" w:hAnsi="Arial Narrow" w:cs="宋体" w:eastAsiaTheme="minorEastAsia"/>
          <w:kern w:val="0"/>
          <w:sz w:val="24"/>
        </w:rPr>
        <w:t>3</w:t>
      </w:r>
      <w:r>
        <w:rPr>
          <w:rFonts w:hint="eastAsia" w:ascii="Arial Narrow" w:hAnsi="Arial Narrow" w:cs="宋体" w:eastAsiaTheme="minorEastAsia"/>
          <w:kern w:val="0"/>
          <w:sz w:val="24"/>
        </w:rPr>
        <w:t>、监控系统：监控</w:t>
      </w:r>
      <w:r>
        <w:rPr>
          <w:rFonts w:ascii="Arial Narrow" w:hAnsi="Arial Narrow" w:cs="宋体" w:eastAsiaTheme="minorEastAsia"/>
          <w:kern w:val="0"/>
          <w:sz w:val="24"/>
        </w:rPr>
        <w:t>16*3000</w:t>
      </w:r>
      <w:r>
        <w:rPr>
          <w:rFonts w:hint="eastAsia" w:ascii="Arial Narrow" w:hAnsi="Arial Narrow" w:cs="宋体" w:eastAsiaTheme="minorEastAsia"/>
          <w:kern w:val="0"/>
          <w:sz w:val="24"/>
        </w:rPr>
        <w:t>元</w:t>
      </w:r>
      <w:r>
        <w:rPr>
          <w:rFonts w:ascii="Arial Narrow" w:hAnsi="Arial Narrow" w:cs="宋体" w:eastAsiaTheme="minorEastAsia"/>
          <w:kern w:val="0"/>
          <w:sz w:val="24"/>
        </w:rPr>
        <w:t>/</w:t>
      </w:r>
      <w:r>
        <w:rPr>
          <w:rFonts w:hint="eastAsia" w:ascii="Arial Narrow" w:hAnsi="Arial Narrow" w:cs="宋体" w:eastAsiaTheme="minorEastAsia"/>
          <w:kern w:val="0"/>
          <w:sz w:val="24"/>
        </w:rPr>
        <w:t>套</w:t>
      </w:r>
      <w:r>
        <w:rPr>
          <w:rFonts w:ascii="Arial Narrow" w:hAnsi="Arial Narrow" w:cs="宋体" w:eastAsiaTheme="minorEastAsia"/>
          <w:kern w:val="0"/>
          <w:sz w:val="24"/>
        </w:rPr>
        <w:t>=48000</w:t>
      </w:r>
      <w:r>
        <w:rPr>
          <w:rFonts w:hint="eastAsia" w:ascii="Arial Narrow" w:hAnsi="Arial Narrow" w:cs="宋体" w:eastAsiaTheme="minorEastAsia"/>
          <w:kern w:val="0"/>
          <w:sz w:val="24"/>
        </w:rPr>
        <w:t>元；小计：</w:t>
      </w:r>
      <w:r>
        <w:rPr>
          <w:rFonts w:ascii="Arial Narrow" w:hAnsi="Arial Narrow" w:cs="宋体" w:eastAsiaTheme="minorEastAsia"/>
          <w:kern w:val="0"/>
          <w:sz w:val="24"/>
        </w:rPr>
        <w:t>48000</w:t>
      </w:r>
      <w:r>
        <w:rPr>
          <w:rFonts w:hint="eastAsia" w:ascii="Arial Narrow" w:hAnsi="Arial Narrow" w:cs="宋体" w:eastAsiaTheme="minorEastAsia"/>
          <w:kern w:val="0"/>
          <w:sz w:val="24"/>
        </w:rPr>
        <w:t>元。合计</w:t>
      </w:r>
      <w:r>
        <w:rPr>
          <w:rFonts w:ascii="Arial Narrow" w:hAnsi="Arial Narrow" w:cs="宋体" w:eastAsiaTheme="minorEastAsia"/>
          <w:kern w:val="0"/>
          <w:sz w:val="24"/>
        </w:rPr>
        <w:t>802010</w:t>
      </w:r>
      <w:r>
        <w:rPr>
          <w:rFonts w:hint="eastAsia" w:ascii="Arial Narrow" w:hAnsi="Arial Narrow" w:cs="宋体" w:eastAsiaTheme="minorEastAsia"/>
          <w:kern w:val="0"/>
          <w:sz w:val="24"/>
        </w:rPr>
        <w:t>元。</w:t>
      </w:r>
    </w:p>
    <w:p w14:paraId="76A36118">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项目资金安排情况：该项目</w:t>
      </w:r>
      <w:r>
        <w:rPr>
          <w:rFonts w:ascii="Arial Narrow" w:hAnsi="Arial Narrow" w:cs="宋体" w:eastAsiaTheme="minorEastAsia"/>
          <w:kern w:val="0"/>
          <w:sz w:val="24"/>
        </w:rPr>
        <w:t>2023</w:t>
      </w:r>
      <w:r>
        <w:rPr>
          <w:rFonts w:hint="eastAsia" w:ascii="Arial Narrow" w:hAnsi="Arial Narrow" w:cs="宋体" w:eastAsiaTheme="minorEastAsia"/>
          <w:kern w:val="0"/>
          <w:sz w:val="24"/>
        </w:rPr>
        <w:t>年计划投入</w:t>
      </w:r>
      <w:r>
        <w:rPr>
          <w:rFonts w:ascii="Arial Narrow" w:hAnsi="Arial Narrow" w:cs="宋体" w:eastAsiaTheme="minorEastAsia"/>
          <w:kern w:val="0"/>
          <w:sz w:val="24"/>
        </w:rPr>
        <w:t>70</w:t>
      </w:r>
      <w:r>
        <w:rPr>
          <w:rFonts w:hint="eastAsia" w:ascii="Arial Narrow" w:hAnsi="Arial Narrow" w:cs="宋体" w:eastAsiaTheme="minorEastAsia"/>
          <w:kern w:val="0"/>
          <w:sz w:val="24"/>
        </w:rPr>
        <w:t>万元，实际投入</w:t>
      </w:r>
      <w:r>
        <w:rPr>
          <w:rFonts w:ascii="Arial Narrow" w:hAnsi="Arial Narrow" w:cs="宋体" w:eastAsiaTheme="minorEastAsia"/>
          <w:kern w:val="0"/>
          <w:sz w:val="24"/>
        </w:rPr>
        <w:t>70</w:t>
      </w:r>
      <w:r>
        <w:rPr>
          <w:rFonts w:hint="eastAsia" w:ascii="Arial Narrow" w:hAnsi="Arial Narrow" w:cs="宋体" w:eastAsiaTheme="minorEastAsia"/>
          <w:kern w:val="0"/>
          <w:sz w:val="24"/>
        </w:rPr>
        <w:t>万元，全部为上级专项资金</w:t>
      </w:r>
      <w:r>
        <w:rPr>
          <w:rFonts w:ascii="Arial Narrow" w:hAnsi="Arial Narrow" w:cs="宋体" w:eastAsiaTheme="minorEastAsia"/>
          <w:kern w:val="0"/>
          <w:sz w:val="24"/>
        </w:rPr>
        <w:t>70</w:t>
      </w:r>
      <w:r>
        <w:rPr>
          <w:rFonts w:hint="eastAsia" w:ascii="Arial Narrow" w:hAnsi="Arial Narrow" w:cs="宋体" w:eastAsiaTheme="minorEastAsia"/>
          <w:kern w:val="0"/>
          <w:sz w:val="24"/>
        </w:rPr>
        <w:t>万元。</w:t>
      </w:r>
    </w:p>
    <w:p w14:paraId="64386921">
      <w:pPr>
        <w:spacing w:line="360" w:lineRule="auto"/>
        <w:ind w:firstLine="480" w:firstLineChars="200"/>
        <w:rPr>
          <w:rFonts w:ascii="Arial Narrow" w:hAnsi="Arial Narrow" w:cs="宋体" w:eastAsiaTheme="minorEastAsia"/>
          <w:kern w:val="0"/>
          <w:sz w:val="24"/>
        </w:rPr>
      </w:pPr>
      <w:r>
        <w:rPr>
          <w:rFonts w:ascii="Arial Narrow" w:hAnsi="Arial Narrow" w:cs="宋体" w:eastAsiaTheme="minorEastAsia"/>
          <w:kern w:val="0"/>
          <w:sz w:val="24"/>
        </w:rPr>
        <w:t>3</w:t>
      </w:r>
      <w:r>
        <w:rPr>
          <w:rFonts w:hint="eastAsia" w:ascii="Arial Narrow" w:hAnsi="Arial Narrow" w:cs="宋体" w:eastAsiaTheme="minorEastAsia"/>
          <w:kern w:val="0"/>
          <w:sz w:val="24"/>
        </w:rPr>
        <w:t>.杨柳村</w:t>
      </w:r>
      <w:r>
        <w:rPr>
          <w:rFonts w:ascii="Arial Narrow" w:hAnsi="Arial Narrow" w:cs="宋体" w:eastAsiaTheme="minorEastAsia"/>
          <w:kern w:val="0"/>
          <w:sz w:val="24"/>
        </w:rPr>
        <w:t>2023</w:t>
      </w:r>
      <w:r>
        <w:rPr>
          <w:rFonts w:hint="eastAsia" w:ascii="Arial Narrow" w:hAnsi="Arial Narrow" w:cs="宋体" w:eastAsiaTheme="minorEastAsia"/>
          <w:kern w:val="0"/>
          <w:sz w:val="24"/>
        </w:rPr>
        <w:t>年乡村振兴产业发展项目</w:t>
      </w:r>
    </w:p>
    <w:p w14:paraId="4C9B654A">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实施单位：重庆市铜梁区维新镇杨柳村股份经济合作联合社</w:t>
      </w:r>
    </w:p>
    <w:p w14:paraId="61EA0B95">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项目内容：</w:t>
      </w:r>
      <w:r>
        <w:rPr>
          <w:rFonts w:ascii="Arial Narrow" w:hAnsi="Arial Narrow" w:cs="宋体" w:eastAsiaTheme="minorEastAsia"/>
          <w:kern w:val="0"/>
          <w:sz w:val="24"/>
        </w:rPr>
        <w:t>1.</w:t>
      </w:r>
      <w:r>
        <w:rPr>
          <w:rFonts w:hint="eastAsia" w:ascii="Arial Narrow" w:hAnsi="Arial Narrow" w:cs="宋体" w:eastAsiaTheme="minorEastAsia"/>
          <w:kern w:val="0"/>
          <w:sz w:val="24"/>
        </w:rPr>
        <w:t>新建并硬化产业路</w:t>
      </w:r>
      <w:r>
        <w:rPr>
          <w:rFonts w:ascii="Arial Narrow" w:hAnsi="Arial Narrow" w:cs="宋体" w:eastAsiaTheme="minorEastAsia"/>
          <w:kern w:val="0"/>
          <w:sz w:val="24"/>
        </w:rPr>
        <w:t>270</w:t>
      </w:r>
      <w:r>
        <w:rPr>
          <w:rFonts w:hint="eastAsia" w:ascii="Arial Narrow" w:hAnsi="Arial Narrow" w:cs="宋体" w:eastAsiaTheme="minorEastAsia"/>
          <w:kern w:val="0"/>
          <w:sz w:val="24"/>
        </w:rPr>
        <w:t>米、生产道路</w:t>
      </w:r>
      <w:r>
        <w:rPr>
          <w:rFonts w:ascii="Arial Narrow" w:hAnsi="Arial Narrow" w:cs="宋体" w:eastAsiaTheme="minorEastAsia"/>
          <w:kern w:val="0"/>
          <w:sz w:val="24"/>
        </w:rPr>
        <w:t>80</w:t>
      </w:r>
      <w:r>
        <w:rPr>
          <w:rFonts w:hint="eastAsia" w:ascii="Arial Narrow" w:hAnsi="Arial Narrow" w:cs="宋体" w:eastAsiaTheme="minorEastAsia"/>
          <w:kern w:val="0"/>
          <w:sz w:val="24"/>
        </w:rPr>
        <w:t>米、铺设喷灌管网</w:t>
      </w:r>
      <w:r>
        <w:rPr>
          <w:rFonts w:ascii="Arial Narrow" w:hAnsi="Arial Narrow" w:cs="宋体" w:eastAsiaTheme="minorEastAsia"/>
          <w:kern w:val="0"/>
          <w:sz w:val="24"/>
        </w:rPr>
        <w:t>1150</w:t>
      </w:r>
      <w:r>
        <w:rPr>
          <w:rFonts w:hint="eastAsia" w:ascii="Arial Narrow" w:hAnsi="Arial Narrow" w:cs="宋体" w:eastAsiaTheme="minorEastAsia"/>
          <w:kern w:val="0"/>
          <w:sz w:val="24"/>
        </w:rPr>
        <w:t>米，山坪塘整治</w:t>
      </w:r>
      <w:r>
        <w:rPr>
          <w:rFonts w:ascii="Arial Narrow" w:hAnsi="Arial Narrow" w:cs="宋体" w:eastAsiaTheme="minorEastAsia"/>
          <w:kern w:val="0"/>
          <w:sz w:val="24"/>
        </w:rPr>
        <w:t>305.615</w:t>
      </w:r>
      <w:r>
        <w:rPr>
          <w:rFonts w:hint="eastAsia" w:ascii="Arial Narrow" w:hAnsi="Arial Narrow" w:cs="宋体" w:eastAsiaTheme="minorEastAsia"/>
          <w:kern w:val="0"/>
          <w:sz w:val="24"/>
        </w:rPr>
        <w:t>平方米。</w:t>
      </w:r>
      <w:r>
        <w:rPr>
          <w:rFonts w:ascii="Arial Narrow" w:hAnsi="Arial Narrow" w:cs="宋体" w:eastAsiaTheme="minorEastAsia"/>
          <w:kern w:val="0"/>
          <w:sz w:val="24"/>
        </w:rPr>
        <w:t>2.</w:t>
      </w:r>
      <w:r>
        <w:rPr>
          <w:rFonts w:hint="eastAsia" w:ascii="Arial Narrow" w:hAnsi="Arial Narrow" w:cs="宋体" w:eastAsiaTheme="minorEastAsia"/>
          <w:kern w:val="0"/>
          <w:sz w:val="24"/>
        </w:rPr>
        <w:t>黄精施肥及管护</w:t>
      </w:r>
      <w:r>
        <w:rPr>
          <w:rFonts w:ascii="Arial Narrow" w:hAnsi="Arial Narrow" w:cs="宋体" w:eastAsiaTheme="minorEastAsia"/>
          <w:kern w:val="0"/>
          <w:sz w:val="24"/>
        </w:rPr>
        <w:t>30</w:t>
      </w:r>
      <w:r>
        <w:rPr>
          <w:rFonts w:hint="eastAsia" w:ascii="Arial Narrow" w:hAnsi="Arial Narrow" w:cs="宋体" w:eastAsiaTheme="minorEastAsia"/>
          <w:kern w:val="0"/>
          <w:sz w:val="24"/>
        </w:rPr>
        <w:t>亩。</w:t>
      </w:r>
      <w:r>
        <w:rPr>
          <w:rFonts w:ascii="Arial Narrow" w:hAnsi="Arial Narrow" w:cs="宋体" w:eastAsiaTheme="minorEastAsia"/>
          <w:kern w:val="0"/>
          <w:sz w:val="24"/>
        </w:rPr>
        <w:t>3.</w:t>
      </w:r>
      <w:r>
        <w:rPr>
          <w:rFonts w:hint="eastAsia" w:ascii="Arial Narrow" w:hAnsi="Arial Narrow" w:cs="宋体" w:eastAsiaTheme="minorEastAsia"/>
          <w:kern w:val="0"/>
          <w:sz w:val="24"/>
        </w:rPr>
        <w:t>联通新基建光网建设：新建光缆</w:t>
      </w:r>
      <w:r>
        <w:rPr>
          <w:rFonts w:ascii="Arial Narrow" w:hAnsi="Arial Narrow" w:cs="宋体" w:eastAsiaTheme="minorEastAsia"/>
          <w:kern w:val="0"/>
          <w:sz w:val="24"/>
        </w:rPr>
        <w:t>18.5</w:t>
      </w:r>
      <w:r>
        <w:rPr>
          <w:rFonts w:hint="eastAsia" w:ascii="Arial Narrow" w:hAnsi="Arial Narrow" w:cs="宋体" w:eastAsiaTheme="minorEastAsia"/>
          <w:kern w:val="0"/>
          <w:sz w:val="24"/>
        </w:rPr>
        <w:t>千米，二级分光箱</w:t>
      </w:r>
      <w:r>
        <w:rPr>
          <w:rFonts w:hint="eastAsia" w:ascii="Arial Narrow" w:hAnsi="Arial Narrow" w:cs="宋体" w:eastAsiaTheme="minorEastAsia"/>
          <w:kern w:val="0"/>
          <w:sz w:val="24"/>
          <w:lang w:eastAsia="zh-CN"/>
        </w:rPr>
        <w:t>（</w:t>
      </w:r>
      <w:r>
        <w:rPr>
          <w:rFonts w:hint="eastAsia" w:ascii="Arial Narrow" w:hAnsi="Arial Narrow" w:cs="宋体" w:eastAsiaTheme="minorEastAsia"/>
          <w:kern w:val="0"/>
          <w:sz w:val="24"/>
        </w:rPr>
        <w:t>插片式光缆分纤箱室外</w:t>
      </w:r>
      <w:r>
        <w:rPr>
          <w:rFonts w:ascii="Arial Narrow" w:hAnsi="Arial Narrow" w:cs="宋体" w:eastAsiaTheme="minorEastAsia"/>
          <w:kern w:val="0"/>
          <w:sz w:val="24"/>
        </w:rPr>
        <w:t>2</w:t>
      </w:r>
      <w:r>
        <w:rPr>
          <w:rFonts w:hint="eastAsia" w:ascii="Arial Narrow" w:hAnsi="Arial Narrow" w:cs="宋体" w:eastAsiaTheme="minorEastAsia"/>
          <w:kern w:val="0"/>
          <w:sz w:val="24"/>
        </w:rPr>
        <w:t>槽</w:t>
      </w:r>
      <w:r>
        <w:rPr>
          <w:rFonts w:hint="eastAsia" w:ascii="Arial Narrow" w:hAnsi="Arial Narrow" w:cs="宋体" w:eastAsiaTheme="minorEastAsia"/>
          <w:kern w:val="0"/>
          <w:sz w:val="24"/>
          <w:lang w:eastAsia="zh-CN"/>
        </w:rPr>
        <w:t>）</w:t>
      </w:r>
      <w:r>
        <w:rPr>
          <w:rFonts w:ascii="Arial Narrow" w:hAnsi="Arial Narrow" w:cs="宋体" w:eastAsiaTheme="minorEastAsia"/>
          <w:kern w:val="0"/>
          <w:sz w:val="24"/>
        </w:rPr>
        <w:t>51</w:t>
      </w:r>
      <w:r>
        <w:rPr>
          <w:rFonts w:hint="eastAsia" w:ascii="Arial Narrow" w:hAnsi="Arial Narrow" w:cs="宋体" w:eastAsiaTheme="minorEastAsia"/>
          <w:kern w:val="0"/>
          <w:sz w:val="24"/>
        </w:rPr>
        <w:t>个。</w:t>
      </w:r>
    </w:p>
    <w:p w14:paraId="7CAA1515">
      <w:pPr>
        <w:spacing w:line="360" w:lineRule="auto"/>
        <w:ind w:firstLine="480" w:firstLineChars="200"/>
        <w:rPr>
          <w:rFonts w:ascii="Arial Narrow" w:hAnsi="Arial Narrow" w:cs="宋体" w:eastAsiaTheme="minorEastAsia"/>
          <w:kern w:val="0"/>
          <w:sz w:val="24"/>
        </w:rPr>
      </w:pPr>
      <w:r>
        <w:rPr>
          <w:rFonts w:hint="eastAsia" w:ascii="Arial Narrow" w:hAnsi="Arial Narrow" w:cs="宋体" w:eastAsiaTheme="minorEastAsia"/>
          <w:kern w:val="0"/>
          <w:sz w:val="24"/>
        </w:rPr>
        <w:t>项目资金安排情况：该项目</w:t>
      </w:r>
      <w:r>
        <w:rPr>
          <w:rFonts w:ascii="Arial Narrow" w:hAnsi="Arial Narrow" w:cs="宋体" w:eastAsiaTheme="minorEastAsia"/>
          <w:kern w:val="0"/>
          <w:sz w:val="24"/>
        </w:rPr>
        <w:t>2023</w:t>
      </w:r>
      <w:r>
        <w:rPr>
          <w:rFonts w:hint="eastAsia" w:ascii="Arial Narrow" w:hAnsi="Arial Narrow" w:cs="宋体" w:eastAsiaTheme="minorEastAsia"/>
          <w:kern w:val="0"/>
          <w:sz w:val="24"/>
        </w:rPr>
        <w:t>年计划投</w:t>
      </w:r>
      <w:r>
        <w:rPr>
          <w:rFonts w:hint="eastAsia" w:ascii="Arial Narrow" w:hAnsi="Arial Narrow" w:cs="宋体" w:eastAsiaTheme="minorEastAsia"/>
          <w:kern w:val="0"/>
          <w:sz w:val="24"/>
          <w:lang w:eastAsia="zh-CN"/>
        </w:rPr>
        <w:t>入</w:t>
      </w:r>
      <w:r>
        <w:rPr>
          <w:rFonts w:ascii="Arial Narrow" w:hAnsi="Arial Narrow" w:cs="宋体" w:eastAsiaTheme="minorEastAsia"/>
          <w:kern w:val="0"/>
          <w:sz w:val="24"/>
        </w:rPr>
        <w:t>30</w:t>
      </w:r>
      <w:r>
        <w:rPr>
          <w:rFonts w:hint="eastAsia" w:ascii="Arial Narrow" w:hAnsi="Arial Narrow" w:cs="宋体" w:eastAsiaTheme="minorEastAsia"/>
          <w:kern w:val="0"/>
          <w:sz w:val="24"/>
        </w:rPr>
        <w:t>万元，实际投入</w:t>
      </w:r>
      <w:r>
        <w:rPr>
          <w:rFonts w:ascii="Arial Narrow" w:hAnsi="Arial Narrow" w:cs="宋体" w:eastAsiaTheme="minorEastAsia"/>
          <w:kern w:val="0"/>
          <w:sz w:val="24"/>
        </w:rPr>
        <w:t>30</w:t>
      </w:r>
      <w:r>
        <w:rPr>
          <w:rFonts w:hint="eastAsia" w:ascii="Arial Narrow" w:hAnsi="Arial Narrow" w:cs="宋体" w:eastAsiaTheme="minorEastAsia"/>
          <w:kern w:val="0"/>
          <w:sz w:val="24"/>
        </w:rPr>
        <w:t>万元，全部为上级专项资金</w:t>
      </w:r>
      <w:r>
        <w:rPr>
          <w:rFonts w:ascii="Arial Narrow" w:hAnsi="Arial Narrow" w:cs="宋体" w:eastAsiaTheme="minorEastAsia"/>
          <w:kern w:val="0"/>
          <w:sz w:val="24"/>
        </w:rPr>
        <w:t>30</w:t>
      </w:r>
      <w:r>
        <w:rPr>
          <w:rFonts w:hint="eastAsia" w:ascii="Arial Narrow" w:hAnsi="Arial Narrow" w:cs="宋体" w:eastAsiaTheme="minorEastAsia"/>
          <w:kern w:val="0"/>
          <w:sz w:val="24"/>
        </w:rPr>
        <w:t>万元。</w:t>
      </w:r>
    </w:p>
    <w:p w14:paraId="67932290">
      <w:pPr>
        <w:spacing w:line="360" w:lineRule="auto"/>
        <w:ind w:firstLine="482" w:firstLineChars="200"/>
        <w:jc w:val="left"/>
        <w:outlineLvl w:val="0"/>
        <w:rPr>
          <w:rFonts w:ascii="Arial Narrow" w:hAnsi="Arial Narrow" w:eastAsiaTheme="minorEastAsia"/>
          <w:b/>
          <w:sz w:val="24"/>
        </w:rPr>
      </w:pPr>
      <w:bookmarkStart w:id="6" w:name="_Toc171673232"/>
      <w:r>
        <w:rPr>
          <w:rFonts w:hint="eastAsia" w:ascii="Arial Narrow" w:hAnsi="Arial Narrow" w:eastAsiaTheme="minorEastAsia"/>
          <w:b/>
          <w:sz w:val="24"/>
        </w:rPr>
        <w:t>二、绩效评价工作情况</w:t>
      </w:r>
      <w:bookmarkEnd w:id="6"/>
    </w:p>
    <w:p w14:paraId="10378E08">
      <w:pPr>
        <w:spacing w:line="360" w:lineRule="auto"/>
        <w:ind w:firstLine="482" w:firstLineChars="200"/>
        <w:jc w:val="left"/>
        <w:outlineLvl w:val="0"/>
        <w:rPr>
          <w:rFonts w:ascii="Arial Narrow" w:hAnsi="Arial Narrow" w:eastAsiaTheme="minorEastAsia"/>
          <w:b/>
          <w:sz w:val="24"/>
        </w:rPr>
      </w:pPr>
      <w:bookmarkStart w:id="7" w:name="_Toc171673233"/>
      <w:bookmarkStart w:id="8" w:name="_Toc513775099"/>
      <w:r>
        <w:rPr>
          <w:rFonts w:hint="eastAsia" w:ascii="Arial Narrow" w:hAnsi="Arial Narrow" w:eastAsiaTheme="minorEastAsia"/>
          <w:b/>
          <w:sz w:val="24"/>
        </w:rPr>
        <w:t>（一）绩效评价目的</w:t>
      </w:r>
      <w:bookmarkEnd w:id="7"/>
      <w:bookmarkEnd w:id="8"/>
    </w:p>
    <w:p w14:paraId="7E74964A">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通过实施财政重点绩效评价，总结项目实施主要成效，分析影响项目绩效的主要问题及成因，为进一步加强财政资金管理、提高资金使用效益提供依据。</w:t>
      </w:r>
    </w:p>
    <w:p w14:paraId="27C2211F">
      <w:pPr>
        <w:spacing w:line="360" w:lineRule="auto"/>
        <w:ind w:firstLine="482" w:firstLineChars="200"/>
        <w:jc w:val="left"/>
        <w:outlineLvl w:val="0"/>
        <w:rPr>
          <w:rFonts w:ascii="Arial Narrow" w:hAnsi="Arial Narrow" w:eastAsiaTheme="minorEastAsia"/>
          <w:b/>
          <w:sz w:val="24"/>
        </w:rPr>
      </w:pPr>
      <w:bookmarkStart w:id="9" w:name="_Toc171673234"/>
      <w:bookmarkStart w:id="10" w:name="_Toc513775100"/>
      <w:r>
        <w:rPr>
          <w:rFonts w:hint="eastAsia" w:ascii="Arial Narrow" w:hAnsi="Arial Narrow" w:eastAsiaTheme="minorEastAsia"/>
          <w:b/>
          <w:sz w:val="24"/>
        </w:rPr>
        <w:t>（二）绩效评价的基本内容</w:t>
      </w:r>
      <w:bookmarkEnd w:id="9"/>
    </w:p>
    <w:p w14:paraId="3A713736">
      <w:pPr>
        <w:pStyle w:val="14"/>
        <w:spacing w:line="360" w:lineRule="auto"/>
        <w:ind w:firstLine="480" w:firstLineChars="200"/>
        <w:rPr>
          <w:rFonts w:ascii="Arial Narrow" w:hAnsi="Arial Narrow" w:eastAsiaTheme="minorEastAsia"/>
          <w:color w:val="auto"/>
        </w:rPr>
      </w:pPr>
      <w:bookmarkStart w:id="11" w:name="_Toc166332968"/>
      <w:r>
        <w:rPr>
          <w:rFonts w:ascii="Arial Narrow" w:hAnsi="Arial Narrow" w:eastAsiaTheme="minorEastAsia"/>
          <w:color w:val="auto"/>
        </w:rPr>
        <w:t>1</w:t>
      </w:r>
      <w:r>
        <w:rPr>
          <w:rFonts w:hint="eastAsia" w:ascii="Arial Narrow" w:hAnsi="Arial Narrow" w:eastAsiaTheme="minorEastAsia"/>
          <w:color w:val="auto"/>
        </w:rPr>
        <w:t>.绩效目标的设定情况；</w:t>
      </w:r>
    </w:p>
    <w:p w14:paraId="4B645E2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.资金投入和使用情况；</w:t>
      </w:r>
    </w:p>
    <w:p w14:paraId="3FBDE50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w:t>
      </w:r>
      <w:r>
        <w:rPr>
          <w:rFonts w:hint="eastAsia" w:ascii="Arial Narrow" w:hAnsi="Arial Narrow" w:eastAsiaTheme="minorEastAsia"/>
          <w:color w:val="auto"/>
        </w:rPr>
        <w:t>.为实现绩效目标制定的制度、采取的措施等；</w:t>
      </w:r>
    </w:p>
    <w:p w14:paraId="1DF5B07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w:t>
      </w:r>
      <w:r>
        <w:rPr>
          <w:rFonts w:hint="eastAsia" w:ascii="Arial Narrow" w:hAnsi="Arial Narrow" w:eastAsiaTheme="minorEastAsia"/>
          <w:color w:val="auto"/>
        </w:rPr>
        <w:t>.绩效目标的实现程度及效果；</w:t>
      </w:r>
    </w:p>
    <w:p w14:paraId="3AE11AF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w:t>
      </w:r>
      <w:r>
        <w:rPr>
          <w:rFonts w:hint="eastAsia" w:ascii="Arial Narrow" w:hAnsi="Arial Narrow" w:eastAsiaTheme="minorEastAsia"/>
          <w:color w:val="auto"/>
        </w:rPr>
        <w:t>.根据实际情况需要评价的其他内容。</w:t>
      </w:r>
    </w:p>
    <w:p w14:paraId="4547EA32">
      <w:pPr>
        <w:spacing w:line="360" w:lineRule="auto"/>
        <w:ind w:firstLine="482" w:firstLineChars="200"/>
        <w:jc w:val="left"/>
        <w:outlineLvl w:val="0"/>
        <w:rPr>
          <w:rFonts w:ascii="Arial Narrow" w:hAnsi="Arial Narrow" w:eastAsiaTheme="minorEastAsia"/>
          <w:b/>
          <w:sz w:val="24"/>
        </w:rPr>
      </w:pPr>
      <w:bookmarkStart w:id="12" w:name="_Toc171673235"/>
      <w:r>
        <w:rPr>
          <w:rFonts w:hint="eastAsia" w:ascii="Arial Narrow" w:hAnsi="Arial Narrow" w:eastAsiaTheme="minorEastAsia"/>
          <w:b/>
          <w:sz w:val="24"/>
        </w:rPr>
        <w:t>（三）绩效评价依据</w:t>
      </w:r>
      <w:bookmarkEnd w:id="10"/>
      <w:bookmarkEnd w:id="11"/>
      <w:bookmarkEnd w:id="12"/>
      <w:bookmarkStart w:id="13" w:name="_Toc335040595"/>
    </w:p>
    <w:bookmarkEnd w:id="13"/>
    <w:p w14:paraId="184971A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w:t>
      </w:r>
      <w:r>
        <w:rPr>
          <w:rFonts w:hint="eastAsia" w:ascii="Arial Narrow" w:hAnsi="Arial Narrow" w:eastAsiaTheme="minorEastAsia"/>
          <w:color w:val="auto"/>
        </w:rPr>
        <w:t>《重庆市铜梁区财政衔接推进乡村振兴补助资金绩效评价及考核办法》的通知（铜财〔</w:t>
      </w:r>
      <w:r>
        <w:rPr>
          <w:rFonts w:ascii="Arial Narrow" w:hAnsi="Arial Narrow" w:eastAsiaTheme="minorEastAsia"/>
          <w:color w:val="auto"/>
        </w:rPr>
        <w:t>2022</w:t>
      </w:r>
      <w:r>
        <w:rPr>
          <w:rFonts w:hint="eastAsia" w:ascii="Arial Narrow" w:hAnsi="Arial Narrow" w:eastAsiaTheme="minorEastAsia"/>
          <w:color w:val="auto"/>
        </w:rPr>
        <w:t>〕</w:t>
      </w:r>
      <w:r>
        <w:rPr>
          <w:rFonts w:ascii="Arial Narrow" w:hAnsi="Arial Narrow" w:eastAsiaTheme="minorEastAsia"/>
          <w:color w:val="auto"/>
        </w:rPr>
        <w:t>678</w:t>
      </w:r>
      <w:r>
        <w:rPr>
          <w:rFonts w:hint="eastAsia" w:ascii="Arial Narrow" w:hAnsi="Arial Narrow" w:eastAsiaTheme="minorEastAsia"/>
          <w:color w:val="auto"/>
        </w:rPr>
        <w:t>号）</w:t>
      </w:r>
    </w:p>
    <w:p w14:paraId="46B8492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《重庆市铜梁区财政局关于开展</w:t>
      </w:r>
      <w:r>
        <w:rPr>
          <w:rFonts w:ascii="Arial Narrow" w:hAnsi="Arial Narrow" w:eastAsiaTheme="minorEastAsia"/>
          <w:color w:val="auto"/>
        </w:rPr>
        <w:t>2023</w:t>
      </w:r>
      <w:r>
        <w:rPr>
          <w:rFonts w:hint="eastAsia" w:ascii="Arial Narrow" w:hAnsi="Arial Narrow" w:eastAsiaTheme="minorEastAsia"/>
          <w:color w:val="auto"/>
        </w:rPr>
        <w:t>年度项目财政重点绩效评价的通知》（铜财〔</w:t>
      </w:r>
      <w:r>
        <w:rPr>
          <w:rFonts w:ascii="Arial Narrow" w:hAnsi="Arial Narrow" w:eastAsiaTheme="minorEastAsia"/>
          <w:color w:val="auto"/>
        </w:rPr>
        <w:t>2024</w:t>
      </w:r>
      <w:r>
        <w:rPr>
          <w:rFonts w:hint="eastAsia" w:ascii="Arial Narrow" w:hAnsi="Arial Narrow" w:eastAsiaTheme="minorEastAsia"/>
          <w:color w:val="auto"/>
        </w:rPr>
        <w:t>〕</w:t>
      </w:r>
      <w:r>
        <w:rPr>
          <w:rFonts w:ascii="Arial Narrow" w:hAnsi="Arial Narrow" w:eastAsiaTheme="minorEastAsia"/>
          <w:color w:val="auto"/>
        </w:rPr>
        <w:t>237</w:t>
      </w:r>
      <w:r>
        <w:rPr>
          <w:rFonts w:hint="eastAsia" w:ascii="Arial Narrow" w:hAnsi="Arial Narrow" w:eastAsiaTheme="minorEastAsia"/>
          <w:color w:val="auto"/>
        </w:rPr>
        <w:t>号）</w:t>
      </w:r>
    </w:p>
    <w:p w14:paraId="3BC13296">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3.</w:t>
      </w:r>
      <w:r>
        <w:rPr>
          <w:rFonts w:hint="eastAsia" w:ascii="Arial Narrow" w:hAnsi="Arial Narrow" w:eastAsiaTheme="minorEastAsia"/>
          <w:color w:val="auto"/>
        </w:rPr>
        <w:t>《重庆市财政衔接推进乡村振兴补助资金绩效评价及考核办法》（渝财农〔</w:t>
      </w:r>
      <w:r>
        <w:rPr>
          <w:rFonts w:ascii="Arial Narrow" w:hAnsi="Arial Narrow" w:eastAsiaTheme="minorEastAsia"/>
          <w:color w:val="auto"/>
        </w:rPr>
        <w:t>2022</w:t>
      </w:r>
      <w:r>
        <w:rPr>
          <w:rFonts w:hint="eastAsia" w:ascii="Arial Narrow" w:hAnsi="Arial Narrow" w:eastAsiaTheme="minorEastAsia"/>
          <w:color w:val="auto"/>
        </w:rPr>
        <w:t>〕</w:t>
      </w:r>
      <w:r>
        <w:rPr>
          <w:rFonts w:ascii="Arial Narrow" w:hAnsi="Arial Narrow" w:eastAsiaTheme="minorEastAsia"/>
          <w:color w:val="auto"/>
        </w:rPr>
        <w:t>2</w:t>
      </w:r>
      <w:r>
        <w:rPr>
          <w:rFonts w:hint="eastAsia" w:ascii="Arial Narrow" w:hAnsi="Arial Narrow" w:eastAsiaTheme="minorEastAsia"/>
          <w:color w:val="auto"/>
        </w:rPr>
        <w:t>号</w:t>
      </w:r>
      <w:r>
        <w:rPr>
          <w:rFonts w:hint="eastAsia" w:ascii="Arial Narrow" w:hAnsi="Arial Narrow" w:eastAsiaTheme="minorEastAsia"/>
          <w:color w:val="auto"/>
          <w:lang w:eastAsia="zh-CN"/>
        </w:rPr>
        <w:t>）</w:t>
      </w:r>
      <w:r>
        <w:rPr>
          <w:rFonts w:ascii="Arial Narrow" w:hAnsi="Arial Narrow" w:eastAsiaTheme="minorEastAsia"/>
          <w:color w:val="auto"/>
        </w:rPr>
        <w:t xml:space="preserve"> </w:t>
      </w:r>
    </w:p>
    <w:p w14:paraId="5A3E721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w:t>
      </w:r>
      <w:r>
        <w:rPr>
          <w:rFonts w:hint="eastAsia" w:ascii="Arial Narrow" w:hAnsi="Arial Narrow" w:eastAsiaTheme="minorEastAsia"/>
          <w:color w:val="auto"/>
        </w:rPr>
        <w:t>《铜梁区区级政策和项目预算绩效管理办法</w:t>
      </w:r>
      <w:r>
        <w:rPr>
          <w:rFonts w:hint="eastAsia" w:ascii="Arial Narrow" w:hAnsi="Arial Narrow" w:eastAsiaTheme="minorEastAsia"/>
          <w:color w:val="auto"/>
          <w:lang w:eastAsia="zh-CN"/>
        </w:rPr>
        <w:t>（</w:t>
      </w:r>
      <w:r>
        <w:rPr>
          <w:rFonts w:hint="eastAsia" w:ascii="Arial Narrow" w:hAnsi="Arial Narrow" w:eastAsiaTheme="minorEastAsia"/>
          <w:color w:val="auto"/>
        </w:rPr>
        <w:t>试行</w:t>
      </w:r>
      <w:r>
        <w:rPr>
          <w:rFonts w:hint="eastAsia" w:ascii="Arial Narrow" w:hAnsi="Arial Narrow" w:eastAsiaTheme="minorEastAsia"/>
          <w:color w:val="auto"/>
          <w:lang w:eastAsia="zh-CN"/>
        </w:rPr>
        <w:t>）</w:t>
      </w:r>
      <w:r>
        <w:rPr>
          <w:rFonts w:hint="eastAsia" w:ascii="Arial Narrow" w:hAnsi="Arial Narrow" w:eastAsiaTheme="minorEastAsia"/>
          <w:color w:val="auto"/>
        </w:rPr>
        <w:t>》（铜财〔</w:t>
      </w:r>
      <w:r>
        <w:rPr>
          <w:rFonts w:ascii="Arial Narrow" w:hAnsi="Arial Narrow" w:eastAsiaTheme="minorEastAsia"/>
          <w:color w:val="auto"/>
        </w:rPr>
        <w:t>2022</w:t>
      </w:r>
      <w:r>
        <w:rPr>
          <w:rFonts w:hint="eastAsia" w:ascii="Arial Narrow" w:hAnsi="Arial Narrow" w:eastAsiaTheme="minorEastAsia"/>
          <w:color w:val="auto"/>
        </w:rPr>
        <w:t>〕</w:t>
      </w:r>
      <w:r>
        <w:rPr>
          <w:rFonts w:ascii="Arial Narrow" w:hAnsi="Arial Narrow" w:eastAsiaTheme="minorEastAsia"/>
          <w:color w:val="auto"/>
        </w:rPr>
        <w:t>41</w:t>
      </w:r>
      <w:r>
        <w:rPr>
          <w:rFonts w:hint="eastAsia" w:ascii="Arial Narrow" w:hAnsi="Arial Narrow" w:eastAsiaTheme="minorEastAsia"/>
          <w:color w:val="auto"/>
        </w:rPr>
        <w:t>号）</w:t>
      </w:r>
    </w:p>
    <w:p w14:paraId="5470769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5.</w:t>
      </w:r>
      <w:r>
        <w:rPr>
          <w:rFonts w:hint="eastAsia" w:ascii="Arial Narrow" w:hAnsi="Arial Narrow" w:eastAsiaTheme="minorEastAsia"/>
          <w:color w:val="auto"/>
        </w:rPr>
        <w:t>《重庆市财政局等</w:t>
      </w:r>
      <w:r>
        <w:rPr>
          <w:rFonts w:ascii="Arial Narrow" w:hAnsi="Arial Narrow" w:eastAsiaTheme="minorEastAsia"/>
          <w:color w:val="auto"/>
        </w:rPr>
        <w:t>6</w:t>
      </w:r>
      <w:r>
        <w:rPr>
          <w:rFonts w:hint="eastAsia" w:ascii="Arial Narrow" w:hAnsi="Arial Narrow" w:eastAsiaTheme="minorEastAsia"/>
          <w:color w:val="auto"/>
        </w:rPr>
        <w:t>部门关于加强财政衔接推进乡村振兴补助资金使用管理的实施意见》（渝财农〔</w:t>
      </w:r>
      <w:r>
        <w:rPr>
          <w:rFonts w:ascii="Arial Narrow" w:hAnsi="Arial Narrow" w:eastAsiaTheme="minorEastAsia"/>
          <w:color w:val="auto"/>
        </w:rPr>
        <w:t>2022</w:t>
      </w:r>
      <w:r>
        <w:rPr>
          <w:rFonts w:hint="eastAsia" w:ascii="Arial Narrow" w:hAnsi="Arial Narrow" w:eastAsiaTheme="minorEastAsia"/>
          <w:color w:val="auto"/>
        </w:rPr>
        <w:t>〕</w:t>
      </w:r>
      <w:r>
        <w:rPr>
          <w:rFonts w:ascii="Arial Narrow" w:hAnsi="Arial Narrow" w:eastAsiaTheme="minorEastAsia"/>
          <w:color w:val="auto"/>
        </w:rPr>
        <w:t>73</w:t>
      </w:r>
      <w:r>
        <w:rPr>
          <w:rFonts w:hint="eastAsia" w:ascii="Arial Narrow" w:hAnsi="Arial Narrow" w:eastAsiaTheme="minorEastAsia"/>
          <w:color w:val="auto"/>
        </w:rPr>
        <w:t>号）</w:t>
      </w:r>
    </w:p>
    <w:p w14:paraId="192DED65">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6.</w:t>
      </w:r>
      <w:r>
        <w:rPr>
          <w:rFonts w:hint="eastAsia" w:ascii="Arial Narrow" w:hAnsi="Arial Narrow" w:eastAsiaTheme="minorEastAsia"/>
          <w:color w:val="auto"/>
        </w:rPr>
        <w:t>《铜梁区巩固拓展脱贫攻坚成果和衔接乡村振兴项目库建设管理实施细则》（铜乡振〔</w:t>
      </w:r>
      <w:r>
        <w:rPr>
          <w:rFonts w:ascii="Arial Narrow" w:hAnsi="Arial Narrow" w:eastAsiaTheme="minorEastAsia"/>
          <w:color w:val="auto"/>
        </w:rPr>
        <w:t>2021</w:t>
      </w:r>
      <w:r>
        <w:rPr>
          <w:rFonts w:hint="eastAsia" w:ascii="Arial Narrow" w:hAnsi="Arial Narrow" w:eastAsiaTheme="minorEastAsia"/>
          <w:color w:val="auto"/>
        </w:rPr>
        <w:t>〕</w:t>
      </w:r>
      <w:r>
        <w:rPr>
          <w:rFonts w:ascii="Arial Narrow" w:hAnsi="Arial Narrow" w:eastAsiaTheme="minorEastAsia"/>
          <w:color w:val="auto"/>
        </w:rPr>
        <w:t>7</w:t>
      </w:r>
      <w:r>
        <w:rPr>
          <w:rFonts w:hint="eastAsia" w:ascii="Arial Narrow" w:hAnsi="Arial Narrow" w:eastAsiaTheme="minorEastAsia"/>
          <w:color w:val="auto"/>
        </w:rPr>
        <w:t>号）</w:t>
      </w:r>
    </w:p>
    <w:p w14:paraId="26951FB9">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7.</w:t>
      </w:r>
      <w:r>
        <w:rPr>
          <w:rFonts w:hint="eastAsia" w:ascii="Arial Narrow" w:hAnsi="Arial Narrow" w:eastAsiaTheme="minorEastAsia"/>
          <w:color w:val="auto"/>
        </w:rPr>
        <w:t>《铜梁区财政衔接推进乡村振兴补助资金项目公告公示实施办法》（铜委农办〔</w:t>
      </w:r>
      <w:r>
        <w:rPr>
          <w:rFonts w:ascii="Arial Narrow" w:hAnsi="Arial Narrow" w:eastAsiaTheme="minorEastAsia"/>
          <w:color w:val="auto"/>
        </w:rPr>
        <w:t>2021</w:t>
      </w:r>
      <w:r>
        <w:rPr>
          <w:rFonts w:hint="eastAsia" w:ascii="Arial Narrow" w:hAnsi="Arial Narrow" w:eastAsiaTheme="minorEastAsia"/>
          <w:color w:val="auto"/>
        </w:rPr>
        <w:t>〕</w:t>
      </w:r>
      <w:r>
        <w:rPr>
          <w:rFonts w:ascii="Arial Narrow" w:hAnsi="Arial Narrow" w:eastAsiaTheme="minorEastAsia"/>
          <w:color w:val="auto"/>
        </w:rPr>
        <w:t>19</w:t>
      </w:r>
      <w:r>
        <w:rPr>
          <w:rFonts w:hint="eastAsia" w:ascii="Arial Narrow" w:hAnsi="Arial Narrow" w:eastAsiaTheme="minorEastAsia"/>
          <w:color w:val="auto"/>
        </w:rPr>
        <w:t>号）</w:t>
      </w:r>
    </w:p>
    <w:p w14:paraId="1A33EE6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8.</w:t>
      </w:r>
      <w:r>
        <w:rPr>
          <w:rFonts w:hint="eastAsia" w:ascii="Arial Narrow" w:hAnsi="Arial Narrow" w:eastAsiaTheme="minorEastAsia"/>
          <w:color w:val="auto"/>
        </w:rPr>
        <w:t>《项目支出绩效评价管理办法》（财预〔</w:t>
      </w:r>
      <w:r>
        <w:rPr>
          <w:rFonts w:ascii="Arial Narrow" w:hAnsi="Arial Narrow" w:eastAsiaTheme="minorEastAsia"/>
          <w:color w:val="auto"/>
        </w:rPr>
        <w:t>2020</w:t>
      </w:r>
      <w:r>
        <w:rPr>
          <w:rFonts w:hint="eastAsia" w:ascii="Arial Narrow" w:hAnsi="Arial Narrow" w:eastAsiaTheme="minorEastAsia"/>
          <w:color w:val="auto"/>
        </w:rPr>
        <w:t>〕</w:t>
      </w:r>
      <w:r>
        <w:rPr>
          <w:rFonts w:ascii="Arial Narrow" w:hAnsi="Arial Narrow" w:eastAsiaTheme="minorEastAsia"/>
          <w:color w:val="auto"/>
        </w:rPr>
        <w:t>10</w:t>
      </w:r>
      <w:r>
        <w:rPr>
          <w:rFonts w:hint="eastAsia" w:ascii="Arial Narrow" w:hAnsi="Arial Narrow" w:eastAsiaTheme="minorEastAsia"/>
          <w:color w:val="auto"/>
        </w:rPr>
        <w:t>号）</w:t>
      </w:r>
    </w:p>
    <w:p w14:paraId="528C0ABC">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9.</w:t>
      </w:r>
      <w:r>
        <w:rPr>
          <w:rFonts w:hint="eastAsia" w:ascii="Arial Narrow" w:hAnsi="Arial Narrow" w:eastAsiaTheme="minorEastAsia"/>
          <w:color w:val="auto"/>
        </w:rPr>
        <w:t>《重庆市市级政策和项目预算绩效管理办法》（渝财绩〔</w:t>
      </w:r>
      <w:r>
        <w:rPr>
          <w:rFonts w:ascii="Arial Narrow" w:hAnsi="Arial Narrow" w:eastAsiaTheme="minorEastAsia"/>
          <w:color w:val="auto"/>
        </w:rPr>
        <w:t>2019</w:t>
      </w:r>
      <w:r>
        <w:rPr>
          <w:rFonts w:hint="eastAsia" w:ascii="Arial Narrow" w:hAnsi="Arial Narrow" w:eastAsiaTheme="minorEastAsia"/>
          <w:color w:val="auto"/>
        </w:rPr>
        <w:t>〕</w:t>
      </w:r>
      <w:r>
        <w:rPr>
          <w:rFonts w:ascii="Arial Narrow" w:hAnsi="Arial Narrow" w:eastAsiaTheme="minorEastAsia"/>
          <w:color w:val="auto"/>
        </w:rPr>
        <w:t>19</w:t>
      </w:r>
      <w:r>
        <w:rPr>
          <w:rFonts w:hint="eastAsia" w:ascii="Arial Narrow" w:hAnsi="Arial Narrow" w:eastAsiaTheme="minorEastAsia"/>
          <w:color w:val="auto"/>
        </w:rPr>
        <w:t>号）</w:t>
      </w:r>
    </w:p>
    <w:p w14:paraId="4BAFD0AF">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10.</w:t>
      </w:r>
      <w:r>
        <w:rPr>
          <w:rFonts w:hint="eastAsia" w:ascii="Arial Narrow" w:hAnsi="Arial Narrow" w:eastAsiaTheme="minorEastAsia"/>
          <w:color w:val="auto"/>
        </w:rPr>
        <w:t>《会计师事务所财政支出绩效评价业务指引》（注协</w:t>
      </w:r>
      <w:bookmarkStart w:id="14" w:name="_Hlk162597612"/>
      <w:r>
        <w:rPr>
          <w:rFonts w:hint="eastAsia" w:ascii="Arial Narrow" w:hAnsi="Arial Narrow" w:eastAsiaTheme="minorEastAsia"/>
          <w:color w:val="auto"/>
        </w:rPr>
        <w:t>〔</w:t>
      </w:r>
      <w:r>
        <w:rPr>
          <w:rFonts w:ascii="Arial Narrow" w:hAnsi="Arial Narrow" w:eastAsiaTheme="minorEastAsia"/>
          <w:color w:val="auto"/>
        </w:rPr>
        <w:t>2016</w:t>
      </w:r>
      <w:r>
        <w:rPr>
          <w:rFonts w:hint="eastAsia" w:ascii="Arial Narrow" w:hAnsi="Arial Narrow" w:eastAsiaTheme="minorEastAsia"/>
          <w:color w:val="auto"/>
        </w:rPr>
        <w:t>〕</w:t>
      </w:r>
      <w:bookmarkEnd w:id="14"/>
      <w:r>
        <w:rPr>
          <w:rFonts w:ascii="Arial Narrow" w:hAnsi="Arial Narrow" w:eastAsiaTheme="minorEastAsia"/>
          <w:color w:val="auto"/>
        </w:rPr>
        <w:t>10</w:t>
      </w:r>
      <w:r>
        <w:rPr>
          <w:rFonts w:hint="eastAsia" w:ascii="Arial Narrow" w:hAnsi="Arial Narrow" w:eastAsiaTheme="minorEastAsia"/>
          <w:color w:val="auto"/>
        </w:rPr>
        <w:t>号）</w:t>
      </w:r>
    </w:p>
    <w:p w14:paraId="253AE3C4">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11.</w:t>
      </w:r>
      <w:r>
        <w:rPr>
          <w:rFonts w:hint="eastAsia" w:ascii="Arial Narrow" w:hAnsi="Arial Narrow" w:eastAsiaTheme="minorEastAsia"/>
          <w:color w:val="auto"/>
        </w:rPr>
        <w:t>评价工作人员通过现场调查、核实等获得的资料等</w:t>
      </w:r>
    </w:p>
    <w:p w14:paraId="718413FC">
      <w:pPr>
        <w:spacing w:line="360" w:lineRule="auto"/>
        <w:ind w:firstLine="482" w:firstLineChars="200"/>
        <w:jc w:val="left"/>
        <w:outlineLvl w:val="0"/>
        <w:rPr>
          <w:rFonts w:ascii="Arial Narrow" w:hAnsi="Arial Narrow" w:eastAsiaTheme="minorEastAsia"/>
          <w:b/>
          <w:sz w:val="24"/>
        </w:rPr>
      </w:pPr>
      <w:bookmarkStart w:id="15" w:name="_Toc171673236"/>
      <w:r>
        <w:rPr>
          <w:rFonts w:hint="eastAsia" w:ascii="Arial Narrow" w:hAnsi="Arial Narrow" w:eastAsiaTheme="minorEastAsia"/>
          <w:b/>
          <w:sz w:val="24"/>
        </w:rPr>
        <w:t>（四）绩效评价原则和指标体系</w:t>
      </w:r>
      <w:bookmarkEnd w:id="15"/>
    </w:p>
    <w:p w14:paraId="3926D918">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w:t>
      </w:r>
      <w:r>
        <w:rPr>
          <w:rFonts w:hint="eastAsia" w:ascii="Arial Narrow" w:hAnsi="Arial Narrow" w:eastAsiaTheme="minorEastAsia"/>
          <w:color w:val="auto"/>
        </w:rPr>
        <w:t>绩效评价主要遵循以下原则：</w:t>
      </w:r>
    </w:p>
    <w:p w14:paraId="7D6D3C41">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w:t>
      </w:r>
      <w:r>
        <w:rPr>
          <w:rFonts w:ascii="Arial Narrow" w:hAnsi="Arial Narrow" w:eastAsiaTheme="minorEastAsia"/>
          <w:color w:val="auto"/>
        </w:rPr>
        <w:t>1</w:t>
      </w:r>
      <w:r>
        <w:rPr>
          <w:rFonts w:hint="eastAsia" w:ascii="Arial Narrow" w:hAnsi="Arial Narrow" w:eastAsiaTheme="minorEastAsia"/>
          <w:color w:val="auto"/>
        </w:rPr>
        <w:t>）相关性原则。应当与绩效目标有直接的联系，能够恰当反映目标的实现程度。</w:t>
      </w:r>
    </w:p>
    <w:p w14:paraId="7F4BC8D1">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w:t>
      </w:r>
      <w:r>
        <w:rPr>
          <w:rFonts w:ascii="Arial Narrow" w:hAnsi="Arial Narrow" w:eastAsiaTheme="minorEastAsia"/>
          <w:color w:val="auto"/>
        </w:rPr>
        <w:t>2</w:t>
      </w:r>
      <w:r>
        <w:rPr>
          <w:rFonts w:hint="eastAsia" w:ascii="Arial Narrow" w:hAnsi="Arial Narrow" w:eastAsiaTheme="minorEastAsia"/>
          <w:color w:val="auto"/>
        </w:rPr>
        <w:t>）重要性原则。应当优先使用最具评价对象代表性、最能反映评价要求的核心指标。</w:t>
      </w:r>
    </w:p>
    <w:p w14:paraId="5FBAB6C5">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w:t>
      </w:r>
      <w:r>
        <w:rPr>
          <w:rFonts w:ascii="Arial Narrow" w:hAnsi="Arial Narrow" w:eastAsiaTheme="minorEastAsia"/>
          <w:color w:val="auto"/>
        </w:rPr>
        <w:t>3</w:t>
      </w:r>
      <w:r>
        <w:rPr>
          <w:rFonts w:hint="eastAsia" w:ascii="Arial Narrow" w:hAnsi="Arial Narrow" w:eastAsiaTheme="minorEastAsia"/>
          <w:color w:val="auto"/>
        </w:rPr>
        <w:t>）可比性原则。对同类评价对象要设定共性的绩效评价指标，以便于评价结果可以相互比较。</w:t>
      </w:r>
    </w:p>
    <w:p w14:paraId="29582303">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w:t>
      </w:r>
      <w:r>
        <w:rPr>
          <w:rFonts w:ascii="Arial Narrow" w:hAnsi="Arial Narrow" w:eastAsiaTheme="minorEastAsia"/>
          <w:color w:val="auto"/>
        </w:rPr>
        <w:t>4</w:t>
      </w:r>
      <w:r>
        <w:rPr>
          <w:rFonts w:hint="eastAsia" w:ascii="Arial Narrow" w:hAnsi="Arial Narrow" w:eastAsiaTheme="minorEastAsia"/>
          <w:color w:val="auto"/>
        </w:rPr>
        <w:t>）系统性原则。应当将定量指标与定性指标相结合，系统反映财政支出所产生的社会效益和可持续影响等。</w:t>
      </w:r>
    </w:p>
    <w:p w14:paraId="75711AB8">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w:t>
      </w:r>
      <w:r>
        <w:rPr>
          <w:rFonts w:ascii="Arial Narrow" w:hAnsi="Arial Narrow" w:eastAsiaTheme="minorEastAsia"/>
          <w:color w:val="auto"/>
        </w:rPr>
        <w:t>5</w:t>
      </w:r>
      <w:r>
        <w:rPr>
          <w:rFonts w:hint="eastAsia" w:ascii="Arial Narrow" w:hAnsi="Arial Narrow" w:eastAsiaTheme="minorEastAsia"/>
          <w:color w:val="auto"/>
        </w:rPr>
        <w:t>）经济性原则。应当通俗易懂、简便易行，数据的获得应当考虑现实条件和可操作性，符合成本效益原则。</w:t>
      </w:r>
    </w:p>
    <w:p w14:paraId="16EA0B5D">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绩效评价指标体系</w:t>
      </w:r>
    </w:p>
    <w:p w14:paraId="16334F19">
      <w:pPr>
        <w:pStyle w:val="14"/>
        <w:spacing w:line="360" w:lineRule="auto"/>
        <w:ind w:firstLine="480" w:firstLineChars="200"/>
        <w:jc w:val="both"/>
        <w:rPr>
          <w:rFonts w:ascii="Arial Narrow" w:hAnsi="Arial Narrow" w:eastAsiaTheme="minorEastAsia"/>
          <w:color w:val="auto"/>
        </w:rPr>
      </w:pPr>
      <w:r>
        <w:rPr>
          <w:rFonts w:hint="eastAsia" w:ascii="Arial Narrow" w:hAnsi="Arial Narrow" w:eastAsiaTheme="minorEastAsia"/>
          <w:color w:val="auto"/>
        </w:rPr>
        <w:t>根据《重庆市铜梁区财政衔接推进乡村振兴补助资金绩效评价及考核办法》的通知（铜财〔</w:t>
      </w:r>
      <w:r>
        <w:rPr>
          <w:rFonts w:ascii="Arial Narrow" w:hAnsi="Arial Narrow" w:eastAsiaTheme="minorEastAsia"/>
          <w:color w:val="auto"/>
        </w:rPr>
        <w:t>2022</w:t>
      </w:r>
      <w:r>
        <w:rPr>
          <w:rFonts w:hint="eastAsia" w:ascii="Arial Narrow" w:hAnsi="Arial Narrow" w:eastAsiaTheme="minorEastAsia"/>
          <w:color w:val="auto"/>
        </w:rPr>
        <w:t>〕</w:t>
      </w:r>
      <w:r>
        <w:rPr>
          <w:rFonts w:ascii="Arial Narrow" w:hAnsi="Arial Narrow" w:eastAsiaTheme="minorEastAsia"/>
          <w:color w:val="auto"/>
        </w:rPr>
        <w:t>678</w:t>
      </w:r>
      <w:r>
        <w:rPr>
          <w:rFonts w:hint="eastAsia" w:ascii="Arial Narrow" w:hAnsi="Arial Narrow" w:eastAsiaTheme="minorEastAsia"/>
          <w:color w:val="auto"/>
        </w:rPr>
        <w:t>号</w:t>
      </w:r>
      <w:r>
        <w:rPr>
          <w:rFonts w:hint="eastAsia" w:ascii="Arial Narrow" w:hAnsi="Arial Narrow" w:eastAsiaTheme="minorEastAsia"/>
          <w:color w:val="auto"/>
          <w:lang w:eastAsia="zh-CN"/>
        </w:rPr>
        <w:t>）</w:t>
      </w:r>
      <w:r>
        <w:rPr>
          <w:rFonts w:hint="eastAsia" w:ascii="Arial Narrow" w:hAnsi="Arial Narrow" w:eastAsiaTheme="minorEastAsia"/>
          <w:color w:val="auto"/>
        </w:rPr>
        <w:t>，本次绩效评价及考核指标体系如下：</w:t>
      </w:r>
    </w:p>
    <w:p w14:paraId="006B0089">
      <w:pPr>
        <w:pStyle w:val="14"/>
        <w:spacing w:line="360" w:lineRule="auto"/>
        <w:ind w:firstLine="482" w:firstLineChars="200"/>
        <w:jc w:val="center"/>
        <w:rPr>
          <w:rFonts w:hint="eastAsia" w:ascii="Arial Narrow" w:hAnsi="Arial Narrow" w:eastAsiaTheme="minorEastAsia"/>
          <w:b/>
          <w:bCs/>
          <w:color w:val="auto"/>
        </w:rPr>
      </w:pPr>
    </w:p>
    <w:p w14:paraId="05E545BD">
      <w:pPr>
        <w:pStyle w:val="14"/>
        <w:spacing w:line="360" w:lineRule="auto"/>
        <w:ind w:firstLine="482" w:firstLineChars="200"/>
        <w:jc w:val="center"/>
        <w:rPr>
          <w:rFonts w:hint="eastAsia" w:ascii="Arial Narrow" w:hAnsi="Arial Narrow" w:eastAsiaTheme="minorEastAsia"/>
          <w:b/>
          <w:bCs/>
          <w:color w:val="auto"/>
        </w:rPr>
      </w:pPr>
    </w:p>
    <w:p w14:paraId="71019FF0">
      <w:pPr>
        <w:pStyle w:val="14"/>
        <w:spacing w:line="360" w:lineRule="auto"/>
        <w:ind w:firstLine="482" w:firstLineChars="200"/>
        <w:jc w:val="center"/>
        <w:rPr>
          <w:rFonts w:hint="eastAsia" w:ascii="Arial Narrow" w:hAnsi="Arial Narrow" w:eastAsiaTheme="minorEastAsia"/>
          <w:b/>
          <w:bCs/>
          <w:color w:val="auto"/>
        </w:rPr>
      </w:pPr>
    </w:p>
    <w:p w14:paraId="3960D383">
      <w:pPr>
        <w:pStyle w:val="14"/>
        <w:spacing w:line="360" w:lineRule="auto"/>
        <w:ind w:firstLine="482" w:firstLineChars="200"/>
        <w:jc w:val="center"/>
        <w:rPr>
          <w:rFonts w:hint="eastAsia" w:ascii="Arial Narrow" w:hAnsi="Arial Narrow" w:eastAsiaTheme="minorEastAsia"/>
          <w:b/>
          <w:bCs/>
          <w:color w:val="auto"/>
        </w:rPr>
      </w:pPr>
    </w:p>
    <w:p w14:paraId="3BA23EB8">
      <w:pPr>
        <w:pStyle w:val="14"/>
        <w:spacing w:line="360" w:lineRule="auto"/>
        <w:ind w:firstLine="482" w:firstLineChars="200"/>
        <w:jc w:val="center"/>
        <w:rPr>
          <w:rFonts w:hint="eastAsia" w:ascii="Arial Narrow" w:hAnsi="Arial Narrow" w:eastAsiaTheme="minorEastAsia"/>
          <w:b/>
          <w:bCs/>
          <w:color w:val="auto"/>
        </w:rPr>
      </w:pPr>
    </w:p>
    <w:p w14:paraId="76367593">
      <w:pPr>
        <w:pStyle w:val="14"/>
        <w:spacing w:line="360" w:lineRule="auto"/>
        <w:ind w:firstLine="482" w:firstLineChars="200"/>
        <w:jc w:val="center"/>
        <w:rPr>
          <w:rFonts w:ascii="Arial Narrow" w:hAnsi="Arial Narrow" w:eastAsiaTheme="minorEastAsia"/>
          <w:b/>
          <w:bCs/>
          <w:color w:val="auto"/>
        </w:rPr>
      </w:pPr>
      <w:r>
        <w:rPr>
          <w:rFonts w:hint="eastAsia" w:ascii="Arial Narrow" w:hAnsi="Arial Narrow" w:eastAsiaTheme="minorEastAsia"/>
          <w:b/>
          <w:bCs/>
          <w:color w:val="auto"/>
        </w:rPr>
        <w:t>铜梁区衔接资金项目绩效评价及考核指标评分表</w:t>
      </w:r>
    </w:p>
    <w:tbl>
      <w:tblPr>
        <w:tblStyle w:val="9"/>
        <w:tblW w:w="9491" w:type="dxa"/>
        <w:tblInd w:w="113" w:type="dxa"/>
        <w:tblLayout w:type="fixed"/>
        <w:tblCellMar>
          <w:top w:w="0" w:type="dxa"/>
          <w:left w:w="108" w:type="dxa"/>
          <w:bottom w:w="0" w:type="dxa"/>
          <w:right w:w="108" w:type="dxa"/>
        </w:tblCellMar>
      </w:tblPr>
      <w:tblGrid>
        <w:gridCol w:w="536"/>
        <w:gridCol w:w="1016"/>
        <w:gridCol w:w="1048"/>
        <w:gridCol w:w="536"/>
        <w:gridCol w:w="2752"/>
        <w:gridCol w:w="3603"/>
      </w:tblGrid>
      <w:tr w14:paraId="7E0C9CB8">
        <w:tblPrEx>
          <w:tblCellMar>
            <w:top w:w="0" w:type="dxa"/>
            <w:left w:w="108" w:type="dxa"/>
            <w:bottom w:w="0" w:type="dxa"/>
            <w:right w:w="108" w:type="dxa"/>
          </w:tblCellMar>
        </w:tblPrEx>
        <w:trPr>
          <w:cantSplit/>
          <w:trHeight w:val="201" w:hRule="atLeast"/>
          <w:tblHeader/>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879618">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序号</w:t>
            </w:r>
          </w:p>
        </w:tc>
        <w:tc>
          <w:tcPr>
            <w:tcW w:w="1016" w:type="dxa"/>
            <w:tcBorders>
              <w:top w:val="single" w:color="auto" w:sz="4" w:space="0"/>
              <w:left w:val="nil"/>
              <w:bottom w:val="single" w:color="auto" w:sz="4" w:space="0"/>
              <w:right w:val="single" w:color="auto" w:sz="4" w:space="0"/>
            </w:tcBorders>
            <w:shd w:val="clear" w:color="auto" w:fill="auto"/>
            <w:noWrap/>
            <w:vAlign w:val="center"/>
          </w:tcPr>
          <w:p w14:paraId="077EF00D">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一级指标</w:t>
            </w:r>
          </w:p>
        </w:tc>
        <w:tc>
          <w:tcPr>
            <w:tcW w:w="1048" w:type="dxa"/>
            <w:tcBorders>
              <w:top w:val="single" w:color="auto" w:sz="4" w:space="0"/>
              <w:left w:val="nil"/>
              <w:bottom w:val="single" w:color="auto" w:sz="4" w:space="0"/>
              <w:right w:val="single" w:color="auto" w:sz="4" w:space="0"/>
            </w:tcBorders>
            <w:shd w:val="clear" w:color="auto" w:fill="auto"/>
            <w:noWrap/>
            <w:vAlign w:val="center"/>
          </w:tcPr>
          <w:p w14:paraId="1466E0AA">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19C91E9E">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分值</w:t>
            </w:r>
          </w:p>
        </w:tc>
        <w:tc>
          <w:tcPr>
            <w:tcW w:w="2752" w:type="dxa"/>
            <w:tcBorders>
              <w:top w:val="single" w:color="auto" w:sz="4" w:space="0"/>
              <w:left w:val="nil"/>
              <w:bottom w:val="single" w:color="auto" w:sz="4" w:space="0"/>
              <w:right w:val="single" w:color="auto" w:sz="4" w:space="0"/>
            </w:tcBorders>
            <w:shd w:val="clear" w:color="auto" w:fill="auto"/>
            <w:noWrap/>
            <w:vAlign w:val="center"/>
          </w:tcPr>
          <w:p w14:paraId="2EAA2C6E">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指标释义</w:t>
            </w:r>
          </w:p>
        </w:tc>
        <w:tc>
          <w:tcPr>
            <w:tcW w:w="3603" w:type="dxa"/>
            <w:tcBorders>
              <w:top w:val="single" w:color="auto" w:sz="4" w:space="0"/>
              <w:left w:val="nil"/>
              <w:bottom w:val="single" w:color="auto" w:sz="4" w:space="0"/>
              <w:right w:val="single" w:color="auto" w:sz="4" w:space="0"/>
            </w:tcBorders>
            <w:shd w:val="clear" w:color="auto" w:fill="auto"/>
            <w:noWrap/>
            <w:vAlign w:val="center"/>
          </w:tcPr>
          <w:p w14:paraId="52E9C884">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评价标准</w:t>
            </w:r>
          </w:p>
        </w:tc>
      </w:tr>
      <w:tr w14:paraId="5A7BFF05">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94249C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2501DFEB">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资金管理（</w:t>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分）</w:t>
            </w:r>
          </w:p>
        </w:tc>
        <w:tc>
          <w:tcPr>
            <w:tcW w:w="1048" w:type="dxa"/>
            <w:tcBorders>
              <w:top w:val="nil"/>
              <w:left w:val="nil"/>
              <w:bottom w:val="single" w:color="auto" w:sz="4" w:space="0"/>
              <w:right w:val="single" w:color="auto" w:sz="4" w:space="0"/>
            </w:tcBorders>
            <w:shd w:val="clear" w:color="auto" w:fill="auto"/>
            <w:vAlign w:val="center"/>
          </w:tcPr>
          <w:p w14:paraId="2243E0FF">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7C19A94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2752" w:type="dxa"/>
            <w:tcBorders>
              <w:top w:val="nil"/>
              <w:left w:val="nil"/>
              <w:bottom w:val="single" w:color="auto" w:sz="4" w:space="0"/>
              <w:right w:val="single" w:color="auto" w:sz="4" w:space="0"/>
            </w:tcBorders>
            <w:shd w:val="clear" w:color="auto" w:fill="auto"/>
            <w:vAlign w:val="center"/>
          </w:tcPr>
          <w:p w14:paraId="0DCAD875">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评价是否落实《重庆市财政局等</w:t>
            </w:r>
            <w:r>
              <w:rPr>
                <w:rFonts w:ascii="Arial Narrow" w:hAnsi="Arial Narrow" w:cs="宋体" w:eastAsiaTheme="minorEastAsia"/>
                <w:kern w:val="0"/>
                <w:sz w:val="16"/>
                <w:szCs w:val="16"/>
              </w:rPr>
              <w:t>6</w:t>
            </w:r>
            <w:r>
              <w:rPr>
                <w:rFonts w:hint="eastAsia" w:ascii="Arial Narrow" w:hAnsi="Arial Narrow" w:cs="宋体" w:eastAsiaTheme="minorEastAsia"/>
                <w:kern w:val="0"/>
                <w:sz w:val="16"/>
                <w:szCs w:val="16"/>
              </w:rPr>
              <w:t>部门关于加强财政衔接推进乡村振兴补助资金使用管理的实施意见》（渝财农〔</w:t>
            </w:r>
            <w:r>
              <w:rPr>
                <w:rFonts w:ascii="Arial Narrow" w:hAnsi="Arial Narrow" w:cs="宋体" w:eastAsiaTheme="minorEastAsia"/>
                <w:kern w:val="0"/>
                <w:sz w:val="16"/>
                <w:szCs w:val="16"/>
              </w:rPr>
              <w:t>2022</w:t>
            </w:r>
            <w:r>
              <w:rPr>
                <w:rFonts w:hint="eastAsia" w:ascii="Arial Narrow" w:hAnsi="Arial Narrow" w:cs="宋体" w:eastAsiaTheme="minorEastAsia"/>
                <w:kern w:val="0"/>
                <w:sz w:val="16"/>
                <w:szCs w:val="16"/>
              </w:rPr>
              <w:t>〕</w:t>
            </w:r>
            <w:r>
              <w:rPr>
                <w:rFonts w:ascii="Arial Narrow" w:hAnsi="Arial Narrow" w:cs="宋体" w:eastAsiaTheme="minorEastAsia"/>
                <w:kern w:val="0"/>
                <w:sz w:val="16"/>
                <w:szCs w:val="16"/>
              </w:rPr>
              <w:t>73</w:t>
            </w:r>
            <w:r>
              <w:rPr>
                <w:rFonts w:hint="eastAsia" w:ascii="Arial Narrow" w:hAnsi="Arial Narrow" w:cs="宋体" w:eastAsiaTheme="minorEastAsia"/>
                <w:kern w:val="0"/>
                <w:sz w:val="16"/>
                <w:szCs w:val="16"/>
              </w:rPr>
              <w:t>号）、《重庆市铜梁区财政衔接推进乡村振兴补助资金管理实施细则》（铜财〔</w:t>
            </w:r>
            <w:r>
              <w:rPr>
                <w:rFonts w:ascii="Arial Narrow" w:hAnsi="Arial Narrow" w:cs="宋体" w:eastAsiaTheme="minorEastAsia"/>
                <w:kern w:val="0"/>
                <w:sz w:val="16"/>
                <w:szCs w:val="16"/>
              </w:rPr>
              <w:t>2021</w:t>
            </w:r>
            <w:r>
              <w:rPr>
                <w:rFonts w:hint="eastAsia" w:ascii="Arial Narrow" w:hAnsi="Arial Narrow" w:cs="宋体" w:eastAsiaTheme="minorEastAsia"/>
                <w:kern w:val="0"/>
                <w:sz w:val="16"/>
                <w:szCs w:val="16"/>
              </w:rPr>
              <w:t>〕</w:t>
            </w:r>
            <w:r>
              <w:rPr>
                <w:rFonts w:ascii="Arial Narrow" w:hAnsi="Arial Narrow" w:cs="宋体" w:eastAsiaTheme="minorEastAsia"/>
                <w:kern w:val="0"/>
                <w:sz w:val="16"/>
                <w:szCs w:val="16"/>
              </w:rPr>
              <w:t>431</w:t>
            </w:r>
            <w:r>
              <w:rPr>
                <w:rFonts w:hint="eastAsia" w:ascii="Arial Narrow" w:hAnsi="Arial Narrow" w:cs="宋体" w:eastAsiaTheme="minorEastAsia"/>
                <w:kern w:val="0"/>
                <w:sz w:val="16"/>
                <w:szCs w:val="16"/>
              </w:rPr>
              <w:t>号）等相关政策性文件规定财政支持原则。</w:t>
            </w:r>
          </w:p>
        </w:tc>
        <w:tc>
          <w:tcPr>
            <w:tcW w:w="3603" w:type="dxa"/>
            <w:tcBorders>
              <w:top w:val="nil"/>
              <w:left w:val="nil"/>
              <w:bottom w:val="single" w:color="auto" w:sz="4" w:space="0"/>
              <w:right w:val="single" w:color="auto" w:sz="4" w:space="0"/>
            </w:tcBorders>
            <w:shd w:val="clear" w:color="auto" w:fill="auto"/>
            <w:vAlign w:val="center"/>
          </w:tcPr>
          <w:p w14:paraId="1C153F0D">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资金使用方向符合文件规定（</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p>
        </w:tc>
      </w:tr>
      <w:tr w14:paraId="1C230346">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3D020F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2</w:t>
            </w:r>
          </w:p>
        </w:tc>
        <w:tc>
          <w:tcPr>
            <w:tcW w:w="1016" w:type="dxa"/>
            <w:vMerge w:val="continue"/>
            <w:tcBorders>
              <w:top w:val="nil"/>
              <w:left w:val="single" w:color="auto" w:sz="4" w:space="0"/>
              <w:bottom w:val="single" w:color="auto" w:sz="4" w:space="0"/>
              <w:right w:val="single" w:color="auto" w:sz="4" w:space="0"/>
            </w:tcBorders>
            <w:vAlign w:val="center"/>
          </w:tcPr>
          <w:p w14:paraId="733495C9">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11929400">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5E0AC26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2752" w:type="dxa"/>
            <w:tcBorders>
              <w:top w:val="nil"/>
              <w:left w:val="nil"/>
              <w:bottom w:val="single" w:color="auto" w:sz="4" w:space="0"/>
              <w:right w:val="single" w:color="auto" w:sz="4" w:space="0"/>
            </w:tcBorders>
            <w:shd w:val="clear" w:color="auto" w:fill="auto"/>
            <w:vAlign w:val="center"/>
          </w:tcPr>
          <w:p w14:paraId="7E9D9002">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评价区级业务主管部门分解下达当年资金及次年提前批资金进度情况。</w:t>
            </w:r>
          </w:p>
        </w:tc>
        <w:tc>
          <w:tcPr>
            <w:tcW w:w="3603" w:type="dxa"/>
            <w:tcBorders>
              <w:top w:val="nil"/>
              <w:left w:val="nil"/>
              <w:bottom w:val="single" w:color="auto" w:sz="4" w:space="0"/>
              <w:right w:val="single" w:color="auto" w:sz="4" w:space="0"/>
            </w:tcBorders>
            <w:shd w:val="clear" w:color="auto" w:fill="auto"/>
            <w:vAlign w:val="center"/>
          </w:tcPr>
          <w:p w14:paraId="1773C4FF">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区财政局下达资金文件时间到区级业务主管部门下达项目及资金计划文件时间间隔≤</w:t>
            </w:r>
            <w:r>
              <w:rPr>
                <w:rFonts w:ascii="Arial Narrow" w:hAnsi="Arial Narrow" w:cs="宋体" w:eastAsiaTheme="minorEastAsia"/>
                <w:kern w:val="0"/>
                <w:sz w:val="16"/>
                <w:szCs w:val="16"/>
              </w:rPr>
              <w:t>30</w:t>
            </w:r>
            <w:r>
              <w:rPr>
                <w:rFonts w:hint="eastAsia" w:ascii="Arial Narrow" w:hAnsi="Arial Narrow" w:cs="宋体" w:eastAsiaTheme="minorEastAsia"/>
                <w:kern w:val="0"/>
                <w:sz w:val="16"/>
                <w:szCs w:val="16"/>
              </w:rPr>
              <w:t>日（</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w:t>
            </w:r>
          </w:p>
        </w:tc>
      </w:tr>
      <w:tr w14:paraId="0E448C1A">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3B9CDEC">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79E0F0D9">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项目管理（</w:t>
            </w:r>
            <w:r>
              <w:rPr>
                <w:rFonts w:ascii="Arial Narrow" w:hAnsi="Arial Narrow" w:cs="宋体" w:eastAsiaTheme="minorEastAsia"/>
                <w:kern w:val="0"/>
                <w:sz w:val="16"/>
                <w:szCs w:val="16"/>
              </w:rPr>
              <w:t>55</w:t>
            </w:r>
            <w:r>
              <w:rPr>
                <w:rFonts w:hint="eastAsia" w:ascii="Arial Narrow" w:hAnsi="Arial Narrow" w:cs="宋体" w:eastAsiaTheme="minorEastAsia"/>
                <w:kern w:val="0"/>
                <w:sz w:val="16"/>
                <w:szCs w:val="16"/>
              </w:rPr>
              <w:t>分）</w:t>
            </w:r>
          </w:p>
        </w:tc>
        <w:tc>
          <w:tcPr>
            <w:tcW w:w="1048" w:type="dxa"/>
            <w:tcBorders>
              <w:top w:val="nil"/>
              <w:left w:val="nil"/>
              <w:bottom w:val="single" w:color="auto" w:sz="4" w:space="0"/>
              <w:right w:val="single" w:color="auto" w:sz="4" w:space="0"/>
            </w:tcBorders>
            <w:shd w:val="clear" w:color="auto" w:fill="auto"/>
            <w:vAlign w:val="center"/>
          </w:tcPr>
          <w:p w14:paraId="163664CB">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BF07957">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nil"/>
              <w:right w:val="nil"/>
            </w:tcBorders>
            <w:shd w:val="clear" w:color="auto" w:fill="auto"/>
            <w:vAlign w:val="center"/>
          </w:tcPr>
          <w:p w14:paraId="7207BEF0">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评价落实《铜梁区巩固拓展脱贫攻坚成果和衔接乡村振兴项目库建设管理实施细则》（铜乡振〔</w:t>
            </w:r>
            <w:r>
              <w:rPr>
                <w:rFonts w:ascii="Arial Narrow" w:hAnsi="Arial Narrow" w:cs="宋体" w:eastAsiaTheme="minorEastAsia"/>
                <w:kern w:val="0"/>
                <w:sz w:val="16"/>
                <w:szCs w:val="16"/>
              </w:rPr>
              <w:t>2021</w:t>
            </w:r>
            <w:r>
              <w:rPr>
                <w:rFonts w:hint="eastAsia" w:ascii="Arial Narrow" w:hAnsi="Arial Narrow" w:cs="宋体" w:eastAsiaTheme="minorEastAsia"/>
                <w:kern w:val="0"/>
                <w:sz w:val="16"/>
                <w:szCs w:val="16"/>
              </w:rPr>
              <w:t>〕</w:t>
            </w:r>
            <w:r>
              <w:rPr>
                <w:rFonts w:ascii="Arial Narrow" w:hAnsi="Arial Narrow" w:cs="宋体" w:eastAsiaTheme="minorEastAsia"/>
                <w:kern w:val="0"/>
                <w:sz w:val="16"/>
                <w:szCs w:val="16"/>
              </w:rPr>
              <w:t>7</w:t>
            </w:r>
            <w:r>
              <w:rPr>
                <w:rFonts w:hint="eastAsia" w:ascii="Arial Narrow" w:hAnsi="Arial Narrow" w:cs="宋体" w:eastAsiaTheme="minorEastAsia"/>
                <w:kern w:val="0"/>
                <w:sz w:val="16"/>
                <w:szCs w:val="16"/>
              </w:rPr>
              <w:t>号）落实情况。根据抽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single" w:color="auto" w:sz="4" w:space="0"/>
              <w:bottom w:val="single" w:color="auto" w:sz="4" w:space="0"/>
              <w:right w:val="single" w:color="auto" w:sz="4" w:space="0"/>
            </w:tcBorders>
            <w:shd w:val="clear" w:color="auto" w:fill="auto"/>
            <w:vAlign w:val="center"/>
          </w:tcPr>
          <w:p w14:paraId="289A083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项目入库及时充分、程序规范、内容完整（</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入库项目具备实施条件（</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衔接资金用于项目库之外的项目（</w:t>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分）。</w:t>
            </w:r>
          </w:p>
        </w:tc>
      </w:tr>
      <w:tr w14:paraId="21E9CB66">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298317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4</w:t>
            </w:r>
          </w:p>
        </w:tc>
        <w:tc>
          <w:tcPr>
            <w:tcW w:w="1016" w:type="dxa"/>
            <w:vMerge w:val="continue"/>
            <w:tcBorders>
              <w:top w:val="nil"/>
              <w:left w:val="single" w:color="auto" w:sz="4" w:space="0"/>
              <w:bottom w:val="single" w:color="auto" w:sz="4" w:space="0"/>
              <w:right w:val="single" w:color="auto" w:sz="4" w:space="0"/>
            </w:tcBorders>
            <w:vAlign w:val="center"/>
          </w:tcPr>
          <w:p w14:paraId="2FC13478">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288308A5">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676B9A0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52" w:type="dxa"/>
            <w:tcBorders>
              <w:top w:val="single" w:color="auto" w:sz="4" w:space="0"/>
              <w:left w:val="nil"/>
              <w:bottom w:val="single" w:color="auto" w:sz="4" w:space="0"/>
              <w:right w:val="single" w:color="auto" w:sz="4" w:space="0"/>
            </w:tcBorders>
            <w:shd w:val="clear" w:color="auto" w:fill="auto"/>
            <w:vAlign w:val="center"/>
          </w:tcPr>
          <w:p w14:paraId="3D51EDFA">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评价具体项目实施方案明确绩效目标情况、开展跟踪监督绩效监控情况、事后评价情况等。根据抽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5AC04250">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及时制定绩效目标、审核绩效目标（</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开展绩效监控不少于</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次（</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对绩效目标偏离项目采取纠偏措施（</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项目实施完毕后立即开展绩效自评，并形成绩效自评报告及绩效自评表。（</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项目绩效是否达到预期。（</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p>
        </w:tc>
      </w:tr>
      <w:tr w14:paraId="3AB93896">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00A992">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1016" w:type="dxa"/>
            <w:vMerge w:val="continue"/>
            <w:tcBorders>
              <w:top w:val="nil"/>
              <w:left w:val="single" w:color="auto" w:sz="4" w:space="0"/>
              <w:bottom w:val="single" w:color="auto" w:sz="4" w:space="0"/>
              <w:right w:val="single" w:color="auto" w:sz="4" w:space="0"/>
            </w:tcBorders>
            <w:vAlign w:val="center"/>
          </w:tcPr>
          <w:p w14:paraId="29400550">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2E8222E">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104FE7FF">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2752" w:type="dxa"/>
            <w:tcBorders>
              <w:top w:val="nil"/>
              <w:left w:val="nil"/>
              <w:bottom w:val="single" w:color="auto" w:sz="4" w:space="0"/>
              <w:right w:val="single" w:color="auto" w:sz="4" w:space="0"/>
            </w:tcBorders>
            <w:shd w:val="clear" w:color="auto" w:fill="auto"/>
            <w:vAlign w:val="center"/>
          </w:tcPr>
          <w:p w14:paraId="29C0AE57">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评价有序推进项目前期工作、组织实施、项目验收、资料报送等情况。根据抽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02D3F57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项目实施方法存在变更是否按规定报批；（</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是否定期对项目实施情况进行监督检查，对检查中发现的问题进行整改；（</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是否按照项目实施节点按时提交项目报账资料；（</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日常管理资料是否及时归档整理；（</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项目完工后是否在规定时间内进行验收。（</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p>
        </w:tc>
      </w:tr>
      <w:tr w14:paraId="42FA1568">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511A249">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6</w:t>
            </w:r>
          </w:p>
        </w:tc>
        <w:tc>
          <w:tcPr>
            <w:tcW w:w="1016" w:type="dxa"/>
            <w:vMerge w:val="continue"/>
            <w:tcBorders>
              <w:top w:val="nil"/>
              <w:left w:val="single" w:color="auto" w:sz="4" w:space="0"/>
              <w:bottom w:val="single" w:color="auto" w:sz="4" w:space="0"/>
              <w:right w:val="single" w:color="auto" w:sz="4" w:space="0"/>
            </w:tcBorders>
            <w:vAlign w:val="center"/>
          </w:tcPr>
          <w:p w14:paraId="63264018">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4977EFA">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61064454">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2752" w:type="dxa"/>
            <w:tcBorders>
              <w:top w:val="nil"/>
              <w:left w:val="nil"/>
              <w:bottom w:val="single" w:color="auto" w:sz="4" w:space="0"/>
              <w:right w:val="single" w:color="auto" w:sz="4" w:space="0"/>
            </w:tcBorders>
            <w:shd w:val="clear" w:color="auto" w:fill="auto"/>
            <w:vAlign w:val="center"/>
          </w:tcPr>
          <w:p w14:paraId="63755FB4">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评价有序推进项目工作和资金支付情况。根据抽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31B52C0B">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主要通过支出进度评价有序推进项目工作和资金支付情况，于</w:t>
            </w:r>
            <w:r>
              <w:rPr>
                <w:rFonts w:ascii="Arial Narrow" w:hAnsi="Arial Narrow" w:cs="宋体" w:eastAsiaTheme="minorEastAsia"/>
                <w:kern w:val="0"/>
                <w:sz w:val="16"/>
                <w:szCs w:val="16"/>
              </w:rPr>
              <w:t>7</w:t>
            </w:r>
            <w:r>
              <w:rPr>
                <w:rFonts w:hint="eastAsia" w:ascii="Arial Narrow" w:hAnsi="Arial Narrow" w:cs="宋体" w:eastAsiaTheme="minorEastAsia"/>
                <w:kern w:val="0"/>
                <w:sz w:val="16"/>
                <w:szCs w:val="16"/>
              </w:rPr>
              <w:t>月末、</w:t>
            </w:r>
            <w:r>
              <w:rPr>
                <w:rFonts w:ascii="Arial Narrow" w:hAnsi="Arial Narrow" w:cs="宋体" w:eastAsiaTheme="minorEastAsia"/>
                <w:kern w:val="0"/>
                <w:sz w:val="16"/>
                <w:szCs w:val="16"/>
              </w:rPr>
              <w:t>10</w:t>
            </w:r>
            <w:r>
              <w:rPr>
                <w:rFonts w:hint="eastAsia" w:ascii="Arial Narrow" w:hAnsi="Arial Narrow" w:cs="宋体" w:eastAsiaTheme="minorEastAsia"/>
                <w:kern w:val="0"/>
                <w:sz w:val="16"/>
                <w:szCs w:val="16"/>
              </w:rPr>
              <w:t>月中旬定期调度。</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1.7</w:t>
            </w:r>
            <w:r>
              <w:rPr>
                <w:rFonts w:hint="eastAsia" w:ascii="Arial Narrow" w:hAnsi="Arial Narrow" w:cs="宋体" w:eastAsiaTheme="minorEastAsia"/>
                <w:kern w:val="0"/>
                <w:sz w:val="16"/>
                <w:szCs w:val="16"/>
              </w:rPr>
              <w:t>月末支出进度评分</w:t>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2.10</w:t>
            </w:r>
            <w:r>
              <w:rPr>
                <w:rFonts w:hint="eastAsia" w:ascii="Arial Narrow" w:hAnsi="Arial Narrow" w:cs="宋体" w:eastAsiaTheme="minorEastAsia"/>
                <w:kern w:val="0"/>
                <w:sz w:val="16"/>
                <w:szCs w:val="16"/>
              </w:rPr>
              <w:t>月中旬支出进度评分</w:t>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分。资金支出进度达到全区平均进度或者序时进度的，得满分；未达到的按照与序时进度的比例扣分；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3.10</w:t>
            </w:r>
            <w:r>
              <w:rPr>
                <w:rFonts w:hint="eastAsia" w:ascii="Arial Narrow" w:hAnsi="Arial Narrow" w:cs="宋体" w:eastAsiaTheme="minorEastAsia"/>
                <w:kern w:val="0"/>
                <w:sz w:val="16"/>
                <w:szCs w:val="16"/>
              </w:rPr>
              <w:t>月底的资金预算执行率达到</w:t>
            </w:r>
            <w:r>
              <w:rPr>
                <w:rFonts w:ascii="Arial Narrow" w:hAnsi="Arial Narrow" w:cs="宋体" w:eastAsiaTheme="minorEastAsia"/>
                <w:kern w:val="0"/>
                <w:sz w:val="16"/>
                <w:szCs w:val="16"/>
              </w:rPr>
              <w:t>100%,</w:t>
            </w:r>
            <w:r>
              <w:rPr>
                <w:rFonts w:hint="eastAsia" w:ascii="Arial Narrow" w:hAnsi="Arial Narrow" w:cs="宋体" w:eastAsiaTheme="minorEastAsia"/>
                <w:kern w:val="0"/>
                <w:sz w:val="16"/>
                <w:szCs w:val="16"/>
              </w:rPr>
              <w:t>得</w:t>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分，没达到不得分；</w:t>
            </w:r>
            <w:r>
              <w:rPr>
                <w:rFonts w:ascii="Arial Narrow" w:hAnsi="Arial Narrow" w:cs="宋体" w:eastAsiaTheme="minorEastAsia"/>
                <w:kern w:val="0"/>
                <w:sz w:val="16"/>
                <w:szCs w:val="16"/>
              </w:rPr>
              <w:t>11</w:t>
            </w:r>
            <w:r>
              <w:rPr>
                <w:rFonts w:hint="eastAsia" w:ascii="Arial Narrow" w:hAnsi="Arial Narrow" w:cs="宋体" w:eastAsiaTheme="minorEastAsia"/>
                <w:kern w:val="0"/>
                <w:sz w:val="16"/>
                <w:szCs w:val="16"/>
              </w:rPr>
              <w:t>月中旬资金预算执行率达到</w:t>
            </w:r>
            <w:r>
              <w:rPr>
                <w:rFonts w:ascii="Arial Narrow" w:hAnsi="Arial Narrow" w:cs="宋体" w:eastAsiaTheme="minorEastAsia"/>
                <w:kern w:val="0"/>
                <w:sz w:val="16"/>
                <w:szCs w:val="16"/>
              </w:rPr>
              <w:t>100%,</w:t>
            </w:r>
            <w:r>
              <w:rPr>
                <w:rFonts w:hint="eastAsia" w:ascii="Arial Narrow" w:hAnsi="Arial Narrow" w:cs="宋体" w:eastAsiaTheme="minorEastAsia"/>
                <w:kern w:val="0"/>
                <w:sz w:val="16"/>
                <w:szCs w:val="16"/>
              </w:rPr>
              <w:t>得</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分，没达到不得分；</w:t>
            </w:r>
            <w:r>
              <w:rPr>
                <w:rFonts w:ascii="Arial Narrow" w:hAnsi="Arial Narrow" w:cs="宋体" w:eastAsiaTheme="minorEastAsia"/>
                <w:kern w:val="0"/>
                <w:sz w:val="16"/>
                <w:szCs w:val="16"/>
              </w:rPr>
              <w:t>12</w:t>
            </w:r>
            <w:r>
              <w:rPr>
                <w:rFonts w:hint="eastAsia" w:ascii="Arial Narrow" w:hAnsi="Arial Narrow" w:cs="宋体" w:eastAsiaTheme="minorEastAsia"/>
                <w:kern w:val="0"/>
                <w:sz w:val="16"/>
                <w:szCs w:val="16"/>
              </w:rPr>
              <w:t>月中旬的资金预算执行率达到</w:t>
            </w:r>
            <w:r>
              <w:rPr>
                <w:rFonts w:ascii="Arial Narrow" w:hAnsi="Arial Narrow" w:cs="宋体" w:eastAsiaTheme="minorEastAsia"/>
                <w:kern w:val="0"/>
                <w:sz w:val="16"/>
                <w:szCs w:val="16"/>
              </w:rPr>
              <w:t>100%,</w:t>
            </w:r>
            <w:r>
              <w:rPr>
                <w:rFonts w:hint="eastAsia" w:ascii="Arial Narrow" w:hAnsi="Arial Narrow" w:cs="宋体" w:eastAsiaTheme="minorEastAsia"/>
                <w:kern w:val="0"/>
                <w:sz w:val="16"/>
                <w:szCs w:val="16"/>
              </w:rPr>
              <w:t>得</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分，没达到不得分；</w:t>
            </w:r>
            <w:r>
              <w:rPr>
                <w:rFonts w:ascii="Arial Narrow" w:hAnsi="Arial Narrow" w:cs="宋体" w:eastAsiaTheme="minorEastAsia"/>
                <w:kern w:val="0"/>
                <w:sz w:val="16"/>
                <w:szCs w:val="16"/>
              </w:rPr>
              <w:t>12</w:t>
            </w:r>
            <w:r>
              <w:rPr>
                <w:rFonts w:hint="eastAsia" w:ascii="Arial Narrow" w:hAnsi="Arial Narrow" w:cs="宋体" w:eastAsiaTheme="minorEastAsia"/>
                <w:kern w:val="0"/>
                <w:sz w:val="16"/>
                <w:szCs w:val="16"/>
              </w:rPr>
              <w:t>月中旬及以后预算执行率达到</w:t>
            </w:r>
            <w:r>
              <w:rPr>
                <w:rFonts w:ascii="Arial Narrow" w:hAnsi="Arial Narrow" w:cs="宋体" w:eastAsiaTheme="minorEastAsia"/>
                <w:kern w:val="0"/>
                <w:sz w:val="16"/>
                <w:szCs w:val="16"/>
              </w:rPr>
              <w:t>100%</w:t>
            </w:r>
            <w:r>
              <w:rPr>
                <w:rFonts w:hint="eastAsia" w:ascii="Arial Narrow" w:hAnsi="Arial Narrow" w:cs="宋体" w:eastAsiaTheme="minorEastAsia"/>
                <w:kern w:val="0"/>
                <w:sz w:val="16"/>
                <w:szCs w:val="16"/>
              </w:rPr>
              <w:t>，得</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分，没达到不得分；</w:t>
            </w:r>
            <w:r>
              <w:rPr>
                <w:rFonts w:ascii="Arial Narrow" w:hAnsi="Arial Narrow" w:cs="宋体" w:eastAsiaTheme="minorEastAsia"/>
                <w:kern w:val="0"/>
                <w:sz w:val="16"/>
                <w:szCs w:val="16"/>
              </w:rPr>
              <w:t>12</w:t>
            </w:r>
            <w:r>
              <w:rPr>
                <w:rFonts w:hint="eastAsia" w:ascii="Arial Narrow" w:hAnsi="Arial Narrow" w:cs="宋体" w:eastAsiaTheme="minorEastAsia"/>
                <w:kern w:val="0"/>
                <w:sz w:val="16"/>
                <w:szCs w:val="16"/>
              </w:rPr>
              <w:t>月底预算执行率未达到</w:t>
            </w:r>
            <w:r>
              <w:rPr>
                <w:rFonts w:ascii="Arial Narrow" w:hAnsi="Arial Narrow" w:cs="宋体" w:eastAsiaTheme="minorEastAsia"/>
                <w:kern w:val="0"/>
                <w:sz w:val="16"/>
                <w:szCs w:val="16"/>
              </w:rPr>
              <w:t>100%</w:t>
            </w:r>
            <w:r>
              <w:rPr>
                <w:rFonts w:hint="eastAsia" w:ascii="Arial Narrow" w:hAnsi="Arial Narrow" w:cs="宋体" w:eastAsiaTheme="minorEastAsia"/>
                <w:kern w:val="0"/>
                <w:sz w:val="16"/>
                <w:szCs w:val="16"/>
              </w:rPr>
              <w:t>，扣</w:t>
            </w:r>
            <w:r>
              <w:rPr>
                <w:rFonts w:ascii="Arial Narrow" w:hAnsi="Arial Narrow" w:cs="宋体" w:eastAsiaTheme="minorEastAsia"/>
                <w:kern w:val="0"/>
                <w:sz w:val="16"/>
                <w:szCs w:val="16"/>
              </w:rPr>
              <w:t>12</w:t>
            </w:r>
            <w:r>
              <w:rPr>
                <w:rFonts w:hint="eastAsia" w:ascii="Arial Narrow" w:hAnsi="Arial Narrow" w:cs="宋体" w:eastAsiaTheme="minorEastAsia"/>
                <w:kern w:val="0"/>
                <w:sz w:val="16"/>
                <w:szCs w:val="16"/>
              </w:rPr>
              <w:t>分。</w:t>
            </w:r>
          </w:p>
        </w:tc>
      </w:tr>
      <w:tr w14:paraId="39CF2E16">
        <w:tblPrEx>
          <w:tblCellMar>
            <w:top w:w="0" w:type="dxa"/>
            <w:left w:w="108" w:type="dxa"/>
            <w:bottom w:w="0" w:type="dxa"/>
            <w:right w:w="108" w:type="dxa"/>
          </w:tblCellMar>
        </w:tblPrEx>
        <w:trPr>
          <w:cantSplit/>
          <w:trHeight w:val="2165"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2BCE47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7</w:t>
            </w:r>
          </w:p>
        </w:tc>
        <w:tc>
          <w:tcPr>
            <w:tcW w:w="1016" w:type="dxa"/>
            <w:vMerge w:val="continue"/>
            <w:tcBorders>
              <w:top w:val="single" w:color="auto" w:sz="4" w:space="0"/>
              <w:left w:val="single" w:color="auto" w:sz="4" w:space="0"/>
              <w:bottom w:val="single" w:color="auto" w:sz="4" w:space="0"/>
              <w:right w:val="single" w:color="auto" w:sz="4" w:space="0"/>
            </w:tcBorders>
            <w:vAlign w:val="center"/>
          </w:tcPr>
          <w:p w14:paraId="61FA507A">
            <w:pPr>
              <w:widowControl/>
              <w:jc w:val="left"/>
              <w:rPr>
                <w:rFonts w:ascii="Arial Narrow" w:hAnsi="Arial Narrow" w:cs="宋体" w:eastAsiaTheme="minorEastAsia"/>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4516541E">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跟踪督促及发现问题整改情况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547966C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2752" w:type="dxa"/>
            <w:tcBorders>
              <w:top w:val="single" w:color="auto" w:sz="4" w:space="0"/>
              <w:left w:val="nil"/>
              <w:bottom w:val="single" w:color="auto" w:sz="4" w:space="0"/>
              <w:right w:val="single" w:color="auto" w:sz="4" w:space="0"/>
            </w:tcBorders>
            <w:shd w:val="clear" w:color="auto" w:fill="auto"/>
            <w:vAlign w:val="center"/>
          </w:tcPr>
          <w:p w14:paraId="54C61C1A">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评价定期开展监督检查情况、发现问题整改情况。根据未处理问题比例扣减。根据抽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single" w:color="auto" w:sz="4" w:space="0"/>
              <w:left w:val="nil"/>
              <w:bottom w:val="single" w:color="auto" w:sz="4" w:space="0"/>
              <w:right w:val="single" w:color="auto" w:sz="4" w:space="0"/>
            </w:tcBorders>
            <w:shd w:val="clear" w:color="auto" w:fill="auto"/>
            <w:vAlign w:val="center"/>
          </w:tcPr>
          <w:p w14:paraId="55A5C096">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定期开展项目实施和资金支出进度等跟踪督促情况，落实到位的得</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分，未完全落实到位的酌情扣分；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跟踪督促及各类检查发现问题整改到位情况，满分</w:t>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分，根据未整改问题比例扣减；</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全国</w:t>
            </w:r>
            <w:r>
              <w:rPr>
                <w:rFonts w:ascii="Arial Narrow" w:hAnsi="Arial Narrow" w:cs="宋体" w:eastAsiaTheme="minorEastAsia"/>
                <w:kern w:val="0"/>
                <w:sz w:val="16"/>
                <w:szCs w:val="16"/>
              </w:rPr>
              <w:t>12317</w:t>
            </w:r>
            <w:r>
              <w:rPr>
                <w:rFonts w:hint="eastAsia" w:ascii="Arial Narrow" w:hAnsi="Arial Narrow" w:cs="宋体" w:eastAsiaTheme="minorEastAsia"/>
                <w:kern w:val="0"/>
                <w:sz w:val="16"/>
                <w:szCs w:val="16"/>
              </w:rPr>
              <w:t>防止返贫监测和乡村振兴咨询服务平台（简称</w:t>
            </w:r>
            <w:r>
              <w:rPr>
                <w:rFonts w:ascii="Arial Narrow" w:hAnsi="Arial Narrow" w:cs="宋体" w:eastAsiaTheme="minorEastAsia"/>
                <w:kern w:val="0"/>
                <w:sz w:val="16"/>
                <w:szCs w:val="16"/>
              </w:rPr>
              <w:t>12317</w:t>
            </w:r>
            <w:r>
              <w:rPr>
                <w:rFonts w:hint="eastAsia" w:ascii="Arial Narrow" w:hAnsi="Arial Narrow" w:cs="宋体" w:eastAsiaTheme="minorEastAsia"/>
                <w:kern w:val="0"/>
                <w:sz w:val="16"/>
                <w:szCs w:val="16"/>
              </w:rPr>
              <w:t>平台）反馈问题处理情况，满分</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p>
        </w:tc>
      </w:tr>
      <w:tr w14:paraId="36B0D5E3">
        <w:tblPrEx>
          <w:tblCellMar>
            <w:top w:w="0" w:type="dxa"/>
            <w:left w:w="108" w:type="dxa"/>
            <w:bottom w:w="0" w:type="dxa"/>
            <w:right w:w="108" w:type="dxa"/>
          </w:tblCellMar>
        </w:tblPrEx>
        <w:trPr>
          <w:cantSplit/>
          <w:trHeight w:val="804" w:hRule="atLeast"/>
        </w:trPr>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65EAC943">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8</w:t>
            </w:r>
          </w:p>
        </w:tc>
        <w:tc>
          <w:tcPr>
            <w:tcW w:w="1016" w:type="dxa"/>
            <w:vMerge w:val="continue"/>
            <w:tcBorders>
              <w:top w:val="single" w:color="auto" w:sz="4" w:space="0"/>
              <w:left w:val="single" w:color="auto" w:sz="4" w:space="0"/>
              <w:bottom w:val="single" w:color="auto" w:sz="4" w:space="0"/>
              <w:right w:val="single" w:color="auto" w:sz="4" w:space="0"/>
            </w:tcBorders>
            <w:vAlign w:val="center"/>
          </w:tcPr>
          <w:p w14:paraId="03A31D44">
            <w:pPr>
              <w:widowControl/>
              <w:jc w:val="left"/>
              <w:rPr>
                <w:rFonts w:ascii="Arial Narrow" w:hAnsi="Arial Narrow" w:cs="宋体" w:eastAsiaTheme="minorEastAsia"/>
                <w:kern w:val="0"/>
                <w:sz w:val="16"/>
                <w:szCs w:val="16"/>
              </w:rPr>
            </w:pPr>
          </w:p>
        </w:tc>
        <w:tc>
          <w:tcPr>
            <w:tcW w:w="1048" w:type="dxa"/>
            <w:tcBorders>
              <w:top w:val="single" w:color="auto" w:sz="4" w:space="0"/>
              <w:left w:val="nil"/>
              <w:bottom w:val="single" w:color="auto" w:sz="4" w:space="0"/>
              <w:right w:val="single" w:color="auto" w:sz="4" w:space="0"/>
            </w:tcBorders>
            <w:shd w:val="clear" w:color="auto" w:fill="auto"/>
            <w:vAlign w:val="center"/>
          </w:tcPr>
          <w:p w14:paraId="4129F848">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账务处理及档案管理等情况</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026A1C90">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single" w:color="auto" w:sz="4" w:space="0"/>
              <w:left w:val="nil"/>
              <w:bottom w:val="single" w:color="auto" w:sz="4" w:space="0"/>
              <w:right w:val="single" w:color="auto" w:sz="4" w:space="0"/>
            </w:tcBorders>
            <w:shd w:val="clear" w:color="auto" w:fill="auto"/>
            <w:vAlign w:val="center"/>
          </w:tcPr>
          <w:p w14:paraId="633F0132">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评价账务处理，资产转固，收益管理、档案管理等情况。根据抽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single" w:color="auto" w:sz="4" w:space="0"/>
              <w:left w:val="nil"/>
              <w:bottom w:val="single" w:color="auto" w:sz="4" w:space="0"/>
              <w:right w:val="single" w:color="auto" w:sz="4" w:space="0"/>
            </w:tcBorders>
            <w:shd w:val="clear" w:color="auto" w:fill="auto"/>
            <w:vAlign w:val="center"/>
          </w:tcPr>
          <w:p w14:paraId="07BD9B98">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财务处理是否规范，原始凭证是否齐全，建成资产是否及时转固、收益管理是否合规；（</w:t>
            </w:r>
            <w:r>
              <w:rPr>
                <w:rFonts w:ascii="Arial Narrow" w:hAnsi="Arial Narrow" w:cs="宋体" w:eastAsiaTheme="minorEastAsia"/>
                <w:kern w:val="0"/>
                <w:sz w:val="16"/>
                <w:szCs w:val="16"/>
              </w:rPr>
              <w:t>4</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档案管理是否完整、合规、真实。（</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w:t>
            </w:r>
          </w:p>
        </w:tc>
      </w:tr>
      <w:tr w14:paraId="5804F249">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707F005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1016" w:type="dxa"/>
            <w:vMerge w:val="continue"/>
            <w:tcBorders>
              <w:top w:val="nil"/>
              <w:left w:val="single" w:color="auto" w:sz="4" w:space="0"/>
              <w:bottom w:val="single" w:color="auto" w:sz="4" w:space="0"/>
              <w:right w:val="single" w:color="auto" w:sz="4" w:space="0"/>
            </w:tcBorders>
            <w:vAlign w:val="center"/>
          </w:tcPr>
          <w:p w14:paraId="426FB771">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782B88C3">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6000165">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9</w:t>
            </w:r>
          </w:p>
        </w:tc>
        <w:tc>
          <w:tcPr>
            <w:tcW w:w="2752" w:type="dxa"/>
            <w:tcBorders>
              <w:top w:val="nil"/>
              <w:left w:val="nil"/>
              <w:bottom w:val="single" w:color="auto" w:sz="4" w:space="0"/>
              <w:right w:val="single" w:color="auto" w:sz="4" w:space="0"/>
            </w:tcBorders>
            <w:shd w:val="clear" w:color="auto" w:fill="auto"/>
            <w:vAlign w:val="center"/>
          </w:tcPr>
          <w:p w14:paraId="5E24DA48">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评价区级、镇级、村级落实《铜梁区财政衔接推进乡村振兴补助资金项目公告公示实施办法》（铜委农办〔</w:t>
            </w:r>
            <w:r>
              <w:rPr>
                <w:rFonts w:ascii="Arial Narrow" w:hAnsi="Arial Narrow" w:cs="宋体" w:eastAsiaTheme="minorEastAsia"/>
                <w:kern w:val="0"/>
                <w:sz w:val="16"/>
                <w:szCs w:val="16"/>
              </w:rPr>
              <w:t>2021</w:t>
            </w:r>
            <w:r>
              <w:rPr>
                <w:rFonts w:hint="eastAsia" w:ascii="Arial Narrow" w:hAnsi="Arial Narrow" w:cs="宋体" w:eastAsiaTheme="minorEastAsia"/>
                <w:kern w:val="0"/>
                <w:sz w:val="16"/>
                <w:szCs w:val="16"/>
              </w:rPr>
              <w:t>〕</w:t>
            </w:r>
            <w:r>
              <w:rPr>
                <w:rFonts w:ascii="Arial Narrow" w:hAnsi="Arial Narrow" w:cs="宋体" w:eastAsiaTheme="minorEastAsia"/>
                <w:kern w:val="0"/>
                <w:sz w:val="16"/>
                <w:szCs w:val="16"/>
              </w:rPr>
              <w:t>19</w:t>
            </w:r>
            <w:r>
              <w:rPr>
                <w:rFonts w:hint="eastAsia" w:ascii="Arial Narrow" w:hAnsi="Arial Narrow" w:cs="宋体" w:eastAsiaTheme="minorEastAsia"/>
                <w:kern w:val="0"/>
                <w:sz w:val="16"/>
                <w:szCs w:val="16"/>
              </w:rPr>
              <w:t>号）文件要求情况。根据抽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5F022D8F">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分区级、镇级、村级进行评价。</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抽查区级公示公开情况，满分</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抽查镇级公示公开情况，满分</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分，未完整公开酌情扣分；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抽查村级公示公开情况，满分</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分，未完整公开酌情扣分。</w:t>
            </w:r>
          </w:p>
        </w:tc>
      </w:tr>
      <w:tr w14:paraId="3CFB92FE">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B9DDEF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40380458">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使用成效及通报情况（</w:t>
            </w:r>
            <w:r>
              <w:rPr>
                <w:rFonts w:ascii="Arial Narrow" w:hAnsi="Arial Narrow" w:cs="宋体" w:eastAsiaTheme="minorEastAsia"/>
                <w:kern w:val="0"/>
                <w:sz w:val="16"/>
                <w:szCs w:val="16"/>
              </w:rPr>
              <w:t>40</w:t>
            </w:r>
            <w:r>
              <w:rPr>
                <w:rFonts w:hint="eastAsia" w:ascii="Arial Narrow" w:hAnsi="Arial Narrow" w:cs="宋体" w:eastAsiaTheme="minorEastAsia"/>
                <w:kern w:val="0"/>
                <w:sz w:val="16"/>
                <w:szCs w:val="16"/>
              </w:rPr>
              <w:t>分）</w:t>
            </w:r>
          </w:p>
        </w:tc>
        <w:tc>
          <w:tcPr>
            <w:tcW w:w="1048" w:type="dxa"/>
            <w:tcBorders>
              <w:top w:val="nil"/>
              <w:left w:val="nil"/>
              <w:bottom w:val="single" w:color="auto" w:sz="4" w:space="0"/>
              <w:right w:val="single" w:color="auto" w:sz="4" w:space="0"/>
            </w:tcBorders>
            <w:shd w:val="clear" w:color="auto" w:fill="auto"/>
            <w:vAlign w:val="center"/>
          </w:tcPr>
          <w:p w14:paraId="23DF8FAA">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70883DE1">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35</w:t>
            </w:r>
          </w:p>
        </w:tc>
        <w:tc>
          <w:tcPr>
            <w:tcW w:w="2752" w:type="dxa"/>
            <w:tcBorders>
              <w:top w:val="nil"/>
              <w:left w:val="nil"/>
              <w:bottom w:val="single" w:color="auto" w:sz="4" w:space="0"/>
              <w:right w:val="single" w:color="auto" w:sz="4" w:space="0"/>
            </w:tcBorders>
            <w:shd w:val="clear" w:color="auto" w:fill="auto"/>
            <w:vAlign w:val="center"/>
          </w:tcPr>
          <w:p w14:paraId="61B93D53">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评价项目是否达到预期成效，后续管护是否存在问题等。根据抽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情况赋分。</w:t>
            </w:r>
          </w:p>
        </w:tc>
        <w:tc>
          <w:tcPr>
            <w:tcW w:w="3603" w:type="dxa"/>
            <w:tcBorders>
              <w:top w:val="nil"/>
              <w:left w:val="nil"/>
              <w:bottom w:val="single" w:color="auto" w:sz="4" w:space="0"/>
              <w:right w:val="single" w:color="auto" w:sz="4" w:space="0"/>
            </w:tcBorders>
            <w:shd w:val="clear" w:color="auto" w:fill="auto"/>
            <w:vAlign w:val="center"/>
          </w:tcPr>
          <w:p w14:paraId="13F9987C">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cs="宋体" w:eastAsiaTheme="minorEastAsia"/>
                <w:kern w:val="0"/>
                <w:sz w:val="16"/>
                <w:szCs w:val="16"/>
              </w:rPr>
              <w:br w:type="textWrapping"/>
            </w:r>
            <w:r>
              <w:rPr>
                <w:rFonts w:hint="eastAsia" w:ascii="Arial Narrow" w:hAnsi="Arial Narrow" w:cs="宋体" w:eastAsiaTheme="minorEastAsia"/>
                <w:kern w:val="0"/>
                <w:sz w:val="16"/>
                <w:szCs w:val="16"/>
              </w:rPr>
              <w:t>满分</w:t>
            </w:r>
            <w:r>
              <w:rPr>
                <w:rFonts w:ascii="Arial Narrow" w:hAnsi="Arial Narrow" w:cs="宋体" w:eastAsiaTheme="minorEastAsia"/>
                <w:kern w:val="0"/>
                <w:sz w:val="16"/>
                <w:szCs w:val="16"/>
              </w:rPr>
              <w:t>35</w:t>
            </w:r>
            <w:r>
              <w:rPr>
                <w:rFonts w:hint="eastAsia" w:ascii="Arial Narrow" w:hAnsi="Arial Narrow" w:cs="宋体" w:eastAsiaTheme="minorEastAsia"/>
                <w:kern w:val="0"/>
                <w:sz w:val="16"/>
                <w:szCs w:val="16"/>
              </w:rPr>
              <w:t>分，根据抽</w:t>
            </w:r>
            <w:r>
              <w:rPr>
                <w:rFonts w:hint="eastAsia" w:ascii="Arial Narrow" w:hAnsi="Arial Narrow" w:cs="宋体" w:eastAsiaTheme="minorEastAsia"/>
                <w:kern w:val="0"/>
                <w:sz w:val="16"/>
                <w:szCs w:val="16"/>
                <w:lang w:eastAsia="zh-CN"/>
              </w:rPr>
              <w:t>查</w:t>
            </w:r>
            <w:r>
              <w:rPr>
                <w:rFonts w:hint="eastAsia" w:ascii="Arial Narrow" w:hAnsi="Arial Narrow" w:cs="宋体" w:eastAsiaTheme="minorEastAsia"/>
                <w:kern w:val="0"/>
                <w:sz w:val="16"/>
                <w:szCs w:val="16"/>
              </w:rPr>
              <w:t>项目情况赋分。项目管理各环节，每存在一例不符合相关规定的，扣</w:t>
            </w:r>
            <w:r>
              <w:rPr>
                <w:rFonts w:ascii="Arial Narrow" w:hAnsi="Arial Narrow" w:cs="宋体" w:eastAsiaTheme="minorEastAsia"/>
                <w:kern w:val="0"/>
                <w:sz w:val="16"/>
                <w:szCs w:val="16"/>
              </w:rPr>
              <w:t>0.5</w:t>
            </w:r>
            <w:r>
              <w:rPr>
                <w:rFonts w:hint="eastAsia" w:ascii="Arial Narrow" w:hAnsi="Arial Narrow" w:cs="宋体" w:eastAsiaTheme="minorEastAsia"/>
                <w:kern w:val="0"/>
                <w:sz w:val="16"/>
                <w:szCs w:val="16"/>
              </w:rPr>
              <w:t>分，扣完为止。</w:t>
            </w:r>
          </w:p>
        </w:tc>
      </w:tr>
      <w:tr w14:paraId="3C1960A4">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039F1D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11</w:t>
            </w:r>
          </w:p>
        </w:tc>
        <w:tc>
          <w:tcPr>
            <w:tcW w:w="1016" w:type="dxa"/>
            <w:vMerge w:val="continue"/>
            <w:tcBorders>
              <w:top w:val="nil"/>
              <w:left w:val="single" w:color="auto" w:sz="4" w:space="0"/>
              <w:bottom w:val="single" w:color="auto" w:sz="4" w:space="0"/>
              <w:right w:val="single" w:color="auto" w:sz="4" w:space="0"/>
            </w:tcBorders>
            <w:vAlign w:val="center"/>
          </w:tcPr>
          <w:p w14:paraId="0BAC7E5C">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62FD1087">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7DDB5896">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single" w:color="auto" w:sz="4" w:space="0"/>
              <w:right w:val="single" w:color="auto" w:sz="4" w:space="0"/>
            </w:tcBorders>
            <w:shd w:val="clear" w:color="auto" w:fill="auto"/>
            <w:vAlign w:val="center"/>
          </w:tcPr>
          <w:p w14:paraId="7EE85EDD">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评价日常表现情况。</w:t>
            </w:r>
          </w:p>
        </w:tc>
        <w:tc>
          <w:tcPr>
            <w:tcW w:w="3603" w:type="dxa"/>
            <w:tcBorders>
              <w:top w:val="nil"/>
              <w:left w:val="nil"/>
              <w:bottom w:val="single" w:color="auto" w:sz="4" w:space="0"/>
              <w:right w:val="single" w:color="auto" w:sz="4" w:space="0"/>
            </w:tcBorders>
            <w:shd w:val="clear" w:color="auto" w:fill="auto"/>
            <w:vAlign w:val="center"/>
          </w:tcPr>
          <w:p w14:paraId="51D07A8D">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主要为区级业务主管部门、区财政局、市级检查等项目进度、资金进度、发现问题情况的通报或问题反馈。被通报或有问题反馈等情况，每发生一次，扣</w:t>
            </w: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分，满分</w:t>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分，扣完为止。</w:t>
            </w:r>
          </w:p>
        </w:tc>
      </w:tr>
      <w:tr w14:paraId="33D493C0">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7D3E9A">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12</w:t>
            </w:r>
          </w:p>
        </w:tc>
        <w:tc>
          <w:tcPr>
            <w:tcW w:w="1016" w:type="dxa"/>
            <w:vMerge w:val="restart"/>
            <w:tcBorders>
              <w:top w:val="nil"/>
              <w:left w:val="single" w:color="auto" w:sz="4" w:space="0"/>
              <w:bottom w:val="single" w:color="000000" w:sz="4" w:space="0"/>
              <w:right w:val="single" w:color="auto" w:sz="4" w:space="0"/>
            </w:tcBorders>
            <w:shd w:val="clear" w:color="auto" w:fill="auto"/>
            <w:vAlign w:val="center"/>
          </w:tcPr>
          <w:p w14:paraId="2B94DFBA">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加减分指标</w:t>
            </w:r>
          </w:p>
        </w:tc>
        <w:tc>
          <w:tcPr>
            <w:tcW w:w="1048" w:type="dxa"/>
            <w:tcBorders>
              <w:top w:val="nil"/>
              <w:left w:val="nil"/>
              <w:bottom w:val="single" w:color="auto" w:sz="4" w:space="0"/>
              <w:right w:val="single" w:color="auto" w:sz="4" w:space="0"/>
            </w:tcBorders>
            <w:shd w:val="clear" w:color="auto" w:fill="auto"/>
            <w:vAlign w:val="center"/>
          </w:tcPr>
          <w:p w14:paraId="353830AE">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11D3F39B">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5</w:t>
            </w:r>
          </w:p>
        </w:tc>
        <w:tc>
          <w:tcPr>
            <w:tcW w:w="2752" w:type="dxa"/>
            <w:tcBorders>
              <w:top w:val="nil"/>
              <w:left w:val="nil"/>
              <w:bottom w:val="single" w:color="auto" w:sz="4" w:space="0"/>
              <w:right w:val="single" w:color="auto" w:sz="4" w:space="0"/>
            </w:tcBorders>
            <w:shd w:val="clear" w:color="auto" w:fill="auto"/>
            <w:vAlign w:val="center"/>
          </w:tcPr>
          <w:p w14:paraId="72EB052D">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评价机制创新情况。最高加</w:t>
            </w:r>
            <w:r>
              <w:rPr>
                <w:rFonts w:ascii="Arial Narrow" w:hAnsi="Arial Narrow" w:cs="宋体" w:eastAsiaTheme="minorEastAsia"/>
                <w:kern w:val="0"/>
                <w:sz w:val="16"/>
                <w:szCs w:val="16"/>
              </w:rPr>
              <w:t>5</w:t>
            </w:r>
            <w:r>
              <w:rPr>
                <w:rFonts w:hint="eastAsia" w:ascii="Arial Narrow" w:hAnsi="Arial Narrow" w:cs="宋体" w:eastAsiaTheme="minorEastAsia"/>
                <w:kern w:val="0"/>
                <w:sz w:val="16"/>
                <w:szCs w:val="16"/>
              </w:rPr>
              <w:t>分。</w:t>
            </w:r>
          </w:p>
        </w:tc>
        <w:tc>
          <w:tcPr>
            <w:tcW w:w="3603" w:type="dxa"/>
            <w:tcBorders>
              <w:top w:val="nil"/>
              <w:left w:val="nil"/>
              <w:bottom w:val="single" w:color="auto" w:sz="4" w:space="0"/>
              <w:right w:val="single" w:color="auto" w:sz="4" w:space="0"/>
            </w:tcBorders>
            <w:shd w:val="clear" w:color="auto" w:fill="auto"/>
            <w:vAlign w:val="center"/>
          </w:tcPr>
          <w:p w14:paraId="244A9E44">
            <w:pPr>
              <w:widowControl/>
              <w:jc w:val="left"/>
              <w:rPr>
                <w:rFonts w:ascii="Arial Narrow" w:hAnsi="Arial Narrow" w:cs="宋体" w:eastAsiaTheme="minorEastAsia"/>
                <w:kern w:val="0"/>
                <w:sz w:val="16"/>
                <w:szCs w:val="16"/>
              </w:rPr>
            </w:pPr>
            <w:r>
              <w:rPr>
                <w:rFonts w:ascii="Arial Narrow" w:hAnsi="Arial Narrow" w:cs="宋体" w:eastAsiaTheme="minorEastAsia"/>
                <w:kern w:val="0"/>
                <w:sz w:val="16"/>
                <w:szCs w:val="16"/>
              </w:rPr>
              <w:t>1.</w:t>
            </w:r>
            <w:r>
              <w:rPr>
                <w:rFonts w:hint="eastAsia" w:ascii="Arial Narrow" w:hAnsi="Arial Narrow" w:cs="宋体" w:eastAsiaTheme="minorEastAsia"/>
                <w:kern w:val="0"/>
                <w:sz w:val="16"/>
                <w:szCs w:val="16"/>
              </w:rPr>
              <w:t>在财政衔接资金分配、使用、监管等方面存在机制创新；（</w:t>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分）</w:t>
            </w:r>
            <w:r>
              <w:rPr>
                <w:rFonts w:ascii="Arial Narrow" w:hAnsi="Arial Narrow" w:cs="宋体" w:eastAsiaTheme="minorEastAsia"/>
                <w:kern w:val="0"/>
                <w:sz w:val="16"/>
                <w:szCs w:val="16"/>
              </w:rPr>
              <w:br w:type="textWrapping"/>
            </w:r>
            <w:r>
              <w:rPr>
                <w:rFonts w:ascii="Arial Narrow" w:hAnsi="Arial Narrow" w:cs="宋体" w:eastAsiaTheme="minorEastAsia"/>
                <w:kern w:val="0"/>
                <w:sz w:val="16"/>
                <w:szCs w:val="16"/>
              </w:rPr>
              <w:t>2.</w:t>
            </w:r>
            <w:r>
              <w:rPr>
                <w:rFonts w:hint="eastAsia" w:ascii="Arial Narrow" w:hAnsi="Arial Narrow" w:cs="宋体" w:eastAsiaTheme="minorEastAsia"/>
                <w:kern w:val="0"/>
                <w:sz w:val="16"/>
                <w:szCs w:val="16"/>
              </w:rPr>
              <w:t>国家、市级对我区财政衔接资金绩效评价中，被财政部、国家乡村振兴局及其第三方总结经验做法，并调研推广的。（</w:t>
            </w:r>
            <w:r>
              <w:rPr>
                <w:rFonts w:ascii="Arial Narrow" w:hAnsi="Arial Narrow" w:cs="宋体" w:eastAsiaTheme="minorEastAsia"/>
                <w:kern w:val="0"/>
                <w:sz w:val="16"/>
                <w:szCs w:val="16"/>
              </w:rPr>
              <w:t>3</w:t>
            </w:r>
            <w:r>
              <w:rPr>
                <w:rFonts w:hint="eastAsia" w:ascii="Arial Narrow" w:hAnsi="Arial Narrow" w:cs="宋体" w:eastAsiaTheme="minorEastAsia"/>
                <w:kern w:val="0"/>
                <w:sz w:val="16"/>
                <w:szCs w:val="16"/>
              </w:rPr>
              <w:t>分）</w:t>
            </w:r>
          </w:p>
        </w:tc>
      </w:tr>
      <w:tr w14:paraId="6055D269">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CF2EF48">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13</w:t>
            </w:r>
          </w:p>
        </w:tc>
        <w:tc>
          <w:tcPr>
            <w:tcW w:w="1016" w:type="dxa"/>
            <w:vMerge w:val="continue"/>
            <w:tcBorders>
              <w:top w:val="nil"/>
              <w:left w:val="single" w:color="auto" w:sz="4" w:space="0"/>
              <w:bottom w:val="single" w:color="000000" w:sz="4" w:space="0"/>
              <w:right w:val="single" w:color="auto" w:sz="4" w:space="0"/>
            </w:tcBorders>
            <w:vAlign w:val="center"/>
          </w:tcPr>
          <w:p w14:paraId="68006DCE">
            <w:pPr>
              <w:widowControl/>
              <w:jc w:val="left"/>
              <w:rPr>
                <w:rFonts w:ascii="Arial Narrow" w:hAnsi="Arial Narrow" w:cs="宋体" w:eastAsiaTheme="minorEastAsia"/>
                <w:kern w:val="0"/>
                <w:sz w:val="16"/>
                <w:szCs w:val="16"/>
              </w:rPr>
            </w:pPr>
          </w:p>
        </w:tc>
        <w:tc>
          <w:tcPr>
            <w:tcW w:w="1048" w:type="dxa"/>
            <w:tcBorders>
              <w:top w:val="nil"/>
              <w:left w:val="nil"/>
              <w:bottom w:val="single" w:color="auto" w:sz="4" w:space="0"/>
              <w:right w:val="single" w:color="auto" w:sz="4" w:space="0"/>
            </w:tcBorders>
            <w:shd w:val="clear" w:color="auto" w:fill="auto"/>
            <w:vAlign w:val="center"/>
          </w:tcPr>
          <w:p w14:paraId="38CFFCF3">
            <w:pPr>
              <w:widowControl/>
              <w:jc w:val="center"/>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7635786D">
            <w:pPr>
              <w:widowControl/>
              <w:jc w:val="center"/>
              <w:rPr>
                <w:rFonts w:ascii="Arial Narrow" w:hAnsi="Arial Narrow" w:cs="宋体" w:eastAsiaTheme="minorEastAsia"/>
                <w:kern w:val="0"/>
                <w:sz w:val="16"/>
                <w:szCs w:val="16"/>
              </w:rPr>
            </w:pPr>
            <w:r>
              <w:rPr>
                <w:rFonts w:ascii="Arial Narrow" w:hAnsi="Arial Narrow" w:cs="宋体" w:eastAsiaTheme="minorEastAsia"/>
                <w:kern w:val="0"/>
                <w:sz w:val="16"/>
                <w:szCs w:val="16"/>
              </w:rPr>
              <w:t>10</w:t>
            </w:r>
          </w:p>
        </w:tc>
        <w:tc>
          <w:tcPr>
            <w:tcW w:w="2752" w:type="dxa"/>
            <w:tcBorders>
              <w:top w:val="nil"/>
              <w:left w:val="nil"/>
              <w:bottom w:val="single" w:color="auto" w:sz="4" w:space="0"/>
              <w:right w:val="single" w:color="auto" w:sz="4" w:space="0"/>
            </w:tcBorders>
            <w:shd w:val="clear" w:color="auto" w:fill="auto"/>
            <w:vAlign w:val="center"/>
          </w:tcPr>
          <w:p w14:paraId="21F9BD6E">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反映提供材料的真实性，有效性以及相关工作合法合规情况。（用于负面清单事项）</w:t>
            </w:r>
          </w:p>
        </w:tc>
        <w:tc>
          <w:tcPr>
            <w:tcW w:w="3603" w:type="dxa"/>
            <w:tcBorders>
              <w:top w:val="nil"/>
              <w:left w:val="nil"/>
              <w:bottom w:val="single" w:color="auto" w:sz="4" w:space="0"/>
              <w:right w:val="single" w:color="auto" w:sz="4" w:space="0"/>
            </w:tcBorders>
            <w:shd w:val="clear" w:color="auto" w:fill="auto"/>
            <w:vAlign w:val="center"/>
          </w:tcPr>
          <w:p w14:paraId="1C8BD0E6">
            <w:pPr>
              <w:widowControl/>
              <w:jc w:val="left"/>
              <w:rPr>
                <w:rFonts w:ascii="Arial Narrow" w:hAnsi="Arial Narrow" w:cs="宋体" w:eastAsiaTheme="minorEastAsia"/>
                <w:kern w:val="0"/>
                <w:sz w:val="16"/>
                <w:szCs w:val="16"/>
              </w:rPr>
            </w:pPr>
            <w:r>
              <w:rPr>
                <w:rFonts w:hint="eastAsia" w:ascii="Arial Narrow" w:hAnsi="Arial Narrow" w:cs="宋体" w:eastAsiaTheme="minorEastAsia"/>
                <w:kern w:val="0"/>
                <w:sz w:val="16"/>
                <w:szCs w:val="16"/>
              </w:rPr>
              <w:t>考核材料、数据中存在虚假信息的，或经有关部门监督检查发现问题的，视情节严重程度扣</w:t>
            </w:r>
            <w:r>
              <w:rPr>
                <w:rFonts w:ascii="Arial Narrow" w:hAnsi="Arial Narrow" w:cs="宋体" w:eastAsiaTheme="minorEastAsia"/>
                <w:kern w:val="0"/>
                <w:sz w:val="16"/>
                <w:szCs w:val="16"/>
              </w:rPr>
              <w:t>1-10</w:t>
            </w:r>
            <w:r>
              <w:rPr>
                <w:rFonts w:hint="eastAsia" w:ascii="Arial Narrow" w:hAnsi="Arial Narrow" w:cs="宋体" w:eastAsiaTheme="minorEastAsia"/>
                <w:kern w:val="0"/>
                <w:sz w:val="16"/>
                <w:szCs w:val="16"/>
              </w:rPr>
              <w:t>分。</w:t>
            </w:r>
          </w:p>
        </w:tc>
      </w:tr>
    </w:tbl>
    <w:p w14:paraId="5D6F8FB5">
      <w:pPr>
        <w:spacing w:before="120" w:beforeLines="50" w:line="360" w:lineRule="auto"/>
        <w:ind w:firstLine="482" w:firstLineChars="200"/>
        <w:jc w:val="left"/>
        <w:outlineLvl w:val="0"/>
        <w:rPr>
          <w:rFonts w:ascii="Arial Narrow" w:hAnsi="Arial Narrow" w:eastAsiaTheme="minorEastAsia"/>
          <w:b/>
          <w:sz w:val="24"/>
        </w:rPr>
      </w:pPr>
      <w:bookmarkStart w:id="16" w:name="_Toc171673237"/>
      <w:r>
        <w:rPr>
          <w:rFonts w:hint="eastAsia" w:ascii="Arial Narrow" w:hAnsi="Arial Narrow" w:eastAsiaTheme="minorEastAsia"/>
          <w:b/>
          <w:sz w:val="24"/>
        </w:rPr>
        <w:t>（五）绩效评价标准和评价方法</w:t>
      </w:r>
      <w:bookmarkEnd w:id="16"/>
    </w:p>
    <w:p w14:paraId="5251A42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w:t>
      </w:r>
      <w:r>
        <w:rPr>
          <w:rFonts w:hint="eastAsia" w:ascii="Arial Narrow" w:hAnsi="Arial Narrow" w:eastAsiaTheme="minorEastAsia"/>
          <w:color w:val="auto"/>
        </w:rPr>
        <w:t>绩效评价标准</w:t>
      </w:r>
    </w:p>
    <w:p w14:paraId="141BD879">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绩效评价标准采用定量评分，满分为</w:t>
      </w:r>
      <w:r>
        <w:rPr>
          <w:rFonts w:ascii="Arial Narrow" w:hAnsi="Arial Narrow" w:eastAsiaTheme="minorEastAsia"/>
          <w:color w:val="auto"/>
        </w:rPr>
        <w:t>100</w:t>
      </w:r>
      <w:r>
        <w:rPr>
          <w:rFonts w:hint="eastAsia" w:ascii="Arial Narrow" w:hAnsi="Arial Narrow" w:eastAsiaTheme="minorEastAsia"/>
          <w:color w:val="auto"/>
        </w:rPr>
        <w:t>分。指标分值我们是根据确定的指标内容及项目实施的具体情况综合分析确定的，详见附件。</w:t>
      </w:r>
    </w:p>
    <w:p w14:paraId="63614FEC">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绩效评价结果分为优（得分</w:t>
      </w:r>
      <w:bookmarkStart w:id="17" w:name="_Hlk162596803"/>
      <w:r>
        <w:rPr>
          <w:rFonts w:hint="eastAsia" w:ascii="Arial Narrow" w:hAnsi="Arial Narrow" w:eastAsiaTheme="minorEastAsia"/>
          <w:color w:val="auto"/>
        </w:rPr>
        <w:t>≥90</w:t>
      </w:r>
      <w:bookmarkEnd w:id="17"/>
      <w:r>
        <w:rPr>
          <w:rFonts w:hint="eastAsia" w:ascii="Arial Narrow" w:hAnsi="Arial Narrow" w:eastAsiaTheme="minorEastAsia"/>
          <w:color w:val="auto"/>
        </w:rPr>
        <w:t>）、良</w:t>
      </w:r>
      <w:bookmarkStart w:id="18" w:name="_Hlk168473502"/>
      <w:r>
        <w:rPr>
          <w:rFonts w:hint="eastAsia" w:ascii="Arial Narrow" w:hAnsi="Arial Narrow" w:eastAsiaTheme="minorEastAsia"/>
          <w:color w:val="auto"/>
        </w:rPr>
        <w:t>（</w:t>
      </w:r>
      <w:r>
        <w:rPr>
          <w:rFonts w:ascii="Arial Narrow" w:hAnsi="Arial Narrow" w:eastAsiaTheme="minorEastAsia"/>
          <w:color w:val="auto"/>
        </w:rPr>
        <w:t>90</w:t>
      </w:r>
      <w:r>
        <w:rPr>
          <w:rFonts w:hint="eastAsia" w:ascii="Arial Narrow" w:hAnsi="Arial Narrow" w:eastAsiaTheme="minorEastAsia"/>
          <w:color w:val="auto"/>
        </w:rPr>
        <w:t>＞得分≥80）</w:t>
      </w:r>
      <w:bookmarkEnd w:id="18"/>
      <w:r>
        <w:rPr>
          <w:rFonts w:hint="eastAsia" w:ascii="Arial Narrow" w:hAnsi="Arial Narrow" w:eastAsiaTheme="minorEastAsia"/>
          <w:color w:val="auto"/>
        </w:rPr>
        <w:t>、中（</w:t>
      </w:r>
      <w:r>
        <w:rPr>
          <w:rFonts w:ascii="Arial Narrow" w:hAnsi="Arial Narrow" w:eastAsiaTheme="minorEastAsia"/>
          <w:color w:val="auto"/>
        </w:rPr>
        <w:t>80</w:t>
      </w:r>
      <w:r>
        <w:rPr>
          <w:rFonts w:hint="eastAsia" w:ascii="Arial Narrow" w:hAnsi="Arial Narrow" w:eastAsiaTheme="minorEastAsia"/>
          <w:color w:val="auto"/>
        </w:rPr>
        <w:t>＞得分≥60）、差（得分＜</w:t>
      </w:r>
      <w:r>
        <w:rPr>
          <w:rFonts w:ascii="Arial Narrow" w:hAnsi="Arial Narrow" w:eastAsiaTheme="minorEastAsia"/>
          <w:color w:val="auto"/>
        </w:rPr>
        <w:t>60</w:t>
      </w:r>
      <w:r>
        <w:rPr>
          <w:rFonts w:hint="eastAsia" w:ascii="Arial Narrow" w:hAnsi="Arial Narrow" w:eastAsiaTheme="minorEastAsia"/>
          <w:color w:val="auto"/>
        </w:rPr>
        <w:t>）四个等级，按百分制综合得分高低按分值划段确定。</w:t>
      </w:r>
    </w:p>
    <w:p w14:paraId="5C7DF7F0">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绩效评价方法</w:t>
      </w:r>
    </w:p>
    <w:p w14:paraId="4DD4AC07">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绩效评价技术方法主要有成本效益分析法、比较法、因素分析法、最低成本法、公众评判法等。</w:t>
      </w:r>
    </w:p>
    <w:p w14:paraId="464E9607">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成本效益分析法。是指将一定时期内的支出与效益进行对比分析，以评价绩效目标的实现程度。</w:t>
      </w:r>
    </w:p>
    <w:p w14:paraId="5CCD5FF8">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比较法。是指通过对绩效目标与实施效果、历史与当期情况、不同部门和地区同类支出的比较，综合分析绩效目标实现程度。</w:t>
      </w:r>
    </w:p>
    <w:p w14:paraId="68ACBE47">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因素分析法。是指通过综合分析影响绩效目标实现、实施效果的内外因素，评价绩效目标实现程度。</w:t>
      </w:r>
    </w:p>
    <w:p w14:paraId="257812A2">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最低成本法。是指对效益确定却不易计量的多个同类对象的实施成本进行比较，评价绩效目标实现程度。</w:t>
      </w:r>
    </w:p>
    <w:p w14:paraId="22B023AF">
      <w:pPr>
        <w:pStyle w:val="14"/>
        <w:spacing w:line="360" w:lineRule="auto"/>
        <w:ind w:firstLine="480" w:firstLineChars="200"/>
        <w:rPr>
          <w:rFonts w:ascii="Arial Narrow" w:hAnsi="Arial Narrow" w:eastAsiaTheme="minorEastAsia"/>
          <w:color w:val="auto"/>
        </w:rPr>
      </w:pPr>
      <w:r>
        <w:rPr>
          <w:rFonts w:hint="eastAsia" w:ascii="Arial Narrow" w:hAnsi="Arial Narrow" w:eastAsiaTheme="minorEastAsia"/>
          <w:color w:val="auto"/>
        </w:rPr>
        <w:t>公众评判法。是指通过专家评估、公众问卷及抽样调查等对预算支出效果进行评判，评价绩效目标实现程度。</w:t>
      </w:r>
    </w:p>
    <w:p w14:paraId="281F6924">
      <w:pPr>
        <w:spacing w:line="360" w:lineRule="auto"/>
        <w:ind w:firstLine="482" w:firstLineChars="200"/>
        <w:jc w:val="left"/>
        <w:outlineLvl w:val="0"/>
        <w:rPr>
          <w:rFonts w:ascii="Arial Narrow" w:hAnsi="Arial Narrow" w:eastAsiaTheme="minorEastAsia"/>
          <w:b/>
          <w:sz w:val="24"/>
        </w:rPr>
      </w:pPr>
      <w:bookmarkStart w:id="19" w:name="_Toc437528932"/>
      <w:bookmarkStart w:id="20" w:name="_Toc171673238"/>
      <w:r>
        <w:rPr>
          <w:rFonts w:hint="eastAsia" w:ascii="Arial Narrow" w:hAnsi="Arial Narrow" w:eastAsiaTheme="minorEastAsia"/>
          <w:b/>
          <w:sz w:val="24"/>
        </w:rPr>
        <w:t>（六）绩效评价</w:t>
      </w:r>
      <w:bookmarkEnd w:id="19"/>
      <w:r>
        <w:rPr>
          <w:rFonts w:hint="eastAsia" w:ascii="Arial Narrow" w:hAnsi="Arial Narrow" w:eastAsiaTheme="minorEastAsia"/>
          <w:b/>
          <w:sz w:val="24"/>
        </w:rPr>
        <w:t>工作过程</w:t>
      </w:r>
      <w:bookmarkEnd w:id="20"/>
    </w:p>
    <w:p w14:paraId="55FB394A">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1.</w:t>
      </w:r>
      <w:r>
        <w:rPr>
          <w:rFonts w:hint="eastAsia" w:ascii="Arial Narrow" w:hAnsi="Arial Narrow" w:eastAsiaTheme="minorEastAsia"/>
          <w:color w:val="auto"/>
        </w:rPr>
        <w:t>经铜梁区财政局确定为</w:t>
      </w:r>
      <w:r>
        <w:rPr>
          <w:rFonts w:hint="eastAsia" w:ascii="Arial Narrow" w:hAnsi="Arial Narrow" w:eastAsiaTheme="minorEastAsia"/>
          <w:color w:val="auto"/>
          <w:lang w:eastAsia="zh-CN"/>
        </w:rPr>
        <w:t>“</w:t>
      </w:r>
      <w:r>
        <w:rPr>
          <w:rFonts w:ascii="Arial Narrow" w:hAnsi="Arial Narrow" w:eastAsiaTheme="minorEastAsia"/>
          <w:color w:val="auto"/>
        </w:rPr>
        <w:t>2023</w:t>
      </w:r>
      <w:r>
        <w:rPr>
          <w:rFonts w:hint="eastAsia" w:ascii="Arial Narrow" w:hAnsi="Arial Narrow" w:eastAsiaTheme="minorEastAsia"/>
          <w:color w:val="auto"/>
        </w:rPr>
        <w:t>年财政专项衔接资金项目</w:t>
      </w:r>
      <w:r>
        <w:rPr>
          <w:rFonts w:hint="eastAsia" w:ascii="Arial Narrow" w:hAnsi="Arial Narrow" w:eastAsiaTheme="minorEastAsia"/>
          <w:color w:val="auto"/>
          <w:lang w:eastAsia="zh-CN"/>
        </w:rPr>
        <w:t>”</w:t>
      </w:r>
      <w:r>
        <w:rPr>
          <w:rFonts w:hint="eastAsia" w:ascii="Arial Narrow" w:hAnsi="Arial Narrow" w:eastAsiaTheme="minorEastAsia"/>
          <w:color w:val="auto"/>
        </w:rPr>
        <w:t>项目绩效评价服务单位后我所成立了绩效评价工作小组。</w:t>
      </w:r>
    </w:p>
    <w:p w14:paraId="1575F963">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2.</w:t>
      </w:r>
      <w:r>
        <w:rPr>
          <w:rFonts w:hint="eastAsia" w:ascii="Arial Narrow" w:hAnsi="Arial Narrow" w:eastAsiaTheme="minorEastAsia"/>
          <w:color w:val="auto"/>
        </w:rPr>
        <w:t>根据项目实际情况收集项目基础资料及数据深入了解项目整体情况。</w:t>
      </w:r>
    </w:p>
    <w:p w14:paraId="6405959B">
      <w:pPr>
        <w:pStyle w:val="14"/>
        <w:spacing w:line="360" w:lineRule="auto"/>
        <w:ind w:firstLine="480" w:firstLineChars="200"/>
        <w:rPr>
          <w:rFonts w:hint="eastAsia" w:ascii="Arial Narrow" w:hAnsi="Arial Narrow" w:eastAsiaTheme="minorEastAsia"/>
          <w:color w:val="auto"/>
          <w:lang w:eastAsia="zh-CN"/>
        </w:rPr>
      </w:pPr>
      <w:r>
        <w:rPr>
          <w:rFonts w:ascii="Arial Narrow" w:hAnsi="Arial Narrow" w:eastAsiaTheme="minorEastAsia"/>
          <w:color w:val="auto"/>
        </w:rPr>
        <w:t>3.</w:t>
      </w:r>
      <w:r>
        <w:rPr>
          <w:rFonts w:hint="eastAsia" w:ascii="Arial Narrow" w:hAnsi="Arial Narrow" w:eastAsiaTheme="minorEastAsia"/>
          <w:color w:val="auto"/>
        </w:rPr>
        <w:t>组织实施现场调查、检查、走访等具体工作</w:t>
      </w:r>
      <w:r>
        <w:rPr>
          <w:rFonts w:hint="eastAsia" w:ascii="Arial Narrow" w:hAnsi="Arial Narrow" w:eastAsiaTheme="minorEastAsia"/>
          <w:color w:val="auto"/>
          <w:lang w:eastAsia="zh-CN"/>
        </w:rPr>
        <w:t>。</w:t>
      </w:r>
    </w:p>
    <w:p w14:paraId="2F5F8CB1">
      <w:pPr>
        <w:pStyle w:val="14"/>
        <w:spacing w:line="360" w:lineRule="auto"/>
        <w:ind w:firstLine="480" w:firstLineChars="200"/>
        <w:rPr>
          <w:rFonts w:ascii="Arial Narrow" w:hAnsi="Arial Narrow" w:eastAsiaTheme="minorEastAsia"/>
          <w:color w:val="auto"/>
        </w:rPr>
      </w:pPr>
      <w:r>
        <w:rPr>
          <w:rFonts w:ascii="Arial Narrow" w:hAnsi="Arial Narrow" w:eastAsiaTheme="minorEastAsia"/>
          <w:color w:val="auto"/>
        </w:rPr>
        <w:t>4.</w:t>
      </w:r>
      <w:r>
        <w:rPr>
          <w:rFonts w:hint="eastAsia" w:ascii="Arial Narrow" w:hAnsi="Arial Narrow" w:eastAsiaTheme="minorEastAsia"/>
          <w:color w:val="auto"/>
        </w:rPr>
        <w:t>依据收集到的项目相关资料和数据，比照经贵单位审定的评价指标体系的评分标准，分别对项目评价打分，汇总后加权平均形成综合评价得分，并对该项目的绩效评价等级进行确认。</w:t>
      </w:r>
    </w:p>
    <w:p w14:paraId="29352610">
      <w:pPr>
        <w:spacing w:line="360" w:lineRule="auto"/>
        <w:ind w:firstLine="482" w:firstLineChars="200"/>
        <w:jc w:val="left"/>
        <w:outlineLvl w:val="0"/>
        <w:rPr>
          <w:rFonts w:ascii="Arial Narrow" w:hAnsi="Arial Narrow" w:eastAsiaTheme="minorEastAsia"/>
          <w:b/>
          <w:sz w:val="24"/>
        </w:rPr>
      </w:pPr>
      <w:bookmarkStart w:id="21" w:name="_Toc437528933"/>
      <w:bookmarkStart w:id="22" w:name="_Toc171673239"/>
      <w:r>
        <w:rPr>
          <w:rFonts w:hint="eastAsia" w:ascii="Arial Narrow" w:hAnsi="Arial Narrow" w:eastAsiaTheme="minorEastAsia"/>
          <w:b/>
          <w:sz w:val="24"/>
        </w:rPr>
        <w:t>三、项目评价</w:t>
      </w:r>
      <w:bookmarkEnd w:id="21"/>
      <w:r>
        <w:rPr>
          <w:rFonts w:hint="eastAsia" w:ascii="Arial Narrow" w:hAnsi="Arial Narrow" w:eastAsiaTheme="minorEastAsia"/>
          <w:b/>
          <w:sz w:val="24"/>
        </w:rPr>
        <w:t>结论</w:t>
      </w:r>
      <w:bookmarkEnd w:id="22"/>
    </w:p>
    <w:p w14:paraId="703577EC">
      <w:pPr>
        <w:spacing w:line="360" w:lineRule="auto"/>
        <w:ind w:left="420" w:leftChars="200"/>
        <w:jc w:val="left"/>
        <w:rPr>
          <w:rFonts w:ascii="Arial Narrow" w:hAnsi="Arial Narrow" w:cs="宋体" w:eastAsiaTheme="minorEastAsia"/>
          <w:kern w:val="0"/>
          <w:sz w:val="24"/>
        </w:rPr>
      </w:pPr>
      <w:r>
        <w:rPr>
          <w:rFonts w:hint="eastAsia" w:ascii="Arial Narrow" w:hAnsi="Arial Narrow" w:cs="宋体" w:eastAsiaTheme="minorEastAsia"/>
          <w:kern w:val="0"/>
          <w:sz w:val="24"/>
        </w:rPr>
        <w:t>沿河村</w:t>
      </w:r>
      <w:r>
        <w:rPr>
          <w:rFonts w:ascii="Arial Narrow" w:hAnsi="Arial Narrow" w:cs="宋体" w:eastAsiaTheme="minorEastAsia"/>
          <w:kern w:val="0"/>
          <w:sz w:val="24"/>
        </w:rPr>
        <w:t>2023</w:t>
      </w:r>
      <w:r>
        <w:rPr>
          <w:rFonts w:hint="eastAsia" w:ascii="Arial Narrow" w:hAnsi="Arial Narrow" w:cs="宋体" w:eastAsiaTheme="minorEastAsia"/>
          <w:kern w:val="0"/>
          <w:sz w:val="24"/>
        </w:rPr>
        <w:t>年乡村振兴产业发展项目绩效评价得分</w:t>
      </w:r>
      <w:r>
        <w:rPr>
          <w:rFonts w:ascii="Arial Narrow" w:hAnsi="Arial Narrow" w:cs="宋体" w:eastAsiaTheme="minorEastAsia"/>
          <w:kern w:val="0"/>
          <w:sz w:val="24"/>
        </w:rPr>
        <w:t>9</w:t>
      </w:r>
      <w:r>
        <w:rPr>
          <w:rFonts w:hint="eastAsia" w:ascii="Arial Narrow" w:hAnsi="Arial Narrow" w:cs="宋体" w:eastAsiaTheme="minorEastAsia"/>
          <w:kern w:val="0"/>
          <w:sz w:val="24"/>
        </w:rPr>
        <w:t>6</w:t>
      </w:r>
      <w:r>
        <w:rPr>
          <w:rFonts w:ascii="Arial Narrow" w:hAnsi="Arial Narrow" w:cs="宋体" w:eastAsiaTheme="minorEastAsia"/>
          <w:kern w:val="0"/>
          <w:sz w:val="24"/>
        </w:rPr>
        <w:t>.00</w:t>
      </w:r>
      <w:r>
        <w:rPr>
          <w:rFonts w:hint="eastAsia" w:ascii="Arial Narrow" w:hAnsi="Arial Narrow" w:cs="宋体" w:eastAsiaTheme="minorEastAsia"/>
          <w:kern w:val="0"/>
          <w:sz w:val="24"/>
        </w:rPr>
        <w:t>分，绩效评价等级为：优；</w:t>
      </w:r>
    </w:p>
    <w:p w14:paraId="7C97F87E">
      <w:pPr>
        <w:spacing w:line="360" w:lineRule="auto"/>
        <w:ind w:left="420" w:leftChars="200"/>
        <w:jc w:val="left"/>
        <w:rPr>
          <w:rFonts w:ascii="Arial Narrow" w:hAnsi="Arial Narrow" w:eastAsiaTheme="minorEastAsia"/>
          <w:sz w:val="24"/>
        </w:rPr>
      </w:pPr>
      <w:r>
        <w:rPr>
          <w:rFonts w:hint="eastAsia" w:ascii="Arial Narrow" w:hAnsi="Arial Narrow" w:cs="宋体" w:eastAsiaTheme="minorEastAsia"/>
          <w:kern w:val="0"/>
          <w:sz w:val="24"/>
        </w:rPr>
        <w:t>新堰村水肥一体化管网建设项目</w:t>
      </w:r>
      <w:r>
        <w:rPr>
          <w:rFonts w:hint="eastAsia" w:ascii="Arial Narrow" w:hAnsi="Arial Narrow" w:eastAsiaTheme="minorEastAsia"/>
          <w:sz w:val="24"/>
        </w:rPr>
        <w:t>绩效评价得分</w:t>
      </w:r>
      <w:r>
        <w:rPr>
          <w:rFonts w:ascii="Arial Narrow" w:hAnsi="Arial Narrow" w:eastAsiaTheme="minorEastAsia"/>
          <w:sz w:val="24"/>
        </w:rPr>
        <w:t>9</w:t>
      </w:r>
      <w:r>
        <w:rPr>
          <w:rFonts w:hint="eastAsia" w:ascii="Arial Narrow" w:hAnsi="Arial Narrow" w:eastAsiaTheme="minorEastAsia"/>
          <w:sz w:val="24"/>
        </w:rPr>
        <w:t>6</w:t>
      </w:r>
      <w:r>
        <w:rPr>
          <w:rFonts w:ascii="Arial Narrow" w:hAnsi="Arial Narrow" w:eastAsiaTheme="minorEastAsia"/>
          <w:sz w:val="24"/>
        </w:rPr>
        <w:t>.</w:t>
      </w:r>
      <w:r>
        <w:rPr>
          <w:rFonts w:hint="eastAsia" w:ascii="Arial Narrow" w:hAnsi="Arial Narrow" w:eastAsiaTheme="minorEastAsia"/>
          <w:sz w:val="24"/>
        </w:rPr>
        <w:t>5</w:t>
      </w:r>
      <w:r>
        <w:rPr>
          <w:rFonts w:ascii="Arial Narrow" w:hAnsi="Arial Narrow" w:eastAsiaTheme="minorEastAsia"/>
          <w:sz w:val="24"/>
        </w:rPr>
        <w:t>0</w:t>
      </w:r>
      <w:r>
        <w:rPr>
          <w:rFonts w:hint="eastAsia" w:ascii="Arial Narrow" w:hAnsi="Arial Narrow" w:eastAsiaTheme="minorEastAsia"/>
          <w:sz w:val="24"/>
        </w:rPr>
        <w:t>分，绩效评价等级为：优；</w:t>
      </w:r>
    </w:p>
    <w:p w14:paraId="6EEFC08D">
      <w:pPr>
        <w:spacing w:line="360" w:lineRule="auto"/>
        <w:ind w:left="420" w:leftChars="200"/>
        <w:jc w:val="left"/>
        <w:rPr>
          <w:rFonts w:hint="eastAsia" w:ascii="Arial Narrow" w:hAnsi="Arial Narrow" w:cs="宋体" w:eastAsiaTheme="minorEastAsia"/>
          <w:kern w:val="0"/>
          <w:sz w:val="24"/>
        </w:rPr>
      </w:pPr>
      <w:r>
        <w:rPr>
          <w:rFonts w:hint="eastAsia" w:ascii="Arial Narrow" w:hAnsi="Arial Narrow" w:cs="宋体" w:eastAsiaTheme="minorEastAsia"/>
          <w:kern w:val="0"/>
          <w:sz w:val="24"/>
        </w:rPr>
        <w:t>杨柳村2023年乡村振兴产业发展项目绩效评价得分95.50分，绩效评价等级为：优；</w:t>
      </w:r>
    </w:p>
    <w:p w14:paraId="0F6C9DCD">
      <w:pPr>
        <w:spacing w:line="360" w:lineRule="auto"/>
        <w:ind w:firstLine="482" w:firstLineChars="200"/>
        <w:outlineLvl w:val="0"/>
        <w:rPr>
          <w:rFonts w:ascii="Arial Narrow" w:hAnsi="Arial Narrow" w:eastAsiaTheme="minorEastAsia"/>
          <w:b/>
          <w:sz w:val="24"/>
        </w:rPr>
      </w:pPr>
      <w:bookmarkStart w:id="23" w:name="_Toc171673240"/>
      <w:r>
        <w:rPr>
          <w:rFonts w:hint="eastAsia" w:ascii="Arial Narrow" w:hAnsi="Arial Narrow" w:eastAsiaTheme="minorEastAsia"/>
          <w:b/>
          <w:sz w:val="24"/>
        </w:rPr>
        <w:t>四、综合评价情况</w:t>
      </w:r>
      <w:bookmarkEnd w:id="23"/>
    </w:p>
    <w:p w14:paraId="7C8C6D69">
      <w:pPr>
        <w:spacing w:line="360" w:lineRule="auto"/>
        <w:ind w:firstLine="482" w:firstLineChars="200"/>
        <w:jc w:val="left"/>
        <w:outlineLvl w:val="0"/>
        <w:rPr>
          <w:rFonts w:ascii="Arial Narrow" w:hAnsi="Arial Narrow" w:eastAsiaTheme="minorEastAsia"/>
          <w:b/>
          <w:sz w:val="24"/>
        </w:rPr>
      </w:pPr>
      <w:bookmarkStart w:id="24" w:name="_Toc171673241"/>
      <w:r>
        <w:rPr>
          <w:rFonts w:hint="eastAsia" w:ascii="Arial Narrow" w:hAnsi="Arial Narrow" w:eastAsiaTheme="minorEastAsia"/>
          <w:b/>
          <w:sz w:val="24"/>
        </w:rPr>
        <w:t>（一）资金管理</w:t>
      </w:r>
      <w:bookmarkEnd w:id="24"/>
    </w:p>
    <w:p w14:paraId="1A64D5FC">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w:t>
      </w:r>
      <w:r>
        <w:rPr>
          <w:rStyle w:val="11"/>
          <w:rFonts w:hint="eastAsia" w:ascii="Arial Narrow" w:hAnsi="Arial Narrow" w:eastAsiaTheme="minorEastAsia"/>
          <w:color w:val="auto"/>
          <w:sz w:val="24"/>
          <w:u w:val="none"/>
        </w:rPr>
        <w:t>财政衔接资金安排情况</w:t>
      </w:r>
    </w:p>
    <w:p w14:paraId="60A9D2BD">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项目按照《重庆市财政局关于提前下达</w:t>
      </w:r>
      <w:r>
        <w:rPr>
          <w:rFonts w:ascii="Arial Narrow" w:hAnsi="Arial Narrow" w:eastAsiaTheme="minorEastAsia"/>
          <w:sz w:val="24"/>
        </w:rPr>
        <w:t>2023</w:t>
      </w:r>
      <w:r>
        <w:rPr>
          <w:rFonts w:hint="eastAsia" w:ascii="Arial Narrow" w:hAnsi="Arial Narrow" w:eastAsiaTheme="minorEastAsia"/>
          <w:sz w:val="24"/>
        </w:rPr>
        <w:t>年市财政衔接推进乡村振兴补助资金预算的通知》</w:t>
      </w:r>
      <w:r>
        <w:rPr>
          <w:rFonts w:hint="eastAsia" w:ascii="Arial Narrow" w:hAnsi="Arial Narrow" w:eastAsiaTheme="minorEastAsia"/>
          <w:sz w:val="24"/>
          <w:lang w:eastAsia="zh-CN"/>
        </w:rPr>
        <w:t>（</w:t>
      </w:r>
      <w:r>
        <w:rPr>
          <w:rFonts w:hint="eastAsia" w:ascii="Arial Narrow" w:hAnsi="Arial Narrow" w:eastAsiaTheme="minorEastAsia"/>
          <w:sz w:val="24"/>
        </w:rPr>
        <w:t>渝财农〔</w:t>
      </w:r>
      <w:r>
        <w:rPr>
          <w:rFonts w:ascii="Arial Narrow" w:hAnsi="Arial Narrow" w:eastAsiaTheme="minorEastAsia"/>
          <w:sz w:val="24"/>
        </w:rPr>
        <w:t>2022</w:t>
      </w:r>
      <w:r>
        <w:rPr>
          <w:rFonts w:hint="eastAsia" w:ascii="Arial Narrow" w:hAnsi="Arial Narrow" w:eastAsiaTheme="minorEastAsia"/>
          <w:sz w:val="24"/>
        </w:rPr>
        <w:t>〕</w:t>
      </w:r>
      <w:r>
        <w:rPr>
          <w:rFonts w:ascii="Arial Narrow" w:hAnsi="Arial Narrow" w:eastAsiaTheme="minorEastAsia"/>
          <w:sz w:val="24"/>
        </w:rPr>
        <w:t>146</w:t>
      </w:r>
      <w:r>
        <w:rPr>
          <w:rFonts w:hint="eastAsia" w:ascii="Arial Narrow" w:hAnsi="Arial Narrow" w:eastAsiaTheme="minorEastAsia"/>
          <w:sz w:val="24"/>
          <w:lang w:val="en-US" w:eastAsia="zh-CN"/>
        </w:rPr>
        <w:t>号</w:t>
      </w:r>
      <w:r>
        <w:rPr>
          <w:rFonts w:hint="eastAsia" w:ascii="Arial Narrow" w:hAnsi="Arial Narrow" w:eastAsiaTheme="minorEastAsia"/>
          <w:sz w:val="24"/>
          <w:lang w:eastAsia="zh-CN"/>
        </w:rPr>
        <w:t>）</w:t>
      </w:r>
      <w:r>
        <w:rPr>
          <w:rFonts w:hint="eastAsia" w:ascii="Arial Narrow" w:hAnsi="Arial Narrow" w:eastAsiaTheme="minorEastAsia"/>
          <w:sz w:val="24"/>
        </w:rPr>
        <w:t>、《重庆市铜梁区财政局关于提前下达</w:t>
      </w:r>
      <w:r>
        <w:rPr>
          <w:rFonts w:ascii="Arial Narrow" w:hAnsi="Arial Narrow" w:eastAsiaTheme="minorEastAsia"/>
          <w:sz w:val="24"/>
        </w:rPr>
        <w:t>2023</w:t>
      </w:r>
      <w:r>
        <w:rPr>
          <w:rFonts w:hint="eastAsia" w:ascii="Arial Narrow" w:hAnsi="Arial Narrow" w:eastAsiaTheme="minorEastAsia"/>
          <w:sz w:val="24"/>
        </w:rPr>
        <w:t>年中央财政衔接推进乡村振兴补助资金预算的通知》（铜财〔</w:t>
      </w:r>
      <w:r>
        <w:rPr>
          <w:rFonts w:ascii="Arial Narrow" w:hAnsi="Arial Narrow" w:eastAsiaTheme="minorEastAsia"/>
          <w:sz w:val="24"/>
        </w:rPr>
        <w:t>2022</w:t>
      </w:r>
      <w:r>
        <w:rPr>
          <w:rFonts w:hint="eastAsia" w:ascii="Arial Narrow" w:hAnsi="Arial Narrow" w:eastAsiaTheme="minorEastAsia"/>
          <w:sz w:val="24"/>
        </w:rPr>
        <w:t>〕</w:t>
      </w:r>
      <w:r>
        <w:rPr>
          <w:rFonts w:ascii="Arial Narrow" w:hAnsi="Arial Narrow" w:eastAsiaTheme="minorEastAsia"/>
          <w:sz w:val="24"/>
        </w:rPr>
        <w:t>550</w:t>
      </w:r>
      <w:r>
        <w:rPr>
          <w:rFonts w:hint="eastAsia" w:ascii="Arial Narrow" w:hAnsi="Arial Narrow" w:eastAsiaTheme="minorEastAsia"/>
          <w:sz w:val="24"/>
        </w:rPr>
        <w:t>号）、《重庆市铜梁区财政局关于下达</w:t>
      </w:r>
      <w:r>
        <w:rPr>
          <w:rFonts w:ascii="Arial Narrow" w:hAnsi="Arial Narrow" w:eastAsiaTheme="minorEastAsia"/>
          <w:sz w:val="24"/>
        </w:rPr>
        <w:t>2023</w:t>
      </w:r>
      <w:r>
        <w:rPr>
          <w:rFonts w:hint="eastAsia" w:ascii="Arial Narrow" w:hAnsi="Arial Narrow" w:eastAsiaTheme="minorEastAsia"/>
          <w:sz w:val="24"/>
        </w:rPr>
        <w:t>年区级财政衔接推进乡村振兴补助资金预算的通知》</w:t>
      </w:r>
      <w:r>
        <w:rPr>
          <w:rFonts w:hint="eastAsia" w:ascii="Arial Narrow" w:hAnsi="Arial Narrow" w:eastAsiaTheme="minorEastAsia"/>
          <w:sz w:val="24"/>
          <w:lang w:eastAsia="zh-CN"/>
        </w:rPr>
        <w:t>（</w:t>
      </w:r>
      <w:r>
        <w:rPr>
          <w:rFonts w:hint="eastAsia" w:ascii="Arial Narrow" w:hAnsi="Arial Narrow" w:eastAsiaTheme="minorEastAsia"/>
          <w:sz w:val="24"/>
        </w:rPr>
        <w:t>铜财〔</w:t>
      </w:r>
      <w:r>
        <w:rPr>
          <w:rFonts w:ascii="Arial Narrow" w:hAnsi="Arial Narrow" w:eastAsiaTheme="minorEastAsia"/>
          <w:sz w:val="24"/>
        </w:rPr>
        <w:t>2023</w:t>
      </w:r>
      <w:r>
        <w:rPr>
          <w:rFonts w:hint="eastAsia" w:ascii="Arial Narrow" w:hAnsi="Arial Narrow" w:eastAsiaTheme="minorEastAsia"/>
          <w:sz w:val="24"/>
        </w:rPr>
        <w:t>〕</w:t>
      </w:r>
      <w:r>
        <w:rPr>
          <w:rFonts w:ascii="Arial Narrow" w:hAnsi="Arial Narrow" w:eastAsiaTheme="minorEastAsia"/>
          <w:sz w:val="24"/>
        </w:rPr>
        <w:t>46</w:t>
      </w:r>
      <w:r>
        <w:rPr>
          <w:rFonts w:hint="eastAsia" w:ascii="Arial Narrow" w:hAnsi="Arial Narrow" w:eastAsiaTheme="minorEastAsia"/>
          <w:sz w:val="24"/>
        </w:rPr>
        <w:t>号</w:t>
      </w:r>
      <w:r>
        <w:rPr>
          <w:rFonts w:hint="eastAsia" w:ascii="Arial Narrow" w:hAnsi="Arial Narrow" w:eastAsiaTheme="minorEastAsia"/>
          <w:sz w:val="24"/>
          <w:lang w:eastAsia="zh-CN"/>
        </w:rPr>
        <w:t>）</w:t>
      </w:r>
      <w:r>
        <w:rPr>
          <w:rFonts w:hint="eastAsia" w:ascii="Arial Narrow" w:hAnsi="Arial Narrow" w:eastAsiaTheme="minorEastAsia"/>
          <w:sz w:val="24"/>
        </w:rPr>
        <w:t>等相关政策性文件规定落实衔接资金。</w:t>
      </w:r>
    </w:p>
    <w:p w14:paraId="789696C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Fonts w:hint="eastAsia" w:ascii="Arial Narrow" w:hAnsi="Arial Narrow" w:eastAsiaTheme="minorEastAsia"/>
          <w:sz w:val="24"/>
        </w:rPr>
        <w:t>资金分解下达进度</w:t>
      </w:r>
    </w:p>
    <w:p w14:paraId="0DE621C6">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项目资金从区财政局下达资金文件时间到区级业务主管部门下达项目及资金计划文件时间间隔小于</w:t>
      </w:r>
      <w:r>
        <w:rPr>
          <w:rFonts w:ascii="Arial Narrow" w:hAnsi="Arial Narrow" w:eastAsiaTheme="minorEastAsia"/>
          <w:sz w:val="24"/>
        </w:rPr>
        <w:t>30</w:t>
      </w:r>
      <w:r>
        <w:rPr>
          <w:rFonts w:hint="eastAsia" w:ascii="Arial Narrow" w:hAnsi="Arial Narrow" w:eastAsiaTheme="minorEastAsia"/>
          <w:sz w:val="24"/>
        </w:rPr>
        <w:t>天。</w:t>
      </w:r>
    </w:p>
    <w:p w14:paraId="54F29E42">
      <w:pPr>
        <w:spacing w:line="360" w:lineRule="auto"/>
        <w:ind w:firstLine="482" w:firstLineChars="200"/>
        <w:jc w:val="left"/>
        <w:outlineLvl w:val="0"/>
        <w:rPr>
          <w:rFonts w:ascii="Arial Narrow" w:hAnsi="Arial Narrow" w:eastAsiaTheme="minorEastAsia"/>
          <w:b/>
          <w:sz w:val="24"/>
        </w:rPr>
      </w:pPr>
      <w:bookmarkStart w:id="25" w:name="_Toc171673242"/>
      <w:r>
        <w:rPr>
          <w:rFonts w:hint="eastAsia" w:ascii="Arial Narrow" w:hAnsi="Arial Narrow" w:eastAsiaTheme="minorEastAsia"/>
          <w:b/>
          <w:sz w:val="24"/>
        </w:rPr>
        <w:t>（二）项目管理</w:t>
      </w:r>
      <w:bookmarkEnd w:id="25"/>
    </w:p>
    <w:p w14:paraId="1D6198A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w:t>
      </w:r>
      <w:r>
        <w:rPr>
          <w:rFonts w:hint="eastAsia" w:ascii="Arial Narrow" w:hAnsi="Arial Narrow" w:eastAsiaTheme="minorEastAsia"/>
          <w:sz w:val="24"/>
        </w:rPr>
        <w:t>项目库建设管理情况</w:t>
      </w:r>
    </w:p>
    <w:p w14:paraId="301832ED">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项目入库及时充分、程序规范、内容完整，制定</w:t>
      </w:r>
      <w:r>
        <w:rPr>
          <w:rFonts w:hint="eastAsia" w:ascii="Arial Narrow" w:hAnsi="Arial Narrow" w:eastAsiaTheme="minorEastAsia"/>
          <w:sz w:val="24"/>
          <w:lang w:val="en-US" w:eastAsia="zh-CN"/>
        </w:rPr>
        <w:t>了</w:t>
      </w:r>
      <w:r>
        <w:rPr>
          <w:rFonts w:hint="eastAsia" w:ascii="Arial Narrow" w:hAnsi="Arial Narrow" w:eastAsiaTheme="minorEastAsia"/>
          <w:sz w:val="24"/>
        </w:rPr>
        <w:t>切合实际的实施方案，具备实施条件，衔接资金未用于项目库之外的项目。</w:t>
      </w:r>
    </w:p>
    <w:p w14:paraId="328E22F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Fonts w:hint="eastAsia" w:ascii="Arial Narrow" w:hAnsi="Arial Narrow" w:eastAsiaTheme="minorEastAsia"/>
          <w:sz w:val="24"/>
        </w:rPr>
        <w:t>项目绩效管理情况</w:t>
      </w:r>
    </w:p>
    <w:p w14:paraId="05A8AB85">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沿河村</w:t>
      </w:r>
      <w:r>
        <w:rPr>
          <w:rFonts w:ascii="Arial Narrow" w:hAnsi="Arial Narrow" w:eastAsiaTheme="minorEastAsia"/>
          <w:sz w:val="24"/>
        </w:rPr>
        <w:t>2023</w:t>
      </w:r>
      <w:r>
        <w:rPr>
          <w:rFonts w:hint="eastAsia" w:ascii="Arial Narrow" w:hAnsi="Arial Narrow" w:eastAsiaTheme="minorEastAsia"/>
          <w:sz w:val="24"/>
        </w:rPr>
        <w:t>年乡村振兴产业发展项目、新堰村水肥一体化管网建设项目、杨柳村</w:t>
      </w:r>
      <w:r>
        <w:rPr>
          <w:rFonts w:ascii="Arial Narrow" w:hAnsi="Arial Narrow" w:eastAsiaTheme="minorEastAsia"/>
          <w:sz w:val="24"/>
        </w:rPr>
        <w:t>2023</w:t>
      </w:r>
      <w:r>
        <w:rPr>
          <w:rFonts w:hint="eastAsia" w:ascii="Arial Narrow" w:hAnsi="Arial Narrow" w:eastAsiaTheme="minorEastAsia"/>
          <w:sz w:val="24"/>
        </w:rPr>
        <w:t>年乡村振兴产业发展项目及时制定了明确的绩效目标，实施过程中对绩效目标进行监控，对绩效目标偏离项目采取纠偏措施，在项目实施完毕后开展了绩效自评，并形成绩效自评表、自评报告。未见以上</w:t>
      </w:r>
      <w:r>
        <w:rPr>
          <w:rFonts w:ascii="Arial Narrow" w:hAnsi="Arial Narrow" w:eastAsiaTheme="minorEastAsia"/>
          <w:sz w:val="24"/>
        </w:rPr>
        <w:t>3</w:t>
      </w:r>
      <w:r>
        <w:rPr>
          <w:rFonts w:hint="eastAsia" w:ascii="Arial Narrow" w:hAnsi="Arial Narrow" w:eastAsiaTheme="minorEastAsia"/>
          <w:sz w:val="24"/>
        </w:rPr>
        <w:t>个项目绩效目标审核表。</w:t>
      </w:r>
    </w:p>
    <w:p w14:paraId="3CFFE0B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w:t>
      </w:r>
      <w:r>
        <w:rPr>
          <w:rFonts w:hint="eastAsia" w:ascii="Arial Narrow" w:hAnsi="Arial Narrow" w:eastAsiaTheme="minorEastAsia"/>
          <w:sz w:val="24"/>
        </w:rPr>
        <w:t>项目建设管理情况</w:t>
      </w:r>
    </w:p>
    <w:p w14:paraId="5BC2942B">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项目实施方案不存在变更情况，实施过程中由重庆市铜梁区维新镇人民政府进行监督检查，检查中未发现重大问题，项目按照实施节点按时提交项目报账资料。杨柳村</w:t>
      </w:r>
      <w:r>
        <w:rPr>
          <w:rFonts w:ascii="Arial Narrow" w:hAnsi="Arial Narrow" w:eastAsiaTheme="minorEastAsia"/>
          <w:sz w:val="24"/>
        </w:rPr>
        <w:t>2023</w:t>
      </w:r>
      <w:r>
        <w:rPr>
          <w:rFonts w:hint="eastAsia" w:ascii="Arial Narrow" w:hAnsi="Arial Narrow" w:eastAsiaTheme="minorEastAsia"/>
          <w:sz w:val="24"/>
        </w:rPr>
        <w:t>年乡村振兴产业发展项目资料管理归档不及时。</w:t>
      </w:r>
    </w:p>
    <w:p w14:paraId="5733A152">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4.</w:t>
      </w:r>
      <w:r>
        <w:rPr>
          <w:rFonts w:hint="eastAsia" w:ascii="Arial Narrow" w:hAnsi="Arial Narrow" w:eastAsiaTheme="minorEastAsia"/>
          <w:sz w:val="24"/>
        </w:rPr>
        <w:t>预算执行率情况</w:t>
      </w:r>
    </w:p>
    <w:p w14:paraId="30AC0AF4">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w:t>
      </w:r>
      <w:r>
        <w:rPr>
          <w:rFonts w:hint="eastAsia" w:ascii="Arial Narrow" w:hAnsi="Arial Narrow" w:eastAsiaTheme="minorEastAsia"/>
          <w:sz w:val="24"/>
        </w:rPr>
        <w:t>个项目最后一笔款项拨付于</w:t>
      </w:r>
      <w:r>
        <w:rPr>
          <w:rFonts w:ascii="Arial Narrow" w:hAnsi="Arial Narrow" w:eastAsiaTheme="minorEastAsia"/>
          <w:sz w:val="24"/>
        </w:rPr>
        <w:t>2023</w:t>
      </w:r>
      <w:r>
        <w:rPr>
          <w:rFonts w:hint="eastAsia" w:ascii="Arial Narrow" w:hAnsi="Arial Narrow" w:eastAsiaTheme="minorEastAsia"/>
          <w:sz w:val="24"/>
        </w:rPr>
        <w:t>年</w:t>
      </w:r>
      <w:r>
        <w:rPr>
          <w:rFonts w:ascii="Arial Narrow" w:hAnsi="Arial Narrow" w:eastAsiaTheme="minorEastAsia"/>
          <w:sz w:val="24"/>
        </w:rPr>
        <w:t>12</w:t>
      </w:r>
      <w:r>
        <w:rPr>
          <w:rFonts w:hint="eastAsia" w:ascii="Arial Narrow" w:hAnsi="Arial Narrow" w:eastAsiaTheme="minorEastAsia"/>
          <w:sz w:val="24"/>
        </w:rPr>
        <w:t>月</w:t>
      </w:r>
      <w:r>
        <w:rPr>
          <w:rFonts w:ascii="Arial Narrow" w:hAnsi="Arial Narrow" w:eastAsiaTheme="minorEastAsia"/>
          <w:sz w:val="24"/>
        </w:rPr>
        <w:t>20</w:t>
      </w:r>
      <w:r>
        <w:rPr>
          <w:rFonts w:hint="eastAsia" w:ascii="Arial Narrow" w:hAnsi="Arial Narrow" w:eastAsiaTheme="minorEastAsia"/>
          <w:sz w:val="24"/>
        </w:rPr>
        <w:t>日，</w:t>
      </w:r>
      <w:r>
        <w:rPr>
          <w:rFonts w:ascii="Arial Narrow" w:hAnsi="Arial Narrow" w:eastAsiaTheme="minorEastAsia"/>
          <w:sz w:val="24"/>
        </w:rPr>
        <w:t>3</w:t>
      </w:r>
      <w:r>
        <w:rPr>
          <w:rFonts w:hint="eastAsia" w:ascii="Arial Narrow" w:hAnsi="Arial Narrow" w:eastAsiaTheme="minorEastAsia"/>
          <w:sz w:val="24"/>
        </w:rPr>
        <w:t>个项目整体支付进度较晚。</w:t>
      </w:r>
    </w:p>
    <w:p w14:paraId="780D7BB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5.</w:t>
      </w:r>
      <w:r>
        <w:rPr>
          <w:rFonts w:hint="eastAsia" w:ascii="Arial Narrow" w:hAnsi="Arial Narrow" w:eastAsiaTheme="minorEastAsia"/>
          <w:sz w:val="24"/>
        </w:rPr>
        <w:t>跟踪督促及发现问题整改情况</w:t>
      </w:r>
    </w:p>
    <w:p w14:paraId="09E33EF9">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通过实施单位提供的监控表、自评表等资料显示，本项目实施单位定期开展项目实施和资金支出进度等跟踪督促，跟踪督促及各类检查发现问题整改到位。</w:t>
      </w:r>
    </w:p>
    <w:p w14:paraId="7670D93F">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6.</w:t>
      </w:r>
      <w:r>
        <w:rPr>
          <w:rFonts w:hint="eastAsia" w:ascii="Arial Narrow" w:hAnsi="Arial Narrow" w:eastAsiaTheme="minorEastAsia"/>
          <w:sz w:val="24"/>
        </w:rPr>
        <w:t>账务处理及档案管理等情况</w:t>
      </w:r>
    </w:p>
    <w:p w14:paraId="2440EC7C">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新堰村水肥一体化管网建设项目、杨柳村</w:t>
      </w:r>
      <w:r>
        <w:rPr>
          <w:rFonts w:ascii="Arial Narrow" w:hAnsi="Arial Narrow" w:eastAsiaTheme="minorEastAsia"/>
          <w:sz w:val="24"/>
        </w:rPr>
        <w:t>2023</w:t>
      </w:r>
      <w:r>
        <w:rPr>
          <w:rFonts w:hint="eastAsia" w:ascii="Arial Narrow" w:hAnsi="Arial Narrow" w:eastAsiaTheme="minorEastAsia"/>
          <w:sz w:val="24"/>
        </w:rPr>
        <w:t>年乡村振兴产业发展项目实施单位对该项目账务处理规范，档案管理完整。沿河村</w:t>
      </w:r>
      <w:r>
        <w:rPr>
          <w:rFonts w:ascii="Arial Narrow" w:hAnsi="Arial Narrow" w:eastAsiaTheme="minorEastAsia"/>
          <w:sz w:val="24"/>
        </w:rPr>
        <w:t>2023</w:t>
      </w:r>
      <w:r>
        <w:rPr>
          <w:rFonts w:hint="eastAsia" w:ascii="Arial Narrow" w:hAnsi="Arial Narrow" w:eastAsiaTheme="minorEastAsia"/>
          <w:sz w:val="24"/>
        </w:rPr>
        <w:t>年乡村振兴产业发展项目档案管理不及时。</w:t>
      </w:r>
    </w:p>
    <w:p w14:paraId="1A75A478">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7.</w:t>
      </w:r>
      <w:r>
        <w:rPr>
          <w:rFonts w:hint="eastAsia" w:ascii="Arial Narrow" w:hAnsi="Arial Narrow" w:eastAsiaTheme="minorEastAsia"/>
          <w:sz w:val="24"/>
        </w:rPr>
        <w:t>信息公开和公告公示制度落实情况</w:t>
      </w:r>
    </w:p>
    <w:p w14:paraId="19A4B4CC">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重庆市铜梁区维新镇人民政府对以上</w:t>
      </w:r>
      <w:r>
        <w:rPr>
          <w:rFonts w:ascii="Arial Narrow" w:hAnsi="Arial Narrow" w:eastAsiaTheme="minorEastAsia"/>
          <w:sz w:val="24"/>
        </w:rPr>
        <w:t>3</w:t>
      </w:r>
      <w:r>
        <w:rPr>
          <w:rFonts w:hint="eastAsia" w:ascii="Arial Narrow" w:hAnsi="Arial Narrow" w:eastAsiaTheme="minorEastAsia"/>
          <w:sz w:val="24"/>
        </w:rPr>
        <w:t>个项目入库情况、资金计划完成情况等进行了公告公示。</w:t>
      </w:r>
    </w:p>
    <w:p w14:paraId="10E71A0F">
      <w:pPr>
        <w:spacing w:line="360" w:lineRule="auto"/>
        <w:ind w:firstLine="482" w:firstLineChars="200"/>
        <w:jc w:val="left"/>
        <w:outlineLvl w:val="0"/>
        <w:rPr>
          <w:rFonts w:ascii="Arial Narrow" w:hAnsi="Arial Narrow" w:eastAsiaTheme="minorEastAsia"/>
          <w:b/>
          <w:sz w:val="24"/>
        </w:rPr>
      </w:pPr>
      <w:bookmarkStart w:id="26" w:name="_Toc171673243"/>
      <w:r>
        <w:rPr>
          <w:rFonts w:hint="eastAsia" w:ascii="Arial Narrow" w:hAnsi="Arial Narrow" w:eastAsiaTheme="minorEastAsia"/>
          <w:b/>
          <w:sz w:val="24"/>
        </w:rPr>
        <w:t>（三）使用成效及通报情况</w:t>
      </w:r>
      <w:bookmarkEnd w:id="26"/>
    </w:p>
    <w:p w14:paraId="5753EC7E">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w:t>
      </w:r>
      <w:r>
        <w:rPr>
          <w:rFonts w:hint="eastAsia" w:ascii="Arial Narrow" w:hAnsi="Arial Narrow" w:eastAsiaTheme="minorEastAsia"/>
          <w:sz w:val="24"/>
        </w:rPr>
        <w:t>资金使用效益</w:t>
      </w:r>
    </w:p>
    <w:p w14:paraId="1090C558">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项目总体资金均专款专用，项目完成进度和及时性达到计划预期目的。完成项目的质量能够达标，完成进行了自评、项目资金完整。</w:t>
      </w:r>
    </w:p>
    <w:p w14:paraId="2475FD0A">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Fonts w:hint="eastAsia" w:ascii="Arial Narrow" w:hAnsi="Arial Narrow" w:eastAsiaTheme="minorEastAsia"/>
          <w:sz w:val="24"/>
        </w:rPr>
        <w:t>通报情况</w:t>
      </w:r>
    </w:p>
    <w:p w14:paraId="6B191B6E">
      <w:pPr>
        <w:adjustRightInd w:val="0"/>
        <w:snapToGrid w:val="0"/>
        <w:spacing w:line="360" w:lineRule="auto"/>
        <w:ind w:firstLine="480" w:firstLineChars="200"/>
        <w:rPr>
          <w:rFonts w:ascii="Arial Narrow" w:hAnsi="Arial Narrow" w:eastAsiaTheme="minorEastAsia"/>
          <w:sz w:val="24"/>
        </w:rPr>
      </w:pPr>
      <w:r>
        <w:rPr>
          <w:rFonts w:hint="eastAsia" w:ascii="Arial Narrow" w:hAnsi="Arial Narrow" w:eastAsiaTheme="minorEastAsia"/>
          <w:sz w:val="24"/>
        </w:rPr>
        <w:t>沿河村</w:t>
      </w:r>
      <w:r>
        <w:rPr>
          <w:rFonts w:ascii="Arial Narrow" w:hAnsi="Arial Narrow" w:eastAsiaTheme="minorEastAsia"/>
          <w:sz w:val="24"/>
        </w:rPr>
        <w:t>2023</w:t>
      </w:r>
      <w:r>
        <w:rPr>
          <w:rFonts w:hint="eastAsia" w:ascii="Arial Narrow" w:hAnsi="Arial Narrow" w:eastAsiaTheme="minorEastAsia"/>
          <w:sz w:val="24"/>
        </w:rPr>
        <w:t>年乡村振兴产业发展项目</w:t>
      </w:r>
      <w:r>
        <w:rPr>
          <w:rFonts w:hint="eastAsia" w:ascii="Arial Narrow" w:hAnsi="Arial Narrow" w:eastAsiaTheme="minorEastAsia"/>
          <w:sz w:val="24"/>
          <w:lang w:eastAsia="zh-CN"/>
        </w:rPr>
        <w:t>（</w:t>
      </w:r>
      <w:r>
        <w:rPr>
          <w:rFonts w:hint="eastAsia" w:ascii="Arial Narrow" w:hAnsi="Arial Narrow" w:eastAsiaTheme="minorEastAsia"/>
          <w:sz w:val="24"/>
        </w:rPr>
        <w:t>铜财</w:t>
      </w:r>
      <w:bookmarkStart w:id="27" w:name="_Hlk170385860"/>
      <w:r>
        <w:rPr>
          <w:rFonts w:hint="eastAsia" w:ascii="Arial Narrow" w:hAnsi="Arial Narrow" w:eastAsiaTheme="minorEastAsia"/>
          <w:sz w:val="24"/>
          <w:lang w:eastAsia="zh-CN"/>
        </w:rPr>
        <w:t>〔2023〕478号</w:t>
      </w:r>
      <w:bookmarkEnd w:id="27"/>
      <w:r>
        <w:rPr>
          <w:rFonts w:hint="eastAsia" w:ascii="Arial Narrow" w:hAnsi="Arial Narrow" w:eastAsiaTheme="minorEastAsia"/>
          <w:sz w:val="24"/>
          <w:lang w:eastAsia="zh-CN"/>
        </w:rPr>
        <w:t>）</w:t>
      </w:r>
      <w:r>
        <w:rPr>
          <w:rFonts w:hint="eastAsia" w:ascii="Arial Narrow" w:hAnsi="Arial Narrow" w:eastAsiaTheme="minorEastAsia"/>
          <w:sz w:val="24"/>
        </w:rPr>
        <w:t>文件通报：支出进度滞后；新堰村水肥一体化管网建设项目</w:t>
      </w:r>
      <w:r>
        <w:rPr>
          <w:rFonts w:hint="eastAsia" w:ascii="Arial Narrow" w:hAnsi="Arial Narrow" w:eastAsiaTheme="minorEastAsia"/>
          <w:sz w:val="24"/>
          <w:lang w:eastAsia="zh-CN"/>
        </w:rPr>
        <w:t>（</w:t>
      </w:r>
      <w:r>
        <w:rPr>
          <w:rFonts w:hint="eastAsia" w:ascii="Arial Narrow" w:hAnsi="Arial Narrow" w:eastAsiaTheme="minorEastAsia"/>
          <w:sz w:val="24"/>
        </w:rPr>
        <w:t>铜乡振</w:t>
      </w:r>
      <w:r>
        <w:rPr>
          <w:rFonts w:hint="eastAsia" w:ascii="Arial Narrow" w:hAnsi="Arial Narrow" w:eastAsiaTheme="minorEastAsia"/>
          <w:sz w:val="24"/>
          <w:lang w:eastAsia="zh-CN"/>
        </w:rPr>
        <w:t>〔2023〕19号）</w:t>
      </w:r>
      <w:r>
        <w:rPr>
          <w:rFonts w:hint="eastAsia" w:ascii="Arial Narrow" w:hAnsi="Arial Narrow" w:eastAsiaTheme="minorEastAsia"/>
          <w:sz w:val="24"/>
        </w:rPr>
        <w:t>通报：项目进度滞后，</w:t>
      </w:r>
      <w:r>
        <w:rPr>
          <w:rFonts w:hint="eastAsia" w:ascii="Arial Narrow" w:hAnsi="Arial Narrow" w:eastAsiaTheme="minorEastAsia"/>
          <w:sz w:val="24"/>
          <w:lang w:eastAsia="zh-CN"/>
        </w:rPr>
        <w:t>（</w:t>
      </w:r>
      <w:r>
        <w:rPr>
          <w:rFonts w:hint="eastAsia" w:ascii="Arial Narrow" w:hAnsi="Arial Narrow" w:eastAsiaTheme="minorEastAsia"/>
          <w:sz w:val="24"/>
        </w:rPr>
        <w:t>铜财</w:t>
      </w:r>
      <w:r>
        <w:rPr>
          <w:rFonts w:hint="eastAsia" w:ascii="Arial Narrow" w:hAnsi="Arial Narrow" w:eastAsiaTheme="minorEastAsia"/>
          <w:sz w:val="24"/>
          <w:lang w:eastAsia="zh-CN"/>
        </w:rPr>
        <w:t>〔2023〕478号）</w:t>
      </w:r>
      <w:r>
        <w:rPr>
          <w:rFonts w:hint="eastAsia" w:ascii="Arial Narrow" w:hAnsi="Arial Narrow" w:eastAsiaTheme="minorEastAsia"/>
          <w:sz w:val="24"/>
        </w:rPr>
        <w:t>文件通报：支出进度滞后；杨柳村</w:t>
      </w:r>
      <w:r>
        <w:rPr>
          <w:rFonts w:ascii="Arial Narrow" w:hAnsi="Arial Narrow" w:eastAsiaTheme="minorEastAsia"/>
          <w:sz w:val="24"/>
        </w:rPr>
        <w:t>2023</w:t>
      </w:r>
      <w:r>
        <w:rPr>
          <w:rFonts w:hint="eastAsia" w:ascii="Arial Narrow" w:hAnsi="Arial Narrow" w:eastAsiaTheme="minorEastAsia"/>
          <w:sz w:val="24"/>
        </w:rPr>
        <w:t>年乡村振兴产业发展项目</w:t>
      </w:r>
      <w:r>
        <w:rPr>
          <w:rFonts w:hint="eastAsia" w:ascii="Arial Narrow" w:hAnsi="Arial Narrow" w:eastAsiaTheme="minorEastAsia"/>
          <w:sz w:val="24"/>
          <w:lang w:eastAsia="zh-CN"/>
        </w:rPr>
        <w:t>（</w:t>
      </w:r>
      <w:r>
        <w:rPr>
          <w:rFonts w:hint="eastAsia" w:ascii="Arial Narrow" w:hAnsi="Arial Narrow" w:eastAsiaTheme="minorEastAsia"/>
          <w:sz w:val="24"/>
        </w:rPr>
        <w:t>铜乡振</w:t>
      </w:r>
      <w:r>
        <w:rPr>
          <w:rFonts w:hint="eastAsia" w:ascii="Arial Narrow" w:hAnsi="Arial Narrow" w:eastAsiaTheme="minorEastAsia"/>
          <w:sz w:val="24"/>
          <w:lang w:eastAsia="zh-CN"/>
        </w:rPr>
        <w:t>〔2023〕19号）</w:t>
      </w:r>
      <w:r>
        <w:rPr>
          <w:rFonts w:hint="eastAsia" w:ascii="Arial Narrow" w:hAnsi="Arial Narrow" w:eastAsiaTheme="minorEastAsia"/>
          <w:sz w:val="24"/>
        </w:rPr>
        <w:t>通报：进度已达</w:t>
      </w:r>
      <w:r>
        <w:rPr>
          <w:rFonts w:ascii="Arial Narrow" w:hAnsi="Arial Narrow" w:eastAsiaTheme="minorEastAsia"/>
          <w:sz w:val="24"/>
        </w:rPr>
        <w:t>80%</w:t>
      </w:r>
      <w:r>
        <w:rPr>
          <w:rFonts w:hint="eastAsia" w:ascii="Arial Narrow" w:hAnsi="Arial Narrow" w:eastAsiaTheme="minorEastAsia"/>
          <w:sz w:val="24"/>
        </w:rPr>
        <w:t>未完工项目，</w:t>
      </w:r>
      <w:r>
        <w:rPr>
          <w:rFonts w:hint="eastAsia" w:ascii="Arial Narrow" w:hAnsi="Arial Narrow" w:eastAsiaTheme="minorEastAsia"/>
          <w:sz w:val="24"/>
          <w:lang w:eastAsia="zh-CN"/>
        </w:rPr>
        <w:t>（</w:t>
      </w:r>
      <w:r>
        <w:rPr>
          <w:rFonts w:hint="eastAsia" w:ascii="Arial Narrow" w:hAnsi="Arial Narrow" w:eastAsiaTheme="minorEastAsia"/>
          <w:sz w:val="24"/>
        </w:rPr>
        <w:t>铜财</w:t>
      </w:r>
      <w:bookmarkStart w:id="28" w:name="_Hlk170385988"/>
      <w:r>
        <w:rPr>
          <w:rFonts w:hint="eastAsia" w:ascii="Arial Narrow" w:hAnsi="Arial Narrow" w:eastAsiaTheme="minorEastAsia"/>
          <w:sz w:val="24"/>
          <w:lang w:eastAsia="zh-CN"/>
        </w:rPr>
        <w:t>〔2023〕478号</w:t>
      </w:r>
      <w:bookmarkEnd w:id="28"/>
      <w:r>
        <w:rPr>
          <w:rFonts w:hint="eastAsia" w:ascii="Arial Narrow" w:hAnsi="Arial Narrow" w:eastAsiaTheme="minorEastAsia"/>
          <w:sz w:val="24"/>
          <w:lang w:eastAsia="zh-CN"/>
        </w:rPr>
        <w:t>）</w:t>
      </w:r>
      <w:r>
        <w:rPr>
          <w:rFonts w:hint="eastAsia" w:ascii="Arial Narrow" w:hAnsi="Arial Narrow" w:eastAsiaTheme="minorEastAsia"/>
          <w:sz w:val="24"/>
        </w:rPr>
        <w:t>文件通报：支出进度滞后。</w:t>
      </w:r>
    </w:p>
    <w:p w14:paraId="17A440CC">
      <w:pPr>
        <w:spacing w:line="360" w:lineRule="auto"/>
        <w:ind w:firstLine="482" w:firstLineChars="200"/>
        <w:outlineLvl w:val="0"/>
        <w:rPr>
          <w:rFonts w:ascii="Arial Narrow" w:hAnsi="Arial Narrow" w:eastAsiaTheme="minorEastAsia"/>
          <w:b/>
          <w:sz w:val="24"/>
        </w:rPr>
      </w:pPr>
      <w:bookmarkStart w:id="29" w:name="_Toc171673244"/>
      <w:r>
        <w:rPr>
          <w:rFonts w:hint="eastAsia" w:ascii="Arial Narrow" w:hAnsi="Arial Narrow" w:eastAsiaTheme="minorEastAsia"/>
          <w:b/>
          <w:sz w:val="24"/>
        </w:rPr>
        <w:t>五、存在的问题和建议</w:t>
      </w:r>
      <w:bookmarkEnd w:id="29"/>
    </w:p>
    <w:p w14:paraId="22C6C1D3">
      <w:pPr>
        <w:spacing w:line="360" w:lineRule="auto"/>
        <w:ind w:firstLine="482" w:firstLineChars="200"/>
        <w:jc w:val="left"/>
        <w:outlineLvl w:val="0"/>
        <w:rPr>
          <w:rFonts w:ascii="Arial Narrow" w:hAnsi="Arial Narrow" w:eastAsiaTheme="minorEastAsia"/>
          <w:b/>
          <w:sz w:val="24"/>
        </w:rPr>
      </w:pPr>
      <w:bookmarkStart w:id="30" w:name="_Toc171673245"/>
      <w:r>
        <w:rPr>
          <w:rFonts w:hint="eastAsia" w:ascii="Arial Narrow" w:hAnsi="Arial Narrow" w:eastAsiaTheme="minorEastAsia"/>
          <w:b/>
          <w:sz w:val="24"/>
        </w:rPr>
        <w:t>（一）存在问题</w:t>
      </w:r>
      <w:bookmarkEnd w:id="30"/>
    </w:p>
    <w:p w14:paraId="3163602B">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1.</w:t>
      </w:r>
      <w:r>
        <w:rPr>
          <w:rFonts w:hint="eastAsia" w:ascii="Arial Narrow" w:hAnsi="Arial Narrow" w:eastAsiaTheme="minorEastAsia"/>
          <w:sz w:val="24"/>
        </w:rPr>
        <w:t>项目缺少绩效目标审核表。</w:t>
      </w:r>
    </w:p>
    <w:p w14:paraId="4EBA1601">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2.</w:t>
      </w:r>
      <w:r>
        <w:rPr>
          <w:rFonts w:hint="eastAsia" w:ascii="Arial Narrow" w:hAnsi="Arial Narrow" w:eastAsiaTheme="minorEastAsia"/>
          <w:sz w:val="24"/>
        </w:rPr>
        <w:t>部分项目资金拨付进度较晚，最后一笔款于</w:t>
      </w:r>
      <w:r>
        <w:rPr>
          <w:rFonts w:ascii="Arial Narrow" w:hAnsi="Arial Narrow" w:eastAsiaTheme="minorEastAsia"/>
          <w:sz w:val="24"/>
        </w:rPr>
        <w:t>2023</w:t>
      </w:r>
      <w:r>
        <w:rPr>
          <w:rFonts w:hint="eastAsia" w:ascii="Arial Narrow" w:hAnsi="Arial Narrow" w:eastAsiaTheme="minorEastAsia"/>
          <w:sz w:val="24"/>
        </w:rPr>
        <w:t>年</w:t>
      </w:r>
      <w:r>
        <w:rPr>
          <w:rFonts w:ascii="Arial Narrow" w:hAnsi="Arial Narrow" w:eastAsiaTheme="minorEastAsia"/>
          <w:sz w:val="24"/>
        </w:rPr>
        <w:t>12</w:t>
      </w:r>
      <w:r>
        <w:rPr>
          <w:rFonts w:hint="eastAsia" w:ascii="Arial Narrow" w:hAnsi="Arial Narrow" w:eastAsiaTheme="minorEastAsia"/>
          <w:sz w:val="24"/>
        </w:rPr>
        <w:t>月支出。</w:t>
      </w:r>
    </w:p>
    <w:p w14:paraId="58600519">
      <w:pPr>
        <w:adjustRightInd w:val="0"/>
        <w:snapToGrid w:val="0"/>
        <w:spacing w:line="360" w:lineRule="auto"/>
        <w:ind w:firstLine="480" w:firstLineChars="200"/>
        <w:rPr>
          <w:rFonts w:ascii="Arial Narrow" w:hAnsi="Arial Narrow" w:eastAsiaTheme="minorEastAsia"/>
          <w:sz w:val="24"/>
        </w:rPr>
      </w:pPr>
      <w:r>
        <w:rPr>
          <w:rFonts w:ascii="Arial Narrow" w:hAnsi="Arial Narrow" w:eastAsiaTheme="minorEastAsia"/>
          <w:sz w:val="24"/>
        </w:rPr>
        <w:t>3.</w:t>
      </w:r>
      <w:r>
        <w:rPr>
          <w:rFonts w:hint="eastAsia" w:ascii="Arial Narrow" w:hAnsi="Arial Narrow" w:eastAsiaTheme="minorEastAsia"/>
          <w:sz w:val="24"/>
        </w:rPr>
        <w:t>日常档案管理资料整理归档不及时。</w:t>
      </w:r>
    </w:p>
    <w:p w14:paraId="25641BAF">
      <w:pPr>
        <w:spacing w:line="360" w:lineRule="auto"/>
        <w:ind w:firstLine="482" w:firstLineChars="200"/>
        <w:jc w:val="left"/>
        <w:outlineLvl w:val="0"/>
        <w:rPr>
          <w:rFonts w:ascii="Arial Narrow" w:hAnsi="Arial Narrow" w:eastAsiaTheme="minorEastAsia"/>
          <w:b/>
          <w:sz w:val="24"/>
        </w:rPr>
      </w:pPr>
      <w:bookmarkStart w:id="31" w:name="_Toc171673246"/>
      <w:r>
        <w:rPr>
          <w:rFonts w:hint="eastAsia" w:ascii="Arial Narrow" w:hAnsi="Arial Narrow" w:eastAsiaTheme="minorEastAsia"/>
          <w:b/>
          <w:sz w:val="24"/>
        </w:rPr>
        <w:t>（二）建议</w:t>
      </w:r>
      <w:bookmarkEnd w:id="31"/>
    </w:p>
    <w:p w14:paraId="19E7B1ED">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1.</w:t>
      </w:r>
      <w:r>
        <w:rPr>
          <w:rStyle w:val="11"/>
          <w:rFonts w:hint="eastAsia" w:ascii="Arial Narrow" w:hAnsi="Arial Narrow" w:eastAsiaTheme="minorEastAsia"/>
          <w:color w:val="auto"/>
          <w:sz w:val="24"/>
          <w:u w:val="none"/>
        </w:rPr>
        <w:t>项目实施完毕后及时展开自评程序，完善自评表、自评报告，总结项目经验，为巩固拓展脱贫攻坚成果同乡村振兴有效衔接决策和分配财政专项衔接资金提供重要参考。</w:t>
      </w:r>
    </w:p>
    <w:p w14:paraId="2838D2FD">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rPr>
        <w:t>严格按照财政资金预算执行，及时拨付项目资金。针对财政专项资金</w:t>
      </w:r>
      <w:r>
        <w:rPr>
          <w:rStyle w:val="11"/>
          <w:rFonts w:ascii="Arial Narrow" w:hAnsi="Arial Narrow" w:eastAsiaTheme="minorEastAsia"/>
          <w:color w:val="auto"/>
          <w:sz w:val="24"/>
          <w:u w:val="none"/>
        </w:rPr>
        <w:t>,</w:t>
      </w:r>
      <w:r>
        <w:rPr>
          <w:rStyle w:val="11"/>
          <w:rFonts w:hint="eastAsia" w:ascii="Arial Narrow" w:hAnsi="Arial Narrow" w:eastAsiaTheme="minorEastAsia"/>
          <w:color w:val="auto"/>
          <w:sz w:val="24"/>
          <w:u w:val="none"/>
        </w:rPr>
        <w:t>建议实施单位在规定时间内支付项目资金</w:t>
      </w:r>
      <w:r>
        <w:rPr>
          <w:rStyle w:val="11"/>
          <w:rFonts w:ascii="Arial Narrow" w:hAnsi="Arial Narrow" w:eastAsiaTheme="minorEastAsia"/>
          <w:color w:val="auto"/>
          <w:sz w:val="24"/>
          <w:u w:val="none"/>
        </w:rPr>
        <w:t>,</w:t>
      </w:r>
      <w:r>
        <w:rPr>
          <w:rStyle w:val="11"/>
          <w:rFonts w:hint="eastAsia" w:ascii="Arial Narrow" w:hAnsi="Arial Narrow" w:eastAsiaTheme="minorEastAsia"/>
          <w:color w:val="auto"/>
          <w:sz w:val="24"/>
          <w:u w:val="none"/>
        </w:rPr>
        <w:t>杜绝资金滞留、挤占、截留、挪用等现象的发生。</w:t>
      </w:r>
    </w:p>
    <w:p w14:paraId="28CBD28A">
      <w:pPr>
        <w:adjustRightInd w:val="0"/>
        <w:snapToGrid w:val="0"/>
        <w:spacing w:line="360" w:lineRule="auto"/>
        <w:ind w:firstLine="480" w:firstLineChars="2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3.</w:t>
      </w:r>
      <w:r>
        <w:rPr>
          <w:rStyle w:val="11"/>
          <w:rFonts w:hint="eastAsia" w:ascii="Arial Narrow" w:hAnsi="Arial Narrow" w:eastAsiaTheme="minorEastAsia"/>
          <w:color w:val="auto"/>
          <w:sz w:val="24"/>
          <w:u w:val="none"/>
        </w:rPr>
        <w:t>建议及时检查归档资料是否完备，以保持资料的完整性；避免造成资料的缺失遗漏。</w:t>
      </w:r>
    </w:p>
    <w:p w14:paraId="199AE8F5">
      <w:pPr>
        <w:adjustRightInd w:val="0"/>
        <w:snapToGrid w:val="0"/>
        <w:spacing w:line="360" w:lineRule="auto"/>
        <w:ind w:firstLine="480" w:firstLineChars="200"/>
        <w:rPr>
          <w:rStyle w:val="11"/>
          <w:rFonts w:ascii="Arial Narrow" w:hAnsi="Arial Narrow" w:eastAsiaTheme="minorEastAsia"/>
          <w:color w:val="auto"/>
          <w:sz w:val="24"/>
          <w:u w:val="none"/>
        </w:rPr>
      </w:pPr>
    </w:p>
    <w:p w14:paraId="427884C2">
      <w:pPr>
        <w:adjustRightInd w:val="0"/>
        <w:snapToGrid w:val="0"/>
        <w:spacing w:line="360" w:lineRule="auto"/>
        <w:ind w:firstLine="480" w:firstLineChars="200"/>
        <w:rPr>
          <w:rStyle w:val="11"/>
          <w:rFonts w:ascii="Arial Narrow" w:hAnsi="Arial Narrow" w:eastAsiaTheme="minorEastAsia"/>
          <w:color w:val="auto"/>
          <w:sz w:val="24"/>
          <w:u w:val="none"/>
        </w:rPr>
      </w:pPr>
    </w:p>
    <w:p w14:paraId="3345F667">
      <w:pPr>
        <w:adjustRightInd w:val="0"/>
        <w:snapToGrid w:val="0"/>
        <w:spacing w:line="360" w:lineRule="auto"/>
        <w:ind w:firstLine="420" w:firstLineChars="200"/>
        <w:rPr>
          <w:rStyle w:val="11"/>
          <w:rFonts w:ascii="Arial Narrow" w:hAnsi="Arial Narrow" w:eastAsiaTheme="minorEastAsia"/>
          <w:color w:val="auto"/>
          <w:u w:val="none"/>
        </w:rPr>
      </w:pPr>
    </w:p>
    <w:p w14:paraId="1296D763">
      <w:pPr>
        <w:adjustRightInd w:val="0"/>
        <w:snapToGrid w:val="0"/>
        <w:spacing w:line="360" w:lineRule="auto"/>
        <w:rPr>
          <w:rStyle w:val="11"/>
          <w:rFonts w:ascii="Arial Narrow" w:hAnsi="Arial Narrow" w:eastAsiaTheme="minorEastAsia"/>
          <w:color w:val="auto"/>
          <w:sz w:val="24"/>
          <w:u w:val="none"/>
        </w:rPr>
      </w:pPr>
      <w:r>
        <w:rPr>
          <w:rStyle w:val="11"/>
          <w:rFonts w:hint="eastAsia" w:ascii="Arial Narrow" w:hAnsi="Arial Narrow" w:eastAsiaTheme="minorEastAsia"/>
          <w:color w:val="auto"/>
          <w:sz w:val="24"/>
          <w:u w:val="none"/>
        </w:rPr>
        <w:t>附件：</w:t>
      </w:r>
      <w:r>
        <w:rPr>
          <w:rStyle w:val="11"/>
          <w:rFonts w:ascii="Arial Narrow" w:hAnsi="Arial Narrow" w:eastAsiaTheme="minorEastAsia"/>
          <w:color w:val="auto"/>
          <w:sz w:val="24"/>
          <w:u w:val="none"/>
        </w:rPr>
        <w:t>1</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铜梁区衔接资金项目绩效评价及考核指标评分表；</w:t>
      </w:r>
    </w:p>
    <w:p w14:paraId="41F6C078">
      <w:pPr>
        <w:adjustRightInd w:val="0"/>
        <w:snapToGrid w:val="0"/>
        <w:spacing w:line="360" w:lineRule="auto"/>
        <w:ind w:firstLine="720" w:firstLineChars="300"/>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2</w:t>
      </w:r>
      <w:r>
        <w:rPr>
          <w:rStyle w:val="11"/>
          <w:rFonts w:hint="eastAsia" w:ascii="Arial Narrow" w:hAnsi="Arial Narrow" w:eastAsiaTheme="minorEastAsia"/>
          <w:color w:val="auto"/>
          <w:sz w:val="24"/>
          <w:u w:val="none"/>
          <w:lang w:val="en-US" w:eastAsia="zh-CN"/>
        </w:rPr>
        <w:t>.</w:t>
      </w:r>
      <w:r>
        <w:rPr>
          <w:rStyle w:val="11"/>
          <w:rFonts w:hint="eastAsia" w:ascii="Arial Narrow" w:hAnsi="Arial Narrow" w:eastAsiaTheme="minorEastAsia"/>
          <w:color w:val="auto"/>
          <w:sz w:val="24"/>
          <w:u w:val="none"/>
        </w:rPr>
        <w:t>会计师事务所营业执照和资质复印件。</w:t>
      </w:r>
    </w:p>
    <w:p w14:paraId="0BB24358">
      <w:pPr>
        <w:adjustRightInd w:val="0"/>
        <w:snapToGrid w:val="0"/>
        <w:spacing w:line="360" w:lineRule="auto"/>
        <w:ind w:firstLine="720" w:firstLineChars="300"/>
        <w:rPr>
          <w:rStyle w:val="11"/>
          <w:rFonts w:ascii="Arial Narrow" w:hAnsi="Arial Narrow" w:eastAsiaTheme="minorEastAsia"/>
          <w:color w:val="auto"/>
          <w:sz w:val="24"/>
          <w:u w:val="none"/>
        </w:rPr>
      </w:pPr>
    </w:p>
    <w:p w14:paraId="26AA942A">
      <w:pPr>
        <w:adjustRightInd w:val="0"/>
        <w:snapToGrid w:val="0"/>
        <w:spacing w:line="360" w:lineRule="auto"/>
        <w:ind w:firstLine="720" w:firstLineChars="300"/>
        <w:rPr>
          <w:rStyle w:val="11"/>
          <w:rFonts w:ascii="Arial Narrow" w:hAnsi="Arial Narrow" w:eastAsiaTheme="minorEastAsia"/>
          <w:color w:val="auto"/>
          <w:sz w:val="24"/>
          <w:u w:val="none"/>
        </w:rPr>
      </w:pPr>
    </w:p>
    <w:p w14:paraId="1B229A41">
      <w:pPr>
        <w:adjustRightInd w:val="0"/>
        <w:snapToGrid w:val="0"/>
        <w:spacing w:line="360" w:lineRule="auto"/>
        <w:ind w:firstLine="720" w:firstLineChars="300"/>
        <w:rPr>
          <w:rStyle w:val="11"/>
          <w:rFonts w:ascii="Arial Narrow" w:hAnsi="Arial Narrow" w:eastAsiaTheme="minorEastAsia"/>
          <w:color w:val="auto"/>
          <w:sz w:val="24"/>
          <w:u w:val="none"/>
        </w:rPr>
      </w:pPr>
    </w:p>
    <w:p w14:paraId="58EB09CF">
      <w:pPr>
        <w:adjustRightInd w:val="0"/>
        <w:snapToGrid w:val="0"/>
        <w:spacing w:line="360" w:lineRule="auto"/>
        <w:jc w:val="right"/>
        <w:rPr>
          <w:rStyle w:val="11"/>
          <w:rFonts w:ascii="Arial Narrow" w:hAnsi="Arial Narrow" w:eastAsiaTheme="minorEastAsia"/>
          <w:color w:val="auto"/>
          <w:sz w:val="24"/>
          <w:u w:val="none"/>
        </w:rPr>
      </w:pPr>
      <w:r>
        <w:rPr>
          <w:rStyle w:val="11"/>
          <w:rFonts w:ascii="Arial Narrow" w:hAnsi="Arial Narrow" w:eastAsiaTheme="minorEastAsia"/>
          <w:color w:val="auto"/>
          <w:sz w:val="24"/>
          <w:u w:val="none"/>
        </w:rPr>
        <w:t xml:space="preserve"> </w:t>
      </w:r>
      <w:r>
        <w:rPr>
          <w:rStyle w:val="11"/>
          <w:rFonts w:hint="eastAsia" w:ascii="Arial Narrow" w:hAnsi="Arial Narrow" w:eastAsiaTheme="minorEastAsia"/>
          <w:color w:val="auto"/>
          <w:sz w:val="24"/>
          <w:u w:val="none"/>
        </w:rPr>
        <w:t>重庆铭鸿金全会计师事务所有限责任公司</w:t>
      </w:r>
    </w:p>
    <w:p w14:paraId="3FAA701D">
      <w:pPr>
        <w:adjustRightInd w:val="0"/>
        <w:snapToGrid w:val="0"/>
        <w:spacing w:line="360" w:lineRule="auto"/>
        <w:ind w:right="960" w:firstLine="4800" w:firstLineChars="2000"/>
        <w:jc w:val="right"/>
        <w:rPr>
          <w:rStyle w:val="11"/>
          <w:rFonts w:ascii="Arial Narrow" w:hAnsi="Arial Narrow" w:eastAsiaTheme="minorEastAsia"/>
          <w:color w:val="auto"/>
          <w:sz w:val="24"/>
          <w:u w:val="none"/>
        </w:rPr>
      </w:pPr>
      <w:r>
        <w:rPr>
          <w:rStyle w:val="11"/>
          <w:rFonts w:hint="eastAsia" w:ascii="Arial Narrow" w:hAnsi="Arial Narrow" w:eastAsiaTheme="minorEastAsia"/>
          <w:color w:val="auto"/>
          <w:sz w:val="24"/>
          <w:u w:val="none"/>
        </w:rPr>
        <w:t>二</w:t>
      </w:r>
      <w:r>
        <w:rPr>
          <w:rStyle w:val="11"/>
          <w:rFonts w:hint="eastAsia" w:ascii="Arial Narrow" w:hAnsi="Arial Narrow" w:eastAsiaTheme="minorEastAsia"/>
          <w:color w:val="auto"/>
          <w:sz w:val="24"/>
          <w:u w:val="none"/>
          <w:lang w:val="en-US" w:eastAsia="zh-CN"/>
        </w:rPr>
        <w:t>〇</w:t>
      </w:r>
      <w:bookmarkStart w:id="32" w:name="_GoBack"/>
      <w:bookmarkEnd w:id="32"/>
      <w:r>
        <w:rPr>
          <w:rStyle w:val="11"/>
          <w:rFonts w:hint="eastAsia" w:ascii="Arial Narrow" w:hAnsi="Arial Narrow" w:eastAsiaTheme="minorEastAsia"/>
          <w:color w:val="auto"/>
          <w:sz w:val="24"/>
          <w:u w:val="none"/>
        </w:rPr>
        <w:t>二四年六月三十日</w:t>
      </w:r>
    </w:p>
    <w:sectPr>
      <w:headerReference r:id="rId4" w:type="default"/>
      <w:footerReference r:id="rId5" w:type="default"/>
      <w:pgSz w:w="11906" w:h="16838"/>
      <w:pgMar w:top="1418" w:right="1418" w:bottom="1134" w:left="1134" w:header="851" w:footer="851" w:gutter="0"/>
      <w:pgNumType w:fmt="decimal" w:start="1"/>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35756">
    <w:pPr>
      <w:pStyle w:val="5"/>
      <w:jc w:val="cente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ED990">
    <w:pPr>
      <w:pStyle w:val="5"/>
      <w:jc w:val="center"/>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034D53">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034D53">
                    <w:pPr>
                      <w:pStyle w:val="5"/>
                      <w:jc w:val="cente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578A9">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51E5D"/>
    <w:rsid w:val="00055BBF"/>
    <w:rsid w:val="00060BD2"/>
    <w:rsid w:val="00063E0B"/>
    <w:rsid w:val="000769EE"/>
    <w:rsid w:val="00080019"/>
    <w:rsid w:val="000933AE"/>
    <w:rsid w:val="000A7E50"/>
    <w:rsid w:val="000D1A3B"/>
    <w:rsid w:val="000D2E2A"/>
    <w:rsid w:val="000E4529"/>
    <w:rsid w:val="000E6A52"/>
    <w:rsid w:val="0010003E"/>
    <w:rsid w:val="00103B93"/>
    <w:rsid w:val="00104568"/>
    <w:rsid w:val="00126B2F"/>
    <w:rsid w:val="00136E3C"/>
    <w:rsid w:val="00143A99"/>
    <w:rsid w:val="00152152"/>
    <w:rsid w:val="00164C87"/>
    <w:rsid w:val="0018023A"/>
    <w:rsid w:val="001A42EB"/>
    <w:rsid w:val="001C6F32"/>
    <w:rsid w:val="001C7870"/>
    <w:rsid w:val="001E0132"/>
    <w:rsid w:val="001F3624"/>
    <w:rsid w:val="001F43AE"/>
    <w:rsid w:val="00216472"/>
    <w:rsid w:val="00224D96"/>
    <w:rsid w:val="00226E7E"/>
    <w:rsid w:val="00266038"/>
    <w:rsid w:val="00276D1C"/>
    <w:rsid w:val="00282997"/>
    <w:rsid w:val="002851E6"/>
    <w:rsid w:val="002A042B"/>
    <w:rsid w:val="002C083D"/>
    <w:rsid w:val="002C15A4"/>
    <w:rsid w:val="002C36AE"/>
    <w:rsid w:val="002C5020"/>
    <w:rsid w:val="002C7EFA"/>
    <w:rsid w:val="002E16A4"/>
    <w:rsid w:val="002F4EA0"/>
    <w:rsid w:val="00324E2F"/>
    <w:rsid w:val="00331DC5"/>
    <w:rsid w:val="0034480A"/>
    <w:rsid w:val="0037066E"/>
    <w:rsid w:val="00384C3C"/>
    <w:rsid w:val="00385A38"/>
    <w:rsid w:val="003879CE"/>
    <w:rsid w:val="00391E00"/>
    <w:rsid w:val="00396E3F"/>
    <w:rsid w:val="003A00D8"/>
    <w:rsid w:val="003B0061"/>
    <w:rsid w:val="003B42BF"/>
    <w:rsid w:val="003F71CF"/>
    <w:rsid w:val="00414A58"/>
    <w:rsid w:val="004200C2"/>
    <w:rsid w:val="00420AA7"/>
    <w:rsid w:val="00421C71"/>
    <w:rsid w:val="00422A98"/>
    <w:rsid w:val="004648F6"/>
    <w:rsid w:val="00470930"/>
    <w:rsid w:val="004C1F3A"/>
    <w:rsid w:val="004C38B4"/>
    <w:rsid w:val="004D0882"/>
    <w:rsid w:val="004D1145"/>
    <w:rsid w:val="004D2A6E"/>
    <w:rsid w:val="004E5E96"/>
    <w:rsid w:val="004E6833"/>
    <w:rsid w:val="004F7A0F"/>
    <w:rsid w:val="00501A64"/>
    <w:rsid w:val="005123FA"/>
    <w:rsid w:val="00536985"/>
    <w:rsid w:val="005557CE"/>
    <w:rsid w:val="00572DD6"/>
    <w:rsid w:val="005733CB"/>
    <w:rsid w:val="005C7459"/>
    <w:rsid w:val="005C7FFB"/>
    <w:rsid w:val="005E133F"/>
    <w:rsid w:val="005E7297"/>
    <w:rsid w:val="005F01BA"/>
    <w:rsid w:val="0061001E"/>
    <w:rsid w:val="0061417A"/>
    <w:rsid w:val="006220C0"/>
    <w:rsid w:val="00645220"/>
    <w:rsid w:val="00655510"/>
    <w:rsid w:val="00674107"/>
    <w:rsid w:val="0069156D"/>
    <w:rsid w:val="0069678B"/>
    <w:rsid w:val="006A58E0"/>
    <w:rsid w:val="006A6481"/>
    <w:rsid w:val="006B32A8"/>
    <w:rsid w:val="006C1F20"/>
    <w:rsid w:val="006D14F7"/>
    <w:rsid w:val="006D4B1D"/>
    <w:rsid w:val="006D5A71"/>
    <w:rsid w:val="006E75D6"/>
    <w:rsid w:val="006E7DA1"/>
    <w:rsid w:val="006F7CBD"/>
    <w:rsid w:val="00715488"/>
    <w:rsid w:val="007154F4"/>
    <w:rsid w:val="00717F73"/>
    <w:rsid w:val="0073019B"/>
    <w:rsid w:val="00730A8E"/>
    <w:rsid w:val="00740E9D"/>
    <w:rsid w:val="00741402"/>
    <w:rsid w:val="007545D5"/>
    <w:rsid w:val="00754AC3"/>
    <w:rsid w:val="00776704"/>
    <w:rsid w:val="00782E61"/>
    <w:rsid w:val="007A6BE6"/>
    <w:rsid w:val="007E7CD8"/>
    <w:rsid w:val="007F7E52"/>
    <w:rsid w:val="00827385"/>
    <w:rsid w:val="00842151"/>
    <w:rsid w:val="00856815"/>
    <w:rsid w:val="008952B1"/>
    <w:rsid w:val="008B4726"/>
    <w:rsid w:val="008B6E1B"/>
    <w:rsid w:val="008D4F7C"/>
    <w:rsid w:val="008D6A0D"/>
    <w:rsid w:val="008E609D"/>
    <w:rsid w:val="0090729E"/>
    <w:rsid w:val="009309C0"/>
    <w:rsid w:val="00930F36"/>
    <w:rsid w:val="0093667D"/>
    <w:rsid w:val="009635F7"/>
    <w:rsid w:val="009813B6"/>
    <w:rsid w:val="00983CB7"/>
    <w:rsid w:val="00992CAD"/>
    <w:rsid w:val="00993A53"/>
    <w:rsid w:val="009957B8"/>
    <w:rsid w:val="0099666C"/>
    <w:rsid w:val="009A16BE"/>
    <w:rsid w:val="009E16CC"/>
    <w:rsid w:val="009F1C42"/>
    <w:rsid w:val="00A066D6"/>
    <w:rsid w:val="00A07053"/>
    <w:rsid w:val="00A14650"/>
    <w:rsid w:val="00A24CB4"/>
    <w:rsid w:val="00A33A49"/>
    <w:rsid w:val="00A352D4"/>
    <w:rsid w:val="00A4579E"/>
    <w:rsid w:val="00A922C5"/>
    <w:rsid w:val="00A94D44"/>
    <w:rsid w:val="00A95CA5"/>
    <w:rsid w:val="00AC3880"/>
    <w:rsid w:val="00AD0284"/>
    <w:rsid w:val="00AE470F"/>
    <w:rsid w:val="00AF58DD"/>
    <w:rsid w:val="00B10CEA"/>
    <w:rsid w:val="00B134A6"/>
    <w:rsid w:val="00B25A79"/>
    <w:rsid w:val="00B3779D"/>
    <w:rsid w:val="00B45718"/>
    <w:rsid w:val="00B53584"/>
    <w:rsid w:val="00B7289F"/>
    <w:rsid w:val="00BA212E"/>
    <w:rsid w:val="00BB0883"/>
    <w:rsid w:val="00BB3674"/>
    <w:rsid w:val="00BB4A6D"/>
    <w:rsid w:val="00BC2692"/>
    <w:rsid w:val="00BC4E0F"/>
    <w:rsid w:val="00BC7BED"/>
    <w:rsid w:val="00BD5399"/>
    <w:rsid w:val="00BD6FFD"/>
    <w:rsid w:val="00C02FB6"/>
    <w:rsid w:val="00C107C7"/>
    <w:rsid w:val="00C12443"/>
    <w:rsid w:val="00C35442"/>
    <w:rsid w:val="00C36A73"/>
    <w:rsid w:val="00C40B00"/>
    <w:rsid w:val="00C4317D"/>
    <w:rsid w:val="00C60A62"/>
    <w:rsid w:val="00CB0F54"/>
    <w:rsid w:val="00CB4D1A"/>
    <w:rsid w:val="00CB54FB"/>
    <w:rsid w:val="00CC769D"/>
    <w:rsid w:val="00CD14AA"/>
    <w:rsid w:val="00CD47AE"/>
    <w:rsid w:val="00CE1CB9"/>
    <w:rsid w:val="00D1562E"/>
    <w:rsid w:val="00D17073"/>
    <w:rsid w:val="00D254D3"/>
    <w:rsid w:val="00D26E16"/>
    <w:rsid w:val="00D415D5"/>
    <w:rsid w:val="00DA5DF0"/>
    <w:rsid w:val="00DB55F0"/>
    <w:rsid w:val="00DB61A1"/>
    <w:rsid w:val="00DC793C"/>
    <w:rsid w:val="00DE10FD"/>
    <w:rsid w:val="00E065AA"/>
    <w:rsid w:val="00E23D6E"/>
    <w:rsid w:val="00E27A95"/>
    <w:rsid w:val="00E43191"/>
    <w:rsid w:val="00E47A16"/>
    <w:rsid w:val="00E66C12"/>
    <w:rsid w:val="00E709E2"/>
    <w:rsid w:val="00E80BDA"/>
    <w:rsid w:val="00E964E2"/>
    <w:rsid w:val="00EA1C10"/>
    <w:rsid w:val="00EB474C"/>
    <w:rsid w:val="00ED0A8C"/>
    <w:rsid w:val="00F13B7F"/>
    <w:rsid w:val="00F36680"/>
    <w:rsid w:val="00F443AC"/>
    <w:rsid w:val="00F54C3F"/>
    <w:rsid w:val="00F61D28"/>
    <w:rsid w:val="00F64D50"/>
    <w:rsid w:val="00F6551E"/>
    <w:rsid w:val="00F84DF0"/>
    <w:rsid w:val="00FA6718"/>
    <w:rsid w:val="00FC592B"/>
    <w:rsid w:val="00FD1A79"/>
    <w:rsid w:val="00FD5031"/>
    <w:rsid w:val="00FD5F18"/>
    <w:rsid w:val="00FE1E65"/>
    <w:rsid w:val="00FE5705"/>
    <w:rsid w:val="00FF4E3B"/>
    <w:rsid w:val="00FF5AA5"/>
    <w:rsid w:val="02717C9D"/>
    <w:rsid w:val="0C955D75"/>
    <w:rsid w:val="10FD0312"/>
    <w:rsid w:val="120E6874"/>
    <w:rsid w:val="23E702A7"/>
    <w:rsid w:val="270731DD"/>
    <w:rsid w:val="28F97DB8"/>
    <w:rsid w:val="341325D3"/>
    <w:rsid w:val="357129F4"/>
    <w:rsid w:val="371050B8"/>
    <w:rsid w:val="3CA85314"/>
    <w:rsid w:val="43602615"/>
    <w:rsid w:val="45947F31"/>
    <w:rsid w:val="45D754A6"/>
    <w:rsid w:val="45FC16F4"/>
    <w:rsid w:val="4A250705"/>
    <w:rsid w:val="4A8911BA"/>
    <w:rsid w:val="4DF1278B"/>
    <w:rsid w:val="566E32CF"/>
    <w:rsid w:val="567568F4"/>
    <w:rsid w:val="60087B46"/>
    <w:rsid w:val="629B4EDD"/>
    <w:rsid w:val="650350C7"/>
    <w:rsid w:val="67FF7282"/>
    <w:rsid w:val="6C0B491D"/>
    <w:rsid w:val="7A692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5"/>
    <w:qFormat/>
    <w:uiPriority w:val="0"/>
    <w:pPr>
      <w:jc w:val="left"/>
    </w:pPr>
  </w:style>
  <w:style w:type="paragraph" w:styleId="4">
    <w:name w:val="Date"/>
    <w:basedOn w:val="1"/>
    <w:next w:val="1"/>
    <w:link w:val="19"/>
    <w:qFormat/>
    <w:uiPriority w:val="0"/>
    <w:pPr>
      <w:ind w:left="100" w:leftChars="2500"/>
    </w:pPr>
  </w:style>
  <w:style w:type="paragraph" w:styleId="5">
    <w:name w:val="footer"/>
    <w:basedOn w:val="1"/>
    <w:qFormat/>
    <w:uiPriority w:val="99"/>
    <w:pPr>
      <w:tabs>
        <w:tab w:val="center" w:pos="4153"/>
        <w:tab w:val="right" w:pos="8306"/>
      </w:tabs>
      <w:snapToGrid w:val="0"/>
      <w:jc w:val="left"/>
    </w:pPr>
    <w:rPr>
      <w:sz w:val="18"/>
      <w:szCs w:val="18"/>
      <w:lang w:val="zh-CN"/>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7">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8">
    <w:name w:val="annotation subject"/>
    <w:basedOn w:val="3"/>
    <w:next w:val="3"/>
    <w:link w:val="16"/>
    <w:qFormat/>
    <w:uiPriority w:val="0"/>
    <w:rPr>
      <w:b/>
      <w:bCs/>
    </w:rPr>
  </w:style>
  <w:style w:type="character" w:styleId="11">
    <w:name w:val="Hyperlink"/>
    <w:qFormat/>
    <w:uiPriority w:val="99"/>
    <w:rPr>
      <w:color w:val="0000FF"/>
      <w:u w:val="single"/>
    </w:rPr>
  </w:style>
  <w:style w:type="character" w:styleId="12">
    <w:name w:val="annotation reference"/>
    <w:basedOn w:val="10"/>
    <w:qFormat/>
    <w:uiPriority w:val="0"/>
    <w:rPr>
      <w:sz w:val="21"/>
      <w:szCs w:val="21"/>
    </w:rPr>
  </w:style>
  <w:style w:type="paragraph" w:customStyle="1" w:styleId="13">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批注文字 字符"/>
    <w:basedOn w:val="10"/>
    <w:link w:val="3"/>
    <w:qFormat/>
    <w:uiPriority w:val="0"/>
    <w:rPr>
      <w:kern w:val="2"/>
      <w:sz w:val="21"/>
      <w:szCs w:val="24"/>
    </w:rPr>
  </w:style>
  <w:style w:type="character" w:customStyle="1" w:styleId="16">
    <w:name w:val="批注主题 字符"/>
    <w:basedOn w:val="15"/>
    <w:link w:val="8"/>
    <w:qFormat/>
    <w:uiPriority w:val="0"/>
    <w:rPr>
      <w:b/>
      <w:bCs/>
      <w:kern w:val="2"/>
      <w:sz w:val="21"/>
      <w:szCs w:val="24"/>
    </w:rPr>
  </w:style>
  <w:style w:type="paragraph" w:styleId="17">
    <w:name w:val="List Paragraph"/>
    <w:basedOn w:val="1"/>
    <w:unhideWhenUsed/>
    <w:qFormat/>
    <w:uiPriority w:val="99"/>
    <w:pPr>
      <w:ind w:firstLine="420" w:firstLineChars="200"/>
    </w:p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日期 字符"/>
    <w:basedOn w:val="10"/>
    <w:link w:val="4"/>
    <w:qFormat/>
    <w:uiPriority w:val="0"/>
    <w:rPr>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6464</Words>
  <Characters>7005</Characters>
  <Lines>61</Lines>
  <Paragraphs>17</Paragraphs>
  <TotalTime>4</TotalTime>
  <ScaleCrop>false</ScaleCrop>
  <LinksUpToDate>false</LinksUpToDate>
  <CharactersWithSpaces>7034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2024-07-12T09:43:00Z</cp:lastPrinted>
  <dcterms:modified xsi:type="dcterms:W3CDTF">2024-11-20T01:27:04Z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83BBBE92EBEB4AAAB7034F5F7C013924_13</vt:lpwstr>
  </property>
</Properties>
</file>