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92AED">
      <w:pPr>
        <w:spacing w:line="360" w:lineRule="auto"/>
        <w:jc w:val="center"/>
        <w:rPr>
          <w:rFonts w:ascii="Arial Narrow" w:hAnsi="Arial Narrow"/>
          <w:b/>
          <w:bCs/>
          <w:sz w:val="36"/>
          <w:szCs w:val="36"/>
        </w:rPr>
      </w:pPr>
    </w:p>
    <w:p w14:paraId="0571A204">
      <w:pPr>
        <w:spacing w:line="360" w:lineRule="auto"/>
        <w:jc w:val="center"/>
        <w:rPr>
          <w:rFonts w:ascii="Arial Narrow" w:hAnsi="Arial Narrow"/>
          <w:b/>
          <w:bCs/>
          <w:sz w:val="36"/>
          <w:szCs w:val="36"/>
        </w:rPr>
      </w:pPr>
    </w:p>
    <w:p w14:paraId="13C65F57">
      <w:pPr>
        <w:spacing w:line="360" w:lineRule="auto"/>
        <w:jc w:val="center"/>
        <w:rPr>
          <w:rFonts w:ascii="Arial Narrow" w:hAnsi="Arial Narrow"/>
          <w:b/>
          <w:bCs/>
          <w:sz w:val="36"/>
          <w:szCs w:val="36"/>
        </w:rPr>
      </w:pPr>
    </w:p>
    <w:p w14:paraId="043539BE">
      <w:pPr>
        <w:spacing w:line="360" w:lineRule="auto"/>
        <w:jc w:val="center"/>
        <w:rPr>
          <w:rFonts w:ascii="Arial Narrow" w:hAnsi="Arial Narrow"/>
          <w:b/>
          <w:bCs/>
          <w:sz w:val="36"/>
          <w:szCs w:val="36"/>
        </w:rPr>
      </w:pPr>
    </w:p>
    <w:p w14:paraId="084D79AE">
      <w:pPr>
        <w:adjustRightInd w:val="0"/>
        <w:snapToGrid w:val="0"/>
        <w:spacing w:line="360" w:lineRule="auto"/>
        <w:jc w:val="center"/>
        <w:rPr>
          <w:rFonts w:hint="default" w:ascii="Arial Narrow" w:hAnsi="Arial Narrow" w:eastAsia="仿宋"/>
          <w:b/>
          <w:sz w:val="36"/>
          <w:szCs w:val="36"/>
          <w:lang w:val="en-US" w:eastAsia="zh-CN"/>
        </w:rPr>
      </w:pPr>
      <w:r>
        <w:rPr>
          <w:rFonts w:hint="eastAsia" w:ascii="Arial Narrow" w:hAnsi="Arial Narrow" w:eastAsia="仿宋"/>
          <w:b/>
          <w:sz w:val="36"/>
          <w:szCs w:val="36"/>
        </w:rPr>
        <w:t>重庆市铜梁区</w:t>
      </w:r>
      <w:r>
        <w:rPr>
          <w:rFonts w:hint="eastAsia" w:ascii="Arial Narrow" w:hAnsi="Arial Narrow" w:eastAsia="仿宋"/>
          <w:b/>
          <w:sz w:val="36"/>
          <w:szCs w:val="36"/>
          <w:lang w:val="en-US" w:eastAsia="zh-CN"/>
        </w:rPr>
        <w:t>庆隆镇庆新村佛手基地基础设施建设</w:t>
      </w:r>
      <w:r>
        <w:rPr>
          <w:rFonts w:hint="eastAsia" w:ascii="Arial Narrow" w:hAnsi="Arial Narrow" w:eastAsia="仿宋"/>
          <w:b/>
          <w:sz w:val="36"/>
          <w:szCs w:val="36"/>
        </w:rPr>
        <w:t>项目</w:t>
      </w:r>
    </w:p>
    <w:p w14:paraId="3EA543B9">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2F09A0DD">
      <w:pPr>
        <w:adjustRightInd w:val="0"/>
        <w:snapToGrid w:val="0"/>
        <w:spacing w:line="360" w:lineRule="auto"/>
        <w:jc w:val="center"/>
        <w:rPr>
          <w:rFonts w:ascii="Arial Narrow" w:hAnsi="Arial Narrow"/>
          <w:b/>
          <w:sz w:val="36"/>
          <w:szCs w:val="36"/>
        </w:rPr>
      </w:pPr>
    </w:p>
    <w:p w14:paraId="6EFF3E5F">
      <w:pPr>
        <w:adjustRightInd w:val="0"/>
        <w:snapToGrid w:val="0"/>
        <w:spacing w:line="360" w:lineRule="auto"/>
        <w:jc w:val="center"/>
        <w:rPr>
          <w:rFonts w:ascii="Arial Narrow" w:hAnsi="Arial Narrow"/>
          <w:b/>
          <w:spacing w:val="100"/>
          <w:sz w:val="32"/>
          <w:szCs w:val="32"/>
        </w:rPr>
      </w:pPr>
    </w:p>
    <w:p w14:paraId="3840C829">
      <w:pPr>
        <w:adjustRightInd w:val="0"/>
        <w:snapToGrid w:val="0"/>
        <w:spacing w:line="360" w:lineRule="auto"/>
        <w:jc w:val="center"/>
        <w:rPr>
          <w:rFonts w:ascii="Arial Narrow" w:hAnsi="Arial Narrow"/>
          <w:b/>
          <w:spacing w:val="100"/>
          <w:sz w:val="32"/>
          <w:szCs w:val="32"/>
        </w:rPr>
      </w:pPr>
    </w:p>
    <w:p w14:paraId="711DAD24">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7790C379">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028</w:t>
      </w:r>
      <w:r>
        <w:rPr>
          <w:rFonts w:ascii="Arial Narrow" w:hAnsi="Arial Narrow" w:eastAsia="仿宋"/>
          <w:bCs/>
          <w:sz w:val="32"/>
          <w:szCs w:val="32"/>
        </w:rPr>
        <w:t>号</w:t>
      </w:r>
    </w:p>
    <w:p w14:paraId="7CFA7C33">
      <w:pPr>
        <w:adjustRightInd w:val="0"/>
        <w:snapToGrid w:val="0"/>
        <w:spacing w:line="360" w:lineRule="auto"/>
        <w:jc w:val="center"/>
        <w:rPr>
          <w:rFonts w:ascii="Arial Narrow" w:hAnsi="Arial Narrow"/>
          <w:b/>
          <w:spacing w:val="100"/>
          <w:sz w:val="32"/>
          <w:szCs w:val="32"/>
        </w:rPr>
      </w:pPr>
    </w:p>
    <w:p w14:paraId="6098A592">
      <w:pPr>
        <w:adjustRightInd w:val="0"/>
        <w:snapToGrid w:val="0"/>
        <w:spacing w:line="360" w:lineRule="auto"/>
        <w:jc w:val="center"/>
        <w:rPr>
          <w:rFonts w:ascii="Arial Narrow" w:hAnsi="Arial Narrow"/>
          <w:b/>
          <w:spacing w:val="100"/>
          <w:sz w:val="32"/>
          <w:szCs w:val="32"/>
        </w:rPr>
      </w:pPr>
    </w:p>
    <w:p w14:paraId="2CC3BCB2">
      <w:pPr>
        <w:adjustRightInd w:val="0"/>
        <w:snapToGrid w:val="0"/>
        <w:spacing w:line="360" w:lineRule="auto"/>
        <w:jc w:val="center"/>
        <w:rPr>
          <w:rFonts w:ascii="Arial Narrow" w:hAnsi="Arial Narrow"/>
          <w:b/>
          <w:spacing w:val="100"/>
          <w:sz w:val="32"/>
          <w:szCs w:val="32"/>
        </w:rPr>
      </w:pPr>
    </w:p>
    <w:p w14:paraId="7DE0C9D6">
      <w:pPr>
        <w:adjustRightInd w:val="0"/>
        <w:snapToGrid w:val="0"/>
        <w:spacing w:line="360" w:lineRule="auto"/>
        <w:jc w:val="center"/>
        <w:rPr>
          <w:rFonts w:ascii="Arial Narrow" w:hAnsi="Arial Narrow"/>
          <w:b/>
          <w:spacing w:val="100"/>
          <w:sz w:val="32"/>
          <w:szCs w:val="32"/>
        </w:rPr>
      </w:pPr>
    </w:p>
    <w:p w14:paraId="629287F9">
      <w:pPr>
        <w:adjustRightInd w:val="0"/>
        <w:snapToGrid w:val="0"/>
        <w:spacing w:line="360" w:lineRule="auto"/>
        <w:jc w:val="center"/>
        <w:rPr>
          <w:rFonts w:ascii="Arial Narrow" w:hAnsi="Arial Narrow"/>
          <w:b/>
          <w:spacing w:val="100"/>
          <w:sz w:val="32"/>
          <w:szCs w:val="32"/>
        </w:rPr>
      </w:pPr>
    </w:p>
    <w:p w14:paraId="2A86096F">
      <w:pPr>
        <w:adjustRightInd w:val="0"/>
        <w:snapToGrid w:val="0"/>
        <w:spacing w:line="360" w:lineRule="auto"/>
        <w:jc w:val="center"/>
        <w:rPr>
          <w:rFonts w:ascii="Arial Narrow" w:hAnsi="Arial Narrow"/>
          <w:b/>
          <w:spacing w:val="100"/>
          <w:sz w:val="32"/>
          <w:szCs w:val="32"/>
        </w:rPr>
      </w:pPr>
    </w:p>
    <w:p w14:paraId="51DD137E">
      <w:pPr>
        <w:adjustRightInd w:val="0"/>
        <w:snapToGrid w:val="0"/>
        <w:spacing w:line="360" w:lineRule="auto"/>
        <w:jc w:val="center"/>
        <w:rPr>
          <w:rFonts w:ascii="Arial Narrow" w:hAnsi="Arial Narrow"/>
          <w:b/>
          <w:spacing w:val="100"/>
          <w:sz w:val="32"/>
          <w:szCs w:val="32"/>
        </w:rPr>
      </w:pPr>
    </w:p>
    <w:p w14:paraId="5D05909B">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583FE43C">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71222108">
      <w:pPr>
        <w:spacing w:line="360" w:lineRule="auto"/>
        <w:jc w:val="center"/>
        <w:rPr>
          <w:rFonts w:ascii="Arial Narrow" w:hAnsi="Arial Narrow"/>
          <w:sz w:val="24"/>
        </w:rPr>
      </w:pPr>
    </w:p>
    <w:p w14:paraId="79625E74">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_Toc16758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_Toc16758 \h </w:instrText>
      </w:r>
      <w:r>
        <w:fldChar w:fldCharType="separate"/>
      </w:r>
      <w:r>
        <w:t>1</w:t>
      </w:r>
      <w:r>
        <w:fldChar w:fldCharType="end"/>
      </w:r>
      <w:r>
        <w:rPr>
          <w:rFonts w:ascii="仿宋" w:hAnsi="仿宋" w:eastAsia="仿宋"/>
          <w:bCs w:val="0"/>
          <w:color w:val="auto"/>
          <w:szCs w:val="21"/>
          <w:u w:val="none"/>
        </w:rPr>
        <w:fldChar w:fldCharType="end"/>
      </w:r>
    </w:p>
    <w:p w14:paraId="48555A08">
      <w:pPr>
        <w:pStyle w:val="6"/>
        <w:tabs>
          <w:tab w:val="right" w:leader="dot" w:pos="8788"/>
          <w:tab w:val="clear" w:pos="8778"/>
        </w:tabs>
      </w:pPr>
      <w:r>
        <w:rPr>
          <w:color w:val="auto"/>
          <w:szCs w:val="21"/>
          <w:u w:val="none"/>
        </w:rPr>
        <w:fldChar w:fldCharType="begin"/>
      </w:r>
      <w:r>
        <w:rPr>
          <w:szCs w:val="21"/>
        </w:rPr>
        <w:instrText xml:space="preserve"> HYPERLINK \l _Toc12365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_Toc12365 \h </w:instrText>
      </w:r>
      <w:r>
        <w:fldChar w:fldCharType="separate"/>
      </w:r>
      <w:r>
        <w:t>1</w:t>
      </w:r>
      <w:r>
        <w:fldChar w:fldCharType="end"/>
      </w:r>
      <w:r>
        <w:rPr>
          <w:color w:val="auto"/>
          <w:szCs w:val="21"/>
          <w:u w:val="none"/>
        </w:rPr>
        <w:fldChar w:fldCharType="end"/>
      </w:r>
    </w:p>
    <w:p w14:paraId="4BFAF3F4">
      <w:pPr>
        <w:pStyle w:val="6"/>
        <w:tabs>
          <w:tab w:val="right" w:leader="dot" w:pos="8788"/>
          <w:tab w:val="clear" w:pos="8778"/>
        </w:tabs>
      </w:pPr>
      <w:r>
        <w:rPr>
          <w:color w:val="auto"/>
          <w:szCs w:val="21"/>
          <w:u w:val="none"/>
        </w:rPr>
        <w:fldChar w:fldCharType="begin"/>
      </w:r>
      <w:r>
        <w:rPr>
          <w:szCs w:val="21"/>
        </w:rPr>
        <w:instrText xml:space="preserve"> HYPERLINK \l _Toc31937 </w:instrText>
      </w:r>
      <w:r>
        <w:rPr>
          <w:szCs w:val="21"/>
        </w:rPr>
        <w:fldChar w:fldCharType="separate"/>
      </w:r>
      <w:r>
        <w:rPr>
          <w:rFonts w:ascii="Arial Narrow" w:hAnsi="Arial Narrow" w:eastAsia="仿宋_GB2312"/>
        </w:rPr>
        <w:t>二、绩效评价工作情况</w:t>
      </w:r>
      <w:r>
        <w:tab/>
      </w:r>
      <w:r>
        <w:fldChar w:fldCharType="begin"/>
      </w:r>
      <w:r>
        <w:instrText xml:space="preserve"> PAGEREF _Toc31937 \h </w:instrText>
      </w:r>
      <w:r>
        <w:fldChar w:fldCharType="separate"/>
      </w:r>
      <w:r>
        <w:t>1</w:t>
      </w:r>
      <w:r>
        <w:fldChar w:fldCharType="end"/>
      </w:r>
      <w:r>
        <w:rPr>
          <w:color w:val="auto"/>
          <w:szCs w:val="21"/>
          <w:u w:val="none"/>
        </w:rPr>
        <w:fldChar w:fldCharType="end"/>
      </w:r>
    </w:p>
    <w:p w14:paraId="52F45C3C">
      <w:pPr>
        <w:pStyle w:val="6"/>
        <w:tabs>
          <w:tab w:val="right" w:leader="dot" w:pos="8788"/>
          <w:tab w:val="clear" w:pos="8778"/>
        </w:tabs>
      </w:pPr>
      <w:r>
        <w:rPr>
          <w:color w:val="auto"/>
          <w:szCs w:val="21"/>
          <w:u w:val="none"/>
        </w:rPr>
        <w:fldChar w:fldCharType="begin"/>
      </w:r>
      <w:r>
        <w:rPr>
          <w:szCs w:val="21"/>
        </w:rPr>
        <w:instrText xml:space="preserve"> HYPERLINK \l _Toc17391 </w:instrText>
      </w:r>
      <w:r>
        <w:rPr>
          <w:szCs w:val="21"/>
        </w:rPr>
        <w:fldChar w:fldCharType="separate"/>
      </w:r>
      <w:r>
        <w:rPr>
          <w:rFonts w:ascii="Arial Narrow" w:hAnsi="Arial Narrow" w:eastAsia="仿宋_GB2312"/>
        </w:rPr>
        <w:t>（一）绩效评价目的</w:t>
      </w:r>
      <w:r>
        <w:tab/>
      </w:r>
      <w:r>
        <w:fldChar w:fldCharType="begin"/>
      </w:r>
      <w:r>
        <w:instrText xml:space="preserve"> PAGEREF _Toc17391 \h </w:instrText>
      </w:r>
      <w:r>
        <w:fldChar w:fldCharType="separate"/>
      </w:r>
      <w:r>
        <w:t>1</w:t>
      </w:r>
      <w:r>
        <w:fldChar w:fldCharType="end"/>
      </w:r>
      <w:r>
        <w:rPr>
          <w:color w:val="auto"/>
          <w:szCs w:val="21"/>
          <w:u w:val="none"/>
        </w:rPr>
        <w:fldChar w:fldCharType="end"/>
      </w:r>
    </w:p>
    <w:p w14:paraId="4E81A837">
      <w:pPr>
        <w:pStyle w:val="6"/>
        <w:tabs>
          <w:tab w:val="right" w:leader="dot" w:pos="8788"/>
          <w:tab w:val="clear" w:pos="8778"/>
        </w:tabs>
      </w:pPr>
      <w:r>
        <w:rPr>
          <w:color w:val="auto"/>
          <w:szCs w:val="21"/>
          <w:u w:val="none"/>
        </w:rPr>
        <w:fldChar w:fldCharType="begin"/>
      </w:r>
      <w:r>
        <w:rPr>
          <w:szCs w:val="21"/>
        </w:rPr>
        <w:instrText xml:space="preserve"> HYPERLINK \l _Toc17014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_Toc17014 \h </w:instrText>
      </w:r>
      <w:r>
        <w:fldChar w:fldCharType="separate"/>
      </w:r>
      <w:r>
        <w:t>2</w:t>
      </w:r>
      <w:r>
        <w:fldChar w:fldCharType="end"/>
      </w:r>
      <w:r>
        <w:rPr>
          <w:color w:val="auto"/>
          <w:szCs w:val="21"/>
          <w:u w:val="none"/>
        </w:rPr>
        <w:fldChar w:fldCharType="end"/>
      </w:r>
    </w:p>
    <w:p w14:paraId="77424B99">
      <w:pPr>
        <w:pStyle w:val="6"/>
        <w:tabs>
          <w:tab w:val="right" w:leader="dot" w:pos="8788"/>
          <w:tab w:val="clear" w:pos="8778"/>
        </w:tabs>
      </w:pPr>
      <w:r>
        <w:rPr>
          <w:color w:val="auto"/>
          <w:szCs w:val="21"/>
          <w:u w:val="none"/>
        </w:rPr>
        <w:fldChar w:fldCharType="begin"/>
      </w:r>
      <w:r>
        <w:rPr>
          <w:szCs w:val="21"/>
        </w:rPr>
        <w:instrText xml:space="preserve"> HYPERLINK \l _Toc32159 </w:instrText>
      </w:r>
      <w:r>
        <w:rPr>
          <w:szCs w:val="21"/>
        </w:rPr>
        <w:fldChar w:fldCharType="separate"/>
      </w:r>
      <w:r>
        <w:rPr>
          <w:rFonts w:ascii="Arial Narrow" w:hAnsi="Arial Narrow" w:eastAsia="仿宋_GB2312"/>
        </w:rPr>
        <w:t>（三）绩效评价依据</w:t>
      </w:r>
      <w:r>
        <w:tab/>
      </w:r>
      <w:r>
        <w:fldChar w:fldCharType="begin"/>
      </w:r>
      <w:r>
        <w:instrText xml:space="preserve"> PAGEREF _Toc32159 \h </w:instrText>
      </w:r>
      <w:r>
        <w:fldChar w:fldCharType="separate"/>
      </w:r>
      <w:r>
        <w:t>2</w:t>
      </w:r>
      <w:r>
        <w:fldChar w:fldCharType="end"/>
      </w:r>
      <w:r>
        <w:rPr>
          <w:color w:val="auto"/>
          <w:szCs w:val="21"/>
          <w:u w:val="none"/>
        </w:rPr>
        <w:fldChar w:fldCharType="end"/>
      </w:r>
    </w:p>
    <w:p w14:paraId="7BAF51CB">
      <w:pPr>
        <w:pStyle w:val="6"/>
        <w:tabs>
          <w:tab w:val="right" w:leader="dot" w:pos="8788"/>
          <w:tab w:val="clear" w:pos="8778"/>
        </w:tabs>
      </w:pPr>
      <w:r>
        <w:rPr>
          <w:color w:val="auto"/>
          <w:szCs w:val="21"/>
          <w:u w:val="none"/>
        </w:rPr>
        <w:fldChar w:fldCharType="begin"/>
      </w:r>
      <w:r>
        <w:rPr>
          <w:szCs w:val="21"/>
        </w:rPr>
        <w:instrText xml:space="preserve"> HYPERLINK \l _Toc20244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_Toc20244 \h </w:instrText>
      </w:r>
      <w:r>
        <w:fldChar w:fldCharType="separate"/>
      </w:r>
      <w:r>
        <w:t>2</w:t>
      </w:r>
      <w:r>
        <w:fldChar w:fldCharType="end"/>
      </w:r>
      <w:r>
        <w:rPr>
          <w:color w:val="auto"/>
          <w:szCs w:val="21"/>
          <w:u w:val="none"/>
        </w:rPr>
        <w:fldChar w:fldCharType="end"/>
      </w:r>
    </w:p>
    <w:p w14:paraId="13259479">
      <w:pPr>
        <w:pStyle w:val="6"/>
        <w:tabs>
          <w:tab w:val="right" w:leader="dot" w:pos="8788"/>
          <w:tab w:val="clear" w:pos="8778"/>
        </w:tabs>
      </w:pPr>
      <w:r>
        <w:rPr>
          <w:color w:val="auto"/>
          <w:szCs w:val="21"/>
          <w:u w:val="none"/>
        </w:rPr>
        <w:fldChar w:fldCharType="begin"/>
      </w:r>
      <w:r>
        <w:rPr>
          <w:szCs w:val="21"/>
        </w:rPr>
        <w:instrText xml:space="preserve"> HYPERLINK \l _Toc7253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_Toc7253 \h </w:instrText>
      </w:r>
      <w:r>
        <w:fldChar w:fldCharType="separate"/>
      </w:r>
      <w:r>
        <w:t>5</w:t>
      </w:r>
      <w:r>
        <w:fldChar w:fldCharType="end"/>
      </w:r>
      <w:r>
        <w:rPr>
          <w:color w:val="auto"/>
          <w:szCs w:val="21"/>
          <w:u w:val="none"/>
        </w:rPr>
        <w:fldChar w:fldCharType="end"/>
      </w:r>
    </w:p>
    <w:p w14:paraId="04D2515A">
      <w:pPr>
        <w:pStyle w:val="6"/>
        <w:tabs>
          <w:tab w:val="right" w:leader="dot" w:pos="8788"/>
          <w:tab w:val="clear" w:pos="8778"/>
        </w:tabs>
      </w:pPr>
      <w:r>
        <w:rPr>
          <w:color w:val="auto"/>
          <w:szCs w:val="21"/>
          <w:u w:val="none"/>
        </w:rPr>
        <w:fldChar w:fldCharType="begin"/>
      </w:r>
      <w:r>
        <w:rPr>
          <w:szCs w:val="21"/>
        </w:rPr>
        <w:instrText xml:space="preserve"> HYPERLINK \l _Toc20577 </w:instrText>
      </w:r>
      <w:r>
        <w:rPr>
          <w:szCs w:val="21"/>
        </w:rPr>
        <w:fldChar w:fldCharType="separate"/>
      </w:r>
      <w:r>
        <w:rPr>
          <w:rFonts w:ascii="Arial Narrow" w:hAnsi="Arial Narrow" w:eastAsia="仿宋_GB2312"/>
        </w:rPr>
        <w:t>（六）绩效评价工作过程</w:t>
      </w:r>
      <w:r>
        <w:tab/>
      </w:r>
      <w:r>
        <w:fldChar w:fldCharType="begin"/>
      </w:r>
      <w:r>
        <w:instrText xml:space="preserve"> PAGEREF _Toc20577 \h </w:instrText>
      </w:r>
      <w:r>
        <w:fldChar w:fldCharType="separate"/>
      </w:r>
      <w:r>
        <w:t>5</w:t>
      </w:r>
      <w:r>
        <w:fldChar w:fldCharType="end"/>
      </w:r>
      <w:r>
        <w:rPr>
          <w:color w:val="auto"/>
          <w:szCs w:val="21"/>
          <w:u w:val="none"/>
        </w:rPr>
        <w:fldChar w:fldCharType="end"/>
      </w:r>
    </w:p>
    <w:p w14:paraId="60AE5B5B">
      <w:pPr>
        <w:pStyle w:val="6"/>
        <w:tabs>
          <w:tab w:val="right" w:leader="dot" w:pos="8788"/>
          <w:tab w:val="clear" w:pos="8778"/>
        </w:tabs>
      </w:pPr>
      <w:r>
        <w:rPr>
          <w:color w:val="auto"/>
          <w:szCs w:val="21"/>
          <w:u w:val="none"/>
        </w:rPr>
        <w:fldChar w:fldCharType="begin"/>
      </w:r>
      <w:r>
        <w:rPr>
          <w:szCs w:val="21"/>
        </w:rPr>
        <w:instrText xml:space="preserve"> HYPERLINK \l _Toc32448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_Toc32448 \h </w:instrText>
      </w:r>
      <w:r>
        <w:fldChar w:fldCharType="separate"/>
      </w:r>
      <w:r>
        <w:t>6</w:t>
      </w:r>
      <w:r>
        <w:fldChar w:fldCharType="end"/>
      </w:r>
      <w:r>
        <w:rPr>
          <w:color w:val="auto"/>
          <w:szCs w:val="21"/>
          <w:u w:val="none"/>
        </w:rPr>
        <w:fldChar w:fldCharType="end"/>
      </w:r>
    </w:p>
    <w:p w14:paraId="65EFF3F9">
      <w:pPr>
        <w:pStyle w:val="6"/>
        <w:tabs>
          <w:tab w:val="right" w:leader="dot" w:pos="8788"/>
          <w:tab w:val="clear" w:pos="8778"/>
        </w:tabs>
      </w:pPr>
      <w:r>
        <w:rPr>
          <w:color w:val="auto"/>
          <w:szCs w:val="21"/>
          <w:u w:val="none"/>
        </w:rPr>
        <w:fldChar w:fldCharType="begin"/>
      </w:r>
      <w:r>
        <w:rPr>
          <w:szCs w:val="21"/>
        </w:rPr>
        <w:instrText xml:space="preserve"> HYPERLINK \l _Toc31305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_Toc31305 \h </w:instrText>
      </w:r>
      <w:r>
        <w:fldChar w:fldCharType="separate"/>
      </w:r>
      <w:r>
        <w:t>6</w:t>
      </w:r>
      <w:r>
        <w:fldChar w:fldCharType="end"/>
      </w:r>
      <w:r>
        <w:rPr>
          <w:color w:val="auto"/>
          <w:szCs w:val="21"/>
          <w:u w:val="none"/>
        </w:rPr>
        <w:fldChar w:fldCharType="end"/>
      </w:r>
    </w:p>
    <w:p w14:paraId="07B694FF">
      <w:pPr>
        <w:pStyle w:val="6"/>
        <w:tabs>
          <w:tab w:val="right" w:leader="dot" w:pos="8788"/>
          <w:tab w:val="clear" w:pos="8778"/>
        </w:tabs>
      </w:pPr>
      <w:r>
        <w:rPr>
          <w:color w:val="auto"/>
          <w:szCs w:val="21"/>
          <w:u w:val="none"/>
        </w:rPr>
        <w:fldChar w:fldCharType="begin"/>
      </w:r>
      <w:r>
        <w:rPr>
          <w:szCs w:val="21"/>
        </w:rPr>
        <w:instrText xml:space="preserve"> HYPERLINK \l _Toc306 </w:instrText>
      </w:r>
      <w:r>
        <w:rPr>
          <w:szCs w:val="21"/>
        </w:rPr>
        <w:fldChar w:fldCharType="separate"/>
      </w:r>
      <w:r>
        <w:rPr>
          <w:rFonts w:hint="eastAsia" w:ascii="仿宋_GB2312" w:eastAsia="仿宋_GB2312"/>
        </w:rPr>
        <w:t>（一）资金管理</w:t>
      </w:r>
      <w:r>
        <w:tab/>
      </w:r>
      <w:r>
        <w:fldChar w:fldCharType="begin"/>
      </w:r>
      <w:r>
        <w:instrText xml:space="preserve"> PAGEREF _Toc306 \h </w:instrText>
      </w:r>
      <w:r>
        <w:fldChar w:fldCharType="separate"/>
      </w:r>
      <w:r>
        <w:t>6</w:t>
      </w:r>
      <w:r>
        <w:fldChar w:fldCharType="end"/>
      </w:r>
      <w:r>
        <w:rPr>
          <w:color w:val="auto"/>
          <w:szCs w:val="21"/>
          <w:u w:val="none"/>
        </w:rPr>
        <w:fldChar w:fldCharType="end"/>
      </w:r>
    </w:p>
    <w:p w14:paraId="3BAB3658">
      <w:pPr>
        <w:pStyle w:val="6"/>
        <w:tabs>
          <w:tab w:val="right" w:leader="dot" w:pos="8788"/>
          <w:tab w:val="clear" w:pos="8778"/>
        </w:tabs>
      </w:pPr>
      <w:r>
        <w:rPr>
          <w:color w:val="auto"/>
          <w:szCs w:val="21"/>
          <w:u w:val="none"/>
        </w:rPr>
        <w:fldChar w:fldCharType="begin"/>
      </w:r>
      <w:r>
        <w:rPr>
          <w:szCs w:val="21"/>
        </w:rPr>
        <w:instrText xml:space="preserve"> HYPERLINK \l _Toc6047 </w:instrText>
      </w:r>
      <w:r>
        <w:rPr>
          <w:szCs w:val="21"/>
        </w:rPr>
        <w:fldChar w:fldCharType="separate"/>
      </w:r>
      <w:r>
        <w:rPr>
          <w:rFonts w:hint="eastAsia" w:ascii="仿宋_GB2312" w:eastAsia="仿宋_GB2312"/>
        </w:rPr>
        <w:t>（二）项目管理</w:t>
      </w:r>
      <w:r>
        <w:tab/>
      </w:r>
      <w:r>
        <w:fldChar w:fldCharType="begin"/>
      </w:r>
      <w:r>
        <w:instrText xml:space="preserve"> PAGEREF _Toc6047 \h </w:instrText>
      </w:r>
      <w:r>
        <w:fldChar w:fldCharType="separate"/>
      </w:r>
      <w:r>
        <w:t>6</w:t>
      </w:r>
      <w:r>
        <w:fldChar w:fldCharType="end"/>
      </w:r>
      <w:r>
        <w:rPr>
          <w:color w:val="auto"/>
          <w:szCs w:val="21"/>
          <w:u w:val="none"/>
        </w:rPr>
        <w:fldChar w:fldCharType="end"/>
      </w:r>
    </w:p>
    <w:p w14:paraId="41D29216">
      <w:pPr>
        <w:pStyle w:val="6"/>
        <w:tabs>
          <w:tab w:val="right" w:leader="dot" w:pos="8788"/>
          <w:tab w:val="clear" w:pos="8778"/>
        </w:tabs>
      </w:pPr>
      <w:r>
        <w:rPr>
          <w:color w:val="auto"/>
          <w:szCs w:val="21"/>
          <w:u w:val="none"/>
        </w:rPr>
        <w:fldChar w:fldCharType="begin"/>
      </w:r>
      <w:r>
        <w:rPr>
          <w:szCs w:val="21"/>
        </w:rPr>
        <w:instrText xml:space="preserve"> HYPERLINK \l _Toc19403 </w:instrText>
      </w:r>
      <w:r>
        <w:rPr>
          <w:szCs w:val="21"/>
        </w:rPr>
        <w:fldChar w:fldCharType="separate"/>
      </w:r>
      <w:r>
        <w:rPr>
          <w:rFonts w:hint="eastAsia" w:ascii="仿宋_GB2312" w:eastAsia="仿宋_GB2312"/>
        </w:rPr>
        <w:t>（三）使用成效及通报情况</w:t>
      </w:r>
      <w:r>
        <w:tab/>
      </w:r>
      <w:r>
        <w:fldChar w:fldCharType="begin"/>
      </w:r>
      <w:r>
        <w:instrText xml:space="preserve"> PAGEREF _Toc19403 \h </w:instrText>
      </w:r>
      <w:r>
        <w:fldChar w:fldCharType="separate"/>
      </w:r>
      <w:r>
        <w:t>7</w:t>
      </w:r>
      <w:r>
        <w:fldChar w:fldCharType="end"/>
      </w:r>
      <w:r>
        <w:rPr>
          <w:color w:val="auto"/>
          <w:szCs w:val="21"/>
          <w:u w:val="none"/>
        </w:rPr>
        <w:fldChar w:fldCharType="end"/>
      </w:r>
    </w:p>
    <w:p w14:paraId="145F0FF4">
      <w:pPr>
        <w:pStyle w:val="6"/>
        <w:tabs>
          <w:tab w:val="right" w:leader="dot" w:pos="8788"/>
          <w:tab w:val="clear" w:pos="8778"/>
        </w:tabs>
      </w:pPr>
      <w:r>
        <w:rPr>
          <w:color w:val="auto"/>
          <w:szCs w:val="21"/>
          <w:u w:val="none"/>
        </w:rPr>
        <w:fldChar w:fldCharType="begin"/>
      </w:r>
      <w:r>
        <w:rPr>
          <w:szCs w:val="21"/>
        </w:rPr>
        <w:instrText xml:space="preserve"> HYPERLINK \l _Toc7709 </w:instrText>
      </w:r>
      <w:r>
        <w:rPr>
          <w:szCs w:val="21"/>
        </w:rPr>
        <w:fldChar w:fldCharType="separate"/>
      </w:r>
      <w:r>
        <w:rPr>
          <w:rFonts w:hint="eastAsia" w:ascii="Arial Narrow" w:hAnsi="Arial Narrow" w:eastAsia="仿宋_GB2312"/>
        </w:rPr>
        <w:t>五</w:t>
      </w:r>
      <w:r>
        <w:rPr>
          <w:rFonts w:ascii="Arial Narrow" w:hAnsi="Arial Narrow" w:eastAsia="仿宋_GB2312"/>
        </w:rPr>
        <w:t>、存在的问题和建议</w:t>
      </w:r>
      <w:r>
        <w:tab/>
      </w:r>
      <w:r>
        <w:fldChar w:fldCharType="begin"/>
      </w:r>
      <w:r>
        <w:instrText xml:space="preserve"> PAGEREF _Toc7709 \h </w:instrText>
      </w:r>
      <w:r>
        <w:fldChar w:fldCharType="separate"/>
      </w:r>
      <w:r>
        <w:t>7</w:t>
      </w:r>
      <w:r>
        <w:fldChar w:fldCharType="end"/>
      </w:r>
      <w:r>
        <w:rPr>
          <w:color w:val="auto"/>
          <w:szCs w:val="21"/>
          <w:u w:val="none"/>
        </w:rPr>
        <w:fldChar w:fldCharType="end"/>
      </w:r>
    </w:p>
    <w:p w14:paraId="6DA04481">
      <w:pPr>
        <w:pStyle w:val="6"/>
        <w:tabs>
          <w:tab w:val="right" w:leader="dot" w:pos="8788"/>
          <w:tab w:val="clear" w:pos="8778"/>
        </w:tabs>
      </w:pPr>
      <w:r>
        <w:rPr>
          <w:color w:val="auto"/>
          <w:szCs w:val="21"/>
          <w:u w:val="none"/>
        </w:rPr>
        <w:fldChar w:fldCharType="begin"/>
      </w:r>
      <w:r>
        <w:rPr>
          <w:szCs w:val="21"/>
        </w:rPr>
        <w:instrText xml:space="preserve"> HYPERLINK \l _Toc6934 </w:instrText>
      </w:r>
      <w:r>
        <w:rPr>
          <w:szCs w:val="21"/>
        </w:rPr>
        <w:fldChar w:fldCharType="separate"/>
      </w:r>
      <w:r>
        <w:rPr>
          <w:rFonts w:hint="eastAsia" w:ascii="仿宋_GB2312" w:eastAsia="仿宋_GB2312"/>
        </w:rPr>
        <w:t>（一）存在问题</w:t>
      </w:r>
      <w:r>
        <w:tab/>
      </w:r>
      <w:r>
        <w:fldChar w:fldCharType="begin"/>
      </w:r>
      <w:r>
        <w:instrText xml:space="preserve"> PAGEREF _Toc6934 \h </w:instrText>
      </w:r>
      <w:r>
        <w:fldChar w:fldCharType="separate"/>
      </w:r>
      <w:r>
        <w:t>7</w:t>
      </w:r>
      <w:r>
        <w:fldChar w:fldCharType="end"/>
      </w:r>
      <w:r>
        <w:rPr>
          <w:color w:val="auto"/>
          <w:szCs w:val="21"/>
          <w:u w:val="none"/>
        </w:rPr>
        <w:fldChar w:fldCharType="end"/>
      </w:r>
    </w:p>
    <w:p w14:paraId="70FD3F3A">
      <w:pPr>
        <w:pStyle w:val="6"/>
        <w:tabs>
          <w:tab w:val="right" w:leader="dot" w:pos="8788"/>
          <w:tab w:val="clear" w:pos="8778"/>
        </w:tabs>
      </w:pPr>
      <w:r>
        <w:rPr>
          <w:color w:val="auto"/>
          <w:szCs w:val="21"/>
          <w:u w:val="none"/>
        </w:rPr>
        <w:fldChar w:fldCharType="begin"/>
      </w:r>
      <w:r>
        <w:rPr>
          <w:szCs w:val="21"/>
        </w:rPr>
        <w:instrText xml:space="preserve"> HYPERLINK \l _Toc18189 </w:instrText>
      </w:r>
      <w:r>
        <w:rPr>
          <w:szCs w:val="21"/>
        </w:rPr>
        <w:fldChar w:fldCharType="separate"/>
      </w:r>
      <w:r>
        <w:rPr>
          <w:rFonts w:hint="eastAsia" w:ascii="仿宋_GB2312" w:eastAsia="仿宋_GB2312"/>
        </w:rPr>
        <w:t>（二）建议</w:t>
      </w:r>
      <w:r>
        <w:tab/>
      </w:r>
      <w:r>
        <w:fldChar w:fldCharType="begin"/>
      </w:r>
      <w:r>
        <w:instrText xml:space="preserve"> PAGEREF _Toc18189 \h </w:instrText>
      </w:r>
      <w:r>
        <w:fldChar w:fldCharType="separate"/>
      </w:r>
      <w:r>
        <w:t>7</w:t>
      </w:r>
      <w:r>
        <w:fldChar w:fldCharType="end"/>
      </w:r>
      <w:r>
        <w:rPr>
          <w:color w:val="auto"/>
          <w:szCs w:val="21"/>
          <w:u w:val="none"/>
        </w:rPr>
        <w:fldChar w:fldCharType="end"/>
      </w:r>
    </w:p>
    <w:p w14:paraId="3CC229C4">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4E62EF30">
      <w:pPr>
        <w:spacing w:line="360" w:lineRule="auto"/>
        <w:jc w:val="right"/>
        <w:rPr>
          <w:rFonts w:ascii="Arial Narrow" w:hAnsi="Arial Narrow"/>
          <w:bCs/>
          <w:w w:val="80"/>
          <w:sz w:val="28"/>
          <w:szCs w:val="28"/>
        </w:rPr>
      </w:pPr>
    </w:p>
    <w:p w14:paraId="4AE1EFFE">
      <w:pPr>
        <w:spacing w:line="360" w:lineRule="auto"/>
        <w:jc w:val="right"/>
        <w:rPr>
          <w:rFonts w:ascii="Arial Narrow" w:hAnsi="Arial Narrow"/>
          <w:bCs/>
          <w:w w:val="80"/>
          <w:sz w:val="28"/>
          <w:szCs w:val="28"/>
        </w:rPr>
      </w:pPr>
    </w:p>
    <w:p w14:paraId="7454C479">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5A307F28">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33DD38B1">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028</w:t>
      </w:r>
      <w:r>
        <w:rPr>
          <w:rFonts w:hint="eastAsia" w:ascii="Arial Narrow" w:hAnsi="Arial Narrow" w:eastAsia="仿宋_GB2312"/>
          <w:sz w:val="28"/>
          <w:szCs w:val="28"/>
        </w:rPr>
        <w:t>号</w:t>
      </w:r>
    </w:p>
    <w:p w14:paraId="3F62273D">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7C3C5012">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w:t>
      </w:r>
      <w:r>
        <w:rPr>
          <w:rFonts w:hint="eastAsia" w:ascii="Arial Narrow" w:hAnsi="Arial Narrow" w:eastAsia="仿宋"/>
          <w:b/>
          <w:sz w:val="36"/>
          <w:szCs w:val="36"/>
          <w:lang w:val="en-US" w:eastAsia="zh-CN"/>
        </w:rPr>
        <w:t>庆隆镇庆新村佛手基地基础设施建设</w:t>
      </w:r>
      <w:r>
        <w:rPr>
          <w:rFonts w:hint="eastAsia" w:ascii="Arial Narrow" w:hAnsi="Arial Narrow" w:eastAsia="仿宋"/>
          <w:b/>
          <w:sz w:val="36"/>
          <w:szCs w:val="36"/>
        </w:rPr>
        <w:t>项目</w:t>
      </w:r>
    </w:p>
    <w:p w14:paraId="40D0C5FA">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76DC4BDD">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w:t>
      </w:r>
      <w:r>
        <w:rPr>
          <w:rFonts w:hint="eastAsia" w:ascii="Arial Narrow" w:hAnsi="Arial Narrow" w:eastAsia="仿宋_GB2312"/>
          <w:color w:val="auto"/>
          <w:lang w:val="en-US" w:eastAsia="zh-CN"/>
        </w:rPr>
        <w:t>庆隆镇</w:t>
      </w:r>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庆隆镇”</w:t>
      </w:r>
      <w:r>
        <w:rPr>
          <w:rFonts w:hint="eastAsia" w:ascii="Arial Narrow" w:hAnsi="Arial Narrow" w:eastAsia="仿宋_GB2312"/>
          <w:color w:val="auto"/>
        </w:rPr>
        <w:t>）</w:t>
      </w:r>
      <w:r>
        <w:rPr>
          <w:rFonts w:hint="eastAsia" w:ascii="Arial Narrow" w:hAnsi="Arial Narrow" w:eastAsia="仿宋_GB2312"/>
          <w:color w:val="auto"/>
          <w:lang w:val="en-US" w:eastAsia="zh-CN"/>
        </w:rPr>
        <w:t>庆新村佛手基地基础设施建设</w:t>
      </w:r>
      <w:r>
        <w:rPr>
          <w:rFonts w:hint="eastAsia" w:ascii="Arial Narrow" w:hAnsi="Arial Narrow" w:eastAsia="仿宋_GB2312"/>
          <w:color w:val="auto"/>
        </w:rPr>
        <w:t>项目</w:t>
      </w:r>
      <w:r>
        <w:rPr>
          <w:rFonts w:ascii="Arial Narrow" w:hAnsi="Arial Narrow" w:eastAsia="仿宋_GB2312"/>
          <w:color w:val="auto"/>
        </w:rPr>
        <w:t>进行绩效评价，现将评价情况报告如下：</w:t>
      </w:r>
    </w:p>
    <w:p w14:paraId="49A17D99">
      <w:pPr>
        <w:spacing w:before="240" w:beforeLines="100" w:line="360" w:lineRule="auto"/>
        <w:ind w:firstLine="482" w:firstLineChars="200"/>
        <w:jc w:val="left"/>
        <w:outlineLvl w:val="0"/>
        <w:rPr>
          <w:rFonts w:ascii="Arial Narrow" w:hAnsi="Arial Narrow" w:eastAsia="仿宋_GB2312"/>
          <w:b/>
          <w:sz w:val="24"/>
        </w:rPr>
      </w:pPr>
      <w:bookmarkStart w:id="3" w:name="_Toc16758"/>
      <w:r>
        <w:rPr>
          <w:rFonts w:ascii="Arial Narrow" w:hAnsi="Arial Narrow" w:eastAsia="仿宋_GB2312"/>
          <w:b/>
          <w:sz w:val="24"/>
        </w:rPr>
        <w:t>一、基本情况</w:t>
      </w:r>
      <w:bookmarkEnd w:id="3"/>
    </w:p>
    <w:p w14:paraId="6ED0730C">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2365"/>
      <w:r>
        <w:rPr>
          <w:rFonts w:hint="eastAsia" w:ascii="Arial Narrow" w:hAnsi="Arial Narrow" w:eastAsia="仿宋" w:cs="宋体"/>
          <w:b/>
          <w:bCs/>
          <w:kern w:val="0"/>
          <w:sz w:val="24"/>
        </w:rPr>
        <w:t>（一）项目情况</w:t>
      </w:r>
      <w:bookmarkEnd w:id="4"/>
    </w:p>
    <w:p w14:paraId="784F3823">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1、</w:t>
      </w:r>
      <w:r>
        <w:rPr>
          <w:rFonts w:hint="eastAsia" w:ascii="Arial Narrow" w:hAnsi="Arial Narrow" w:eastAsia="仿宋_GB2312" w:cs="宋体"/>
          <w:kern w:val="0"/>
          <w:sz w:val="24"/>
          <w:lang w:val="en-US" w:eastAsia="zh-CN"/>
        </w:rPr>
        <w:t>佛手基地基础设施建设</w:t>
      </w:r>
      <w:r>
        <w:rPr>
          <w:rFonts w:hint="eastAsia" w:ascii="Arial Narrow" w:hAnsi="Arial Narrow" w:eastAsia="仿宋_GB2312" w:cs="宋体"/>
          <w:kern w:val="0"/>
          <w:sz w:val="24"/>
        </w:rPr>
        <w:t>项目</w:t>
      </w:r>
    </w:p>
    <w:p w14:paraId="6FD7AE5F">
      <w:p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w:t>
      </w:r>
      <w:r>
        <w:rPr>
          <w:rFonts w:hint="eastAsia" w:ascii="Arial Narrow" w:hAnsi="Arial Narrow" w:eastAsia="仿宋_GB2312" w:cs="宋体"/>
          <w:kern w:val="0"/>
          <w:sz w:val="24"/>
          <w:lang w:val="en-US" w:eastAsia="zh-CN"/>
        </w:rPr>
        <w:t>庆隆镇庆新村股份经济合作联合社。</w:t>
      </w:r>
    </w:p>
    <w:p w14:paraId="62D6FF4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80亩佛手种植基地，修建蓄水池、机房、安装提灌供电系统等。包括修建机房9m²、安装提灌系统一套、安装提灌系统一套、安装动力线路600m和供电记度箱1台、修建生产用房40平方米、修建维修生产便道250m²、安装监控设备一套。</w:t>
      </w:r>
    </w:p>
    <w:p w14:paraId="745AECCA">
      <w:pPr>
        <w:spacing w:line="360" w:lineRule="auto"/>
        <w:ind w:firstLine="480" w:firstLineChars="200"/>
        <w:rPr>
          <w:rFonts w:hint="eastAsia" w:ascii="Arial Narrow" w:hAnsi="Arial Narrow" w:eastAsia="仿宋_GB2312" w:cs="宋体"/>
          <w:kern w:val="0"/>
          <w:sz w:val="24"/>
          <w:highlight w:val="none"/>
        </w:rPr>
      </w:pPr>
      <w:r>
        <w:rPr>
          <w:rFonts w:hint="eastAsia" w:ascii="Arial Narrow" w:hAnsi="Arial Narrow" w:eastAsia="仿宋_GB2312" w:cs="宋体"/>
          <w:kern w:val="0"/>
          <w:sz w:val="24"/>
        </w:rPr>
        <w:t>项目资金安排情况：该项目2023年计划投入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w:t>
      </w:r>
      <w:r>
        <w:rPr>
          <w:rFonts w:hint="eastAsia" w:ascii="Arial Narrow" w:hAnsi="Arial Narrow" w:eastAsia="仿宋_GB2312" w:cs="宋体"/>
          <w:kern w:val="0"/>
          <w:sz w:val="24"/>
          <w:lang w:val="en-US" w:eastAsia="zh-CN"/>
        </w:rPr>
        <w:t>，</w:t>
      </w:r>
      <w:r>
        <w:rPr>
          <w:rFonts w:hint="eastAsia" w:ascii="Arial Narrow" w:hAnsi="Arial Narrow" w:eastAsia="仿宋_GB2312" w:cs="宋体"/>
          <w:kern w:val="0"/>
          <w:sz w:val="24"/>
        </w:rPr>
        <w:t>实际投入5</w:t>
      </w:r>
      <w:r>
        <w:rPr>
          <w:rFonts w:hint="eastAsia" w:ascii="Arial Narrow" w:hAnsi="Arial Narrow" w:eastAsia="仿宋_GB2312" w:cs="宋体"/>
          <w:kern w:val="0"/>
          <w:sz w:val="24"/>
          <w:lang w:val="en-US" w:eastAsia="zh-CN"/>
        </w:rPr>
        <w:t>0</w:t>
      </w:r>
      <w:r>
        <w:rPr>
          <w:rFonts w:hint="eastAsia" w:ascii="Arial Narrow" w:hAnsi="Arial Narrow" w:eastAsia="仿宋_GB2312" w:cs="宋体"/>
          <w:kern w:val="0"/>
          <w:sz w:val="24"/>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747F2446">
      <w:pPr>
        <w:spacing w:line="360" w:lineRule="auto"/>
        <w:ind w:firstLine="482" w:firstLineChars="200"/>
        <w:outlineLvl w:val="0"/>
        <w:rPr>
          <w:rFonts w:ascii="Arial Narrow" w:hAnsi="Arial Narrow" w:eastAsia="仿宋_GB2312"/>
          <w:b/>
          <w:sz w:val="24"/>
        </w:rPr>
      </w:pPr>
      <w:bookmarkStart w:id="5" w:name="_Toc31937"/>
      <w:r>
        <w:rPr>
          <w:rFonts w:ascii="Arial Narrow" w:hAnsi="Arial Narrow" w:eastAsia="仿宋_GB2312"/>
          <w:b/>
          <w:sz w:val="24"/>
        </w:rPr>
        <w:t>二、绩效评价工作情况</w:t>
      </w:r>
      <w:bookmarkEnd w:id="5"/>
    </w:p>
    <w:p w14:paraId="660E301E">
      <w:pPr>
        <w:spacing w:line="360" w:lineRule="auto"/>
        <w:ind w:firstLine="482" w:firstLineChars="200"/>
        <w:jc w:val="left"/>
        <w:outlineLvl w:val="0"/>
        <w:rPr>
          <w:rFonts w:ascii="Arial Narrow" w:hAnsi="Arial Narrow" w:eastAsia="仿宋_GB2312"/>
          <w:b/>
          <w:sz w:val="24"/>
        </w:rPr>
      </w:pPr>
      <w:bookmarkStart w:id="6" w:name="_Toc17391"/>
      <w:bookmarkStart w:id="7" w:name="_Toc513775099"/>
      <w:r>
        <w:rPr>
          <w:rFonts w:ascii="Arial Narrow" w:hAnsi="Arial Narrow" w:eastAsia="仿宋_GB2312"/>
          <w:b/>
          <w:sz w:val="24"/>
        </w:rPr>
        <w:t>（一）绩效评价目的</w:t>
      </w:r>
      <w:bookmarkEnd w:id="6"/>
      <w:bookmarkEnd w:id="7"/>
    </w:p>
    <w:p w14:paraId="21B4E9C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78B5181E">
      <w:pPr>
        <w:spacing w:line="360" w:lineRule="auto"/>
        <w:ind w:firstLine="482" w:firstLineChars="200"/>
        <w:jc w:val="left"/>
        <w:outlineLvl w:val="0"/>
        <w:rPr>
          <w:rFonts w:ascii="Arial Narrow" w:hAnsi="Arial Narrow" w:eastAsia="仿宋_GB2312"/>
          <w:b/>
          <w:sz w:val="24"/>
        </w:rPr>
      </w:pPr>
      <w:bookmarkStart w:id="8" w:name="_Toc17014"/>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0592ABB2">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03ED361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526566E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5415024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483D46D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09B220F6">
      <w:pPr>
        <w:spacing w:line="360" w:lineRule="auto"/>
        <w:ind w:firstLine="482" w:firstLineChars="200"/>
        <w:jc w:val="left"/>
        <w:outlineLvl w:val="0"/>
        <w:rPr>
          <w:rFonts w:ascii="Arial Narrow" w:hAnsi="Arial Narrow" w:eastAsia="仿宋_GB2312"/>
          <w:b/>
          <w:sz w:val="24"/>
        </w:rPr>
      </w:pPr>
      <w:bookmarkStart w:id="11" w:name="_Toc32159"/>
      <w:r>
        <w:rPr>
          <w:rFonts w:ascii="Arial Narrow" w:hAnsi="Arial Narrow" w:eastAsia="仿宋_GB2312"/>
          <w:b/>
          <w:sz w:val="24"/>
        </w:rPr>
        <w:t>（三）绩效评价依据</w:t>
      </w:r>
      <w:bookmarkEnd w:id="9"/>
      <w:bookmarkEnd w:id="10"/>
      <w:bookmarkEnd w:id="11"/>
      <w:bookmarkStart w:id="12" w:name="_Toc335040595"/>
    </w:p>
    <w:bookmarkEnd w:id="12"/>
    <w:p w14:paraId="0EB9CE7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5064ED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06374DC0">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765761E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494066F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54118D2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1F1991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29AD730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2CFDC04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668E0A9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030B9C2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143D7792">
      <w:pPr>
        <w:spacing w:line="360" w:lineRule="auto"/>
        <w:ind w:firstLine="482" w:firstLineChars="200"/>
        <w:jc w:val="left"/>
        <w:outlineLvl w:val="0"/>
        <w:rPr>
          <w:rFonts w:ascii="Arial Narrow" w:hAnsi="Arial Narrow" w:eastAsia="仿宋_GB2312"/>
          <w:b/>
          <w:sz w:val="24"/>
        </w:rPr>
      </w:pPr>
      <w:bookmarkStart w:id="14" w:name="_Toc20244"/>
      <w:r>
        <w:rPr>
          <w:rFonts w:ascii="Arial Narrow" w:hAnsi="Arial Narrow" w:eastAsia="仿宋_GB2312"/>
          <w:b/>
          <w:sz w:val="24"/>
        </w:rPr>
        <w:t>（四）绩效评价原则和指标体系</w:t>
      </w:r>
      <w:bookmarkEnd w:id="14"/>
    </w:p>
    <w:p w14:paraId="170CAC5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13451A4E">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（1）相关性原则。应当与绩效目标有直接的联系，能够恰当反映目标的实现程度。</w:t>
      </w:r>
    </w:p>
    <w:p w14:paraId="42C8AFAF">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重要性原则。应当优先使用最具评价对象代表性、最能反映评价要求的核心指标。</w:t>
      </w:r>
    </w:p>
    <w:p w14:paraId="7E3179B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（3）可比性原则。对同类评价对象要设定共性的绩效评价指标，以便于评价结果可以</w:t>
      </w:r>
      <w:r>
        <w:rPr>
          <w:rFonts w:ascii="Arial Narrow" w:hAnsi="Arial Narrow" w:eastAsia="仿宋_GB2312"/>
          <w:color w:val="auto"/>
        </w:rPr>
        <w:t>相互比较。</w:t>
      </w:r>
    </w:p>
    <w:p w14:paraId="52843CD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DEDD88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30B04DD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56C044C8">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0E89EBD5">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8"/>
        <w:gridCol w:w="1048"/>
        <w:gridCol w:w="536"/>
        <w:gridCol w:w="2757"/>
        <w:gridCol w:w="3596"/>
      </w:tblGrid>
      <w:tr w14:paraId="6C86E88E">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030A38">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8" w:type="dxa"/>
            <w:tcBorders>
              <w:top w:val="single" w:color="auto" w:sz="4" w:space="0"/>
              <w:left w:val="nil"/>
              <w:bottom w:val="single" w:color="auto" w:sz="4" w:space="0"/>
              <w:right w:val="single" w:color="auto" w:sz="4" w:space="0"/>
            </w:tcBorders>
            <w:shd w:val="clear" w:color="auto" w:fill="auto"/>
            <w:noWrap/>
            <w:vAlign w:val="center"/>
          </w:tcPr>
          <w:p w14:paraId="5F7F768E">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63BABA77">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278F79D2">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57" w:type="dxa"/>
            <w:tcBorders>
              <w:top w:val="single" w:color="auto" w:sz="4" w:space="0"/>
              <w:left w:val="nil"/>
              <w:bottom w:val="single" w:color="auto" w:sz="4" w:space="0"/>
              <w:right w:val="single" w:color="auto" w:sz="4" w:space="0"/>
            </w:tcBorders>
            <w:shd w:val="clear" w:color="auto" w:fill="auto"/>
            <w:noWrap/>
            <w:vAlign w:val="center"/>
          </w:tcPr>
          <w:p w14:paraId="433B8730">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38B3E3AC">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24018BCA">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076302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702E349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043D938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53F310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57" w:type="dxa"/>
            <w:tcBorders>
              <w:top w:val="nil"/>
              <w:left w:val="nil"/>
              <w:bottom w:val="single" w:color="auto" w:sz="4" w:space="0"/>
              <w:right w:val="single" w:color="auto" w:sz="4" w:space="0"/>
            </w:tcBorders>
            <w:shd w:val="clear" w:color="auto" w:fill="auto"/>
            <w:vAlign w:val="center"/>
          </w:tcPr>
          <w:p w14:paraId="7EE4367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3628AC7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19EAEDCC">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5867D5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8" w:type="dxa"/>
            <w:vMerge w:val="continue"/>
            <w:tcBorders>
              <w:top w:val="nil"/>
              <w:left w:val="single" w:color="auto" w:sz="4" w:space="0"/>
              <w:bottom w:val="single" w:color="auto" w:sz="4" w:space="0"/>
              <w:right w:val="single" w:color="auto" w:sz="4" w:space="0"/>
            </w:tcBorders>
            <w:vAlign w:val="center"/>
          </w:tcPr>
          <w:p w14:paraId="1B8C8B44">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114A1F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0030DFC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57" w:type="dxa"/>
            <w:tcBorders>
              <w:top w:val="nil"/>
              <w:left w:val="nil"/>
              <w:bottom w:val="single" w:color="auto" w:sz="4" w:space="0"/>
              <w:right w:val="single" w:color="auto" w:sz="4" w:space="0"/>
            </w:tcBorders>
            <w:shd w:val="clear" w:color="auto" w:fill="auto"/>
            <w:vAlign w:val="center"/>
          </w:tcPr>
          <w:p w14:paraId="0974416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6391B82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2DC6181D">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36F1E2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79B95BD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570005F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3386A68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nil"/>
              <w:right w:val="nil"/>
            </w:tcBorders>
            <w:shd w:val="clear" w:color="auto" w:fill="auto"/>
            <w:vAlign w:val="center"/>
          </w:tcPr>
          <w:p w14:paraId="4F20220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04BC6A7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19CD1468">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326AF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8" w:type="dxa"/>
            <w:vMerge w:val="continue"/>
            <w:tcBorders>
              <w:top w:val="nil"/>
              <w:left w:val="single" w:color="auto" w:sz="4" w:space="0"/>
              <w:bottom w:val="single" w:color="auto" w:sz="4" w:space="0"/>
              <w:right w:val="single" w:color="auto" w:sz="4" w:space="0"/>
            </w:tcBorders>
            <w:vAlign w:val="center"/>
          </w:tcPr>
          <w:p w14:paraId="71831BD7">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FBB64E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EB7AAA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single" w:color="auto" w:sz="4" w:space="0"/>
              <w:left w:val="nil"/>
              <w:bottom w:val="single" w:color="auto" w:sz="4" w:space="0"/>
              <w:right w:val="single" w:color="auto" w:sz="4" w:space="0"/>
            </w:tcBorders>
            <w:shd w:val="clear" w:color="auto" w:fill="auto"/>
            <w:vAlign w:val="center"/>
          </w:tcPr>
          <w:p w14:paraId="76C1575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684A3F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4CEB4CCD">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8A8885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8" w:type="dxa"/>
            <w:vMerge w:val="continue"/>
            <w:tcBorders>
              <w:top w:val="nil"/>
              <w:left w:val="single" w:color="auto" w:sz="4" w:space="0"/>
              <w:bottom w:val="single" w:color="auto" w:sz="4" w:space="0"/>
              <w:right w:val="single" w:color="auto" w:sz="4" w:space="0"/>
            </w:tcBorders>
            <w:vAlign w:val="center"/>
          </w:tcPr>
          <w:p w14:paraId="3379EA9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464878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09AFBF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57" w:type="dxa"/>
            <w:tcBorders>
              <w:top w:val="nil"/>
              <w:left w:val="nil"/>
              <w:bottom w:val="single" w:color="auto" w:sz="4" w:space="0"/>
              <w:right w:val="single" w:color="auto" w:sz="4" w:space="0"/>
            </w:tcBorders>
            <w:shd w:val="clear" w:color="auto" w:fill="auto"/>
            <w:vAlign w:val="center"/>
          </w:tcPr>
          <w:p w14:paraId="7464CA3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4951DF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4DFF01CA">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56308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8" w:type="dxa"/>
            <w:vMerge w:val="continue"/>
            <w:tcBorders>
              <w:top w:val="nil"/>
              <w:left w:val="single" w:color="auto" w:sz="4" w:space="0"/>
              <w:bottom w:val="single" w:color="auto" w:sz="4" w:space="0"/>
              <w:right w:val="single" w:color="auto" w:sz="4" w:space="0"/>
            </w:tcBorders>
            <w:vAlign w:val="center"/>
          </w:tcPr>
          <w:p w14:paraId="4ADA1969">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6DFDB5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2F24766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57" w:type="dxa"/>
            <w:tcBorders>
              <w:top w:val="nil"/>
              <w:left w:val="nil"/>
              <w:bottom w:val="single" w:color="auto" w:sz="4" w:space="0"/>
              <w:right w:val="single" w:color="auto" w:sz="4" w:space="0"/>
            </w:tcBorders>
            <w:shd w:val="clear" w:color="auto" w:fill="auto"/>
            <w:vAlign w:val="center"/>
          </w:tcPr>
          <w:p w14:paraId="07A6C4F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6D8EE1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243CF0AE">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4D8D2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8" w:type="dxa"/>
            <w:vMerge w:val="continue"/>
            <w:tcBorders>
              <w:top w:val="nil"/>
              <w:left w:val="single" w:color="auto" w:sz="4" w:space="0"/>
              <w:bottom w:val="single" w:color="auto" w:sz="4" w:space="0"/>
              <w:right w:val="single" w:color="auto" w:sz="4" w:space="0"/>
            </w:tcBorders>
            <w:vAlign w:val="center"/>
          </w:tcPr>
          <w:p w14:paraId="501738B5">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75D059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EFCF59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57" w:type="dxa"/>
            <w:tcBorders>
              <w:top w:val="nil"/>
              <w:left w:val="nil"/>
              <w:bottom w:val="single" w:color="auto" w:sz="4" w:space="0"/>
              <w:right w:val="single" w:color="auto" w:sz="4" w:space="0"/>
            </w:tcBorders>
            <w:shd w:val="clear" w:color="auto" w:fill="auto"/>
            <w:vAlign w:val="center"/>
          </w:tcPr>
          <w:p w14:paraId="01B02FA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88E1DC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62672D44">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62BF87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8" w:type="dxa"/>
            <w:vMerge w:val="continue"/>
            <w:tcBorders>
              <w:top w:val="nil"/>
              <w:left w:val="single" w:color="auto" w:sz="4" w:space="0"/>
              <w:bottom w:val="single" w:color="auto" w:sz="4" w:space="0"/>
              <w:right w:val="single" w:color="auto" w:sz="4" w:space="0"/>
            </w:tcBorders>
            <w:vAlign w:val="center"/>
          </w:tcPr>
          <w:p w14:paraId="635E9A7B">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D1DA68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3E59E3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020AD6C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6BFEBD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02E469F4">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B19A81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8" w:type="dxa"/>
            <w:vMerge w:val="continue"/>
            <w:tcBorders>
              <w:top w:val="nil"/>
              <w:left w:val="single" w:color="auto" w:sz="4" w:space="0"/>
              <w:bottom w:val="single" w:color="auto" w:sz="4" w:space="0"/>
              <w:right w:val="single" w:color="auto" w:sz="4" w:space="0"/>
            </w:tcBorders>
            <w:vAlign w:val="center"/>
          </w:tcPr>
          <w:p w14:paraId="281EA9FA">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E01337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B29EC0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57" w:type="dxa"/>
            <w:tcBorders>
              <w:top w:val="nil"/>
              <w:left w:val="nil"/>
              <w:bottom w:val="single" w:color="auto" w:sz="4" w:space="0"/>
              <w:right w:val="single" w:color="auto" w:sz="4" w:space="0"/>
            </w:tcBorders>
            <w:shd w:val="clear" w:color="auto" w:fill="auto"/>
            <w:vAlign w:val="center"/>
          </w:tcPr>
          <w:p w14:paraId="0ABAB3E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119087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72B2C498">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DC619C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3C7C4DE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1402F29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5E91E06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57" w:type="dxa"/>
            <w:tcBorders>
              <w:top w:val="nil"/>
              <w:left w:val="nil"/>
              <w:bottom w:val="single" w:color="auto" w:sz="4" w:space="0"/>
              <w:right w:val="single" w:color="auto" w:sz="4" w:space="0"/>
            </w:tcBorders>
            <w:shd w:val="clear" w:color="auto" w:fill="auto"/>
            <w:vAlign w:val="center"/>
          </w:tcPr>
          <w:p w14:paraId="3481562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4BA56A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582C5A10">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087AA3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8" w:type="dxa"/>
            <w:vMerge w:val="continue"/>
            <w:tcBorders>
              <w:top w:val="nil"/>
              <w:left w:val="single" w:color="auto" w:sz="4" w:space="0"/>
              <w:bottom w:val="single" w:color="auto" w:sz="4" w:space="0"/>
              <w:right w:val="single" w:color="auto" w:sz="4" w:space="0"/>
            </w:tcBorders>
            <w:vAlign w:val="center"/>
          </w:tcPr>
          <w:p w14:paraId="2FA93CB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4633E0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85E784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155F9D8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76D666B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EDC89C9">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FC3E2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8" w:type="dxa"/>
            <w:vMerge w:val="restart"/>
            <w:tcBorders>
              <w:top w:val="nil"/>
              <w:left w:val="single" w:color="auto" w:sz="4" w:space="0"/>
              <w:bottom w:val="single" w:color="000000" w:sz="4" w:space="0"/>
              <w:right w:val="single" w:color="auto" w:sz="4" w:space="0"/>
            </w:tcBorders>
            <w:shd w:val="clear" w:color="auto" w:fill="auto"/>
            <w:vAlign w:val="center"/>
          </w:tcPr>
          <w:p w14:paraId="0227F7D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6539E91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75D946B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44914E8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5E2A005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0F76564E">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5A270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8" w:type="dxa"/>
            <w:vMerge w:val="continue"/>
            <w:tcBorders>
              <w:top w:val="nil"/>
              <w:left w:val="single" w:color="auto" w:sz="4" w:space="0"/>
              <w:bottom w:val="single" w:color="000000" w:sz="4" w:space="0"/>
              <w:right w:val="single" w:color="auto" w:sz="4" w:space="0"/>
            </w:tcBorders>
            <w:vAlign w:val="center"/>
          </w:tcPr>
          <w:p w14:paraId="298B2611">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EB3833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0E05F6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nil"/>
              <w:left w:val="nil"/>
              <w:bottom w:val="single" w:color="auto" w:sz="4" w:space="0"/>
              <w:right w:val="single" w:color="auto" w:sz="4" w:space="0"/>
            </w:tcBorders>
            <w:shd w:val="clear" w:color="auto" w:fill="auto"/>
            <w:vAlign w:val="center"/>
          </w:tcPr>
          <w:p w14:paraId="2E97D93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4C6AC96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1FB0A453">
      <w:pPr>
        <w:spacing w:before="120" w:beforeLines="50" w:line="360" w:lineRule="auto"/>
        <w:ind w:firstLine="482" w:firstLineChars="200"/>
        <w:jc w:val="left"/>
        <w:outlineLvl w:val="0"/>
        <w:rPr>
          <w:rFonts w:ascii="Arial Narrow" w:hAnsi="Arial Narrow" w:eastAsia="仿宋_GB2312"/>
          <w:b/>
          <w:sz w:val="24"/>
        </w:rPr>
      </w:pPr>
      <w:bookmarkStart w:id="15" w:name="_Toc7253"/>
      <w:r>
        <w:rPr>
          <w:rFonts w:ascii="Arial Narrow" w:hAnsi="Arial Narrow" w:eastAsia="仿宋_GB2312"/>
          <w:b/>
          <w:sz w:val="24"/>
        </w:rPr>
        <w:t>（五）绩效评价标准和评价方法</w:t>
      </w:r>
      <w:bookmarkEnd w:id="15"/>
    </w:p>
    <w:p w14:paraId="48E89C2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1FB6E2E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5B511C6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F950E1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1513B7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59B66F6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3088A7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F62034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C08445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42C56D5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5D1A2103">
      <w:pPr>
        <w:spacing w:line="360" w:lineRule="auto"/>
        <w:ind w:firstLine="482" w:firstLineChars="200"/>
        <w:jc w:val="left"/>
        <w:outlineLvl w:val="0"/>
        <w:rPr>
          <w:rFonts w:ascii="Arial Narrow" w:hAnsi="Arial Narrow" w:eastAsia="仿宋_GB2312"/>
          <w:b/>
          <w:sz w:val="24"/>
        </w:rPr>
      </w:pPr>
      <w:bookmarkStart w:id="18" w:name="_Toc437528932"/>
      <w:bookmarkStart w:id="19" w:name="_Toc2057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49C3A3D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DAC0FD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6F44D11C">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3967060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11CB4740">
      <w:pPr>
        <w:spacing w:line="360" w:lineRule="auto"/>
        <w:ind w:firstLine="482" w:firstLineChars="200"/>
        <w:jc w:val="left"/>
        <w:outlineLvl w:val="0"/>
        <w:rPr>
          <w:rFonts w:ascii="Arial Narrow" w:hAnsi="Arial Narrow" w:eastAsia="仿宋_GB2312"/>
          <w:b/>
          <w:sz w:val="24"/>
        </w:rPr>
      </w:pPr>
      <w:bookmarkStart w:id="20" w:name="_Toc437528933"/>
      <w:bookmarkStart w:id="21" w:name="_Toc32448"/>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078A425D">
      <w:pPr>
        <w:spacing w:line="360" w:lineRule="auto"/>
        <w:ind w:left="420" w:leftChars="200"/>
        <w:jc w:val="left"/>
        <w:rPr>
          <w:rFonts w:hint="default" w:ascii="Arial Narrow" w:hAnsi="Arial Narrow" w:eastAsia="仿宋_GB2312" w:cs="宋体"/>
          <w:kern w:val="0"/>
          <w:sz w:val="24"/>
          <w:lang w:val="en-US"/>
        </w:rPr>
      </w:pPr>
      <w:r>
        <w:rPr>
          <w:rFonts w:hint="eastAsia" w:ascii="Arial Narrow" w:hAnsi="Arial Narrow" w:eastAsia="仿宋_GB2312" w:cs="宋体"/>
          <w:kern w:val="0"/>
          <w:sz w:val="24"/>
          <w:lang w:val="en-US" w:eastAsia="zh-CN"/>
        </w:rPr>
        <w:t>佛手基地基础设施建设</w:t>
      </w:r>
      <w:r>
        <w:rPr>
          <w:rFonts w:hint="eastAsia" w:ascii="Arial Narrow" w:hAnsi="Arial Narrow" w:eastAsia="仿宋_GB2312" w:cs="宋体"/>
          <w:kern w:val="0"/>
          <w:sz w:val="24"/>
        </w:rPr>
        <w:t>项目</w:t>
      </w:r>
      <w:r>
        <w:rPr>
          <w:rFonts w:ascii="Arial Narrow" w:hAnsi="Arial Narrow" w:eastAsia="仿宋_GB2312" w:cs="宋体"/>
          <w:kern w:val="0"/>
          <w:sz w:val="24"/>
        </w:rPr>
        <w:t>绩效评价得分</w:t>
      </w:r>
      <w:r>
        <w:rPr>
          <w:rFonts w:hint="eastAsia" w:ascii="Arial Narrow" w:hAnsi="Arial Narrow" w:eastAsia="仿宋_GB2312" w:cs="宋体"/>
          <w:kern w:val="0"/>
          <w:sz w:val="24"/>
          <w:lang w:val="en-US" w:eastAsia="zh-CN"/>
        </w:rPr>
        <w:t>96</w:t>
      </w:r>
      <w:r>
        <w:rPr>
          <w:rFonts w:ascii="Arial Narrow" w:hAnsi="Arial Narrow" w:eastAsia="仿宋_GB2312" w:cs="宋体"/>
          <w:kern w:val="0"/>
          <w:sz w:val="24"/>
        </w:rPr>
        <w:t>分，绩效评价等级为：</w:t>
      </w:r>
      <w:r>
        <w:rPr>
          <w:rFonts w:hint="eastAsia" w:ascii="Arial Narrow" w:hAnsi="Arial Narrow" w:eastAsia="仿宋_GB2312" w:cs="宋体"/>
          <w:kern w:val="0"/>
          <w:sz w:val="24"/>
          <w:lang w:val="en-US" w:eastAsia="zh-CN"/>
        </w:rPr>
        <w:t>优。</w:t>
      </w:r>
    </w:p>
    <w:p w14:paraId="20DA9ADC">
      <w:pPr>
        <w:spacing w:line="360" w:lineRule="auto"/>
        <w:ind w:firstLine="482" w:firstLineChars="200"/>
        <w:outlineLvl w:val="0"/>
        <w:rPr>
          <w:rFonts w:ascii="Arial Narrow" w:hAnsi="Arial Narrow" w:eastAsia="仿宋_GB2312"/>
          <w:b/>
          <w:sz w:val="24"/>
        </w:rPr>
      </w:pPr>
      <w:bookmarkStart w:id="22" w:name="_Toc31305"/>
      <w:r>
        <w:rPr>
          <w:rFonts w:hint="eastAsia" w:ascii="Arial Narrow" w:hAnsi="Arial Narrow" w:eastAsia="仿宋_GB2312"/>
          <w:b/>
          <w:sz w:val="24"/>
        </w:rPr>
        <w:t>四、</w:t>
      </w:r>
      <w:r>
        <w:rPr>
          <w:rFonts w:ascii="Arial Narrow" w:hAnsi="Arial Narrow" w:eastAsia="仿宋_GB2312"/>
          <w:b/>
          <w:sz w:val="24"/>
        </w:rPr>
        <w:t>综合评价情况</w:t>
      </w:r>
      <w:bookmarkEnd w:id="22"/>
    </w:p>
    <w:p w14:paraId="128407F9">
      <w:pPr>
        <w:spacing w:line="360" w:lineRule="auto"/>
        <w:ind w:firstLine="482" w:firstLineChars="200"/>
        <w:jc w:val="left"/>
        <w:outlineLvl w:val="0"/>
        <w:rPr>
          <w:rFonts w:ascii="仿宋_GB2312" w:eastAsia="仿宋_GB2312"/>
          <w:b/>
          <w:sz w:val="24"/>
        </w:rPr>
      </w:pPr>
      <w:bookmarkStart w:id="23" w:name="_Toc306"/>
      <w:r>
        <w:rPr>
          <w:rFonts w:hint="eastAsia" w:ascii="仿宋_GB2312" w:eastAsia="仿宋_GB2312"/>
          <w:b/>
          <w:sz w:val="24"/>
        </w:rPr>
        <w:t>（一）资金管理</w:t>
      </w:r>
      <w:bookmarkEnd w:id="23"/>
    </w:p>
    <w:p w14:paraId="6F35D7B0">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2830DE21">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59D7341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35745EC2">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cs="宋体"/>
          <w:kern w:val="0"/>
          <w:sz w:val="24"/>
          <w:lang w:val="en-US" w:eastAsia="zh-CN"/>
        </w:rPr>
        <w:t>佛手基地基础设施建设</w:t>
      </w:r>
      <w:r>
        <w:rPr>
          <w:rFonts w:hint="eastAsia" w:ascii="Arial Narrow" w:hAnsi="Arial Narrow" w:eastAsia="仿宋_GB2312"/>
          <w:sz w:val="24"/>
        </w:rPr>
        <w:t>项目区财政局于</w:t>
      </w:r>
      <w:r>
        <w:rPr>
          <w:rFonts w:hint="eastAsia" w:ascii="Arial Narrow" w:hAnsi="Arial Narrow" w:eastAsia="仿宋_GB2312"/>
          <w:sz w:val="24"/>
          <w:highlight w:val="none"/>
        </w:rPr>
        <w:t>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5</w:t>
      </w:r>
      <w:r>
        <w:rPr>
          <w:rFonts w:hint="eastAsia" w:ascii="Arial Narrow" w:hAnsi="Arial Narrow" w:eastAsia="仿宋_GB2312"/>
          <w:sz w:val="24"/>
          <w:highlight w:val="none"/>
        </w:rPr>
        <w:t>日发布《关于提前下达2023年市财政衔接推进乡村振兴补助资金预算的通知》（铜财〔202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w:t>
      </w:r>
      <w:r>
        <w:rPr>
          <w:rFonts w:hint="eastAsia" w:ascii="Arial Narrow" w:hAnsi="Arial Narrow" w:eastAsia="仿宋_GB2312"/>
          <w:sz w:val="24"/>
          <w:highlight w:val="none"/>
          <w:lang w:val="en-US" w:eastAsia="zh-CN"/>
        </w:rPr>
        <w:t>549</w:t>
      </w:r>
      <w:r>
        <w:rPr>
          <w:rFonts w:hint="eastAsia" w:ascii="Arial Narrow" w:hAnsi="Arial Narrow" w:eastAsia="仿宋_GB2312"/>
          <w:sz w:val="24"/>
          <w:highlight w:val="none"/>
        </w:rPr>
        <w:t>号），</w:t>
      </w:r>
      <w:r>
        <w:rPr>
          <w:rFonts w:hint="eastAsia" w:ascii="Arial Narrow" w:hAnsi="Arial Narrow" w:eastAsia="仿宋_GB2312"/>
          <w:sz w:val="24"/>
        </w:rPr>
        <w:t>业务主管部门于20</w:t>
      </w:r>
      <w:r>
        <w:rPr>
          <w:rFonts w:hint="eastAsia" w:ascii="Arial Narrow" w:hAnsi="Arial Narrow" w:eastAsia="仿宋_GB2312"/>
          <w:sz w:val="24"/>
          <w:lang w:val="en-US" w:eastAsia="zh-CN"/>
        </w:rPr>
        <w:t>22</w:t>
      </w:r>
      <w:r>
        <w:rPr>
          <w:rFonts w:hint="eastAsia" w:ascii="Arial Narrow" w:hAnsi="Arial Narrow" w:eastAsia="仿宋_GB2312"/>
          <w:sz w:val="24"/>
        </w:rPr>
        <w:t>年</w:t>
      </w:r>
      <w:r>
        <w:rPr>
          <w:rFonts w:hint="eastAsia" w:ascii="Arial Narrow" w:hAnsi="Arial Narrow" w:eastAsia="仿宋_GB2312"/>
          <w:sz w:val="24"/>
          <w:lang w:val="en-US" w:eastAsia="zh-CN"/>
        </w:rPr>
        <w:t>12</w:t>
      </w:r>
      <w:r>
        <w:rPr>
          <w:rFonts w:hint="eastAsia" w:ascii="Arial Narrow" w:hAnsi="Arial Narrow" w:eastAsia="仿宋_GB2312"/>
          <w:sz w:val="24"/>
        </w:rPr>
        <w:t>月</w:t>
      </w:r>
      <w:r>
        <w:rPr>
          <w:rFonts w:hint="eastAsia" w:ascii="Arial Narrow" w:hAnsi="Arial Narrow" w:eastAsia="仿宋_GB2312"/>
          <w:sz w:val="24"/>
          <w:lang w:val="en-US" w:eastAsia="zh-CN"/>
        </w:rPr>
        <w:t>29</w:t>
      </w:r>
      <w:r>
        <w:rPr>
          <w:rFonts w:hint="eastAsia" w:ascii="Arial Narrow" w:hAnsi="Arial Narrow" w:eastAsia="仿宋_GB2312"/>
          <w:sz w:val="24"/>
        </w:rPr>
        <w:t>日发布《关于下达 2023年提前批市级财政衔接推进乡村振兴补助资金项目安排计划的通知》（铜委农办〔202</w:t>
      </w:r>
      <w:r>
        <w:rPr>
          <w:rFonts w:hint="eastAsia" w:ascii="Arial Narrow" w:hAnsi="Arial Narrow" w:eastAsia="仿宋_GB2312"/>
          <w:sz w:val="24"/>
          <w:lang w:val="en-US" w:eastAsia="zh-CN"/>
        </w:rPr>
        <w:t>2</w:t>
      </w:r>
      <w:r>
        <w:rPr>
          <w:rFonts w:hint="eastAsia" w:ascii="Arial Narrow" w:hAnsi="Arial Narrow" w:eastAsia="仿宋_GB2312"/>
          <w:sz w:val="24"/>
        </w:rPr>
        <w:t>〕</w:t>
      </w:r>
      <w:r>
        <w:rPr>
          <w:rFonts w:hint="eastAsia" w:ascii="Arial Narrow" w:hAnsi="Arial Narrow" w:eastAsia="仿宋_GB2312"/>
          <w:sz w:val="24"/>
          <w:lang w:val="en-US" w:eastAsia="zh-CN"/>
        </w:rPr>
        <w:t>24</w:t>
      </w:r>
      <w:r>
        <w:rPr>
          <w:rFonts w:hint="eastAsia" w:ascii="Arial Narrow" w:hAnsi="Arial Narrow" w:eastAsia="仿宋_GB2312"/>
          <w:sz w:val="24"/>
        </w:rPr>
        <w:t>号），区财政局下达资金文件时间到区级业务主管部门下达项目及资金计划文件时间间隔</w:t>
      </w:r>
      <w:r>
        <w:rPr>
          <w:rFonts w:hint="eastAsia" w:ascii="Arial Narrow" w:hAnsi="Arial Narrow" w:eastAsia="仿宋_GB2312"/>
          <w:sz w:val="24"/>
          <w:lang w:val="en-US" w:eastAsia="zh-CN"/>
        </w:rPr>
        <w:t>小于</w:t>
      </w:r>
      <w:r>
        <w:rPr>
          <w:rFonts w:hint="eastAsia" w:ascii="Arial Narrow" w:hAnsi="Arial Narrow" w:eastAsia="仿宋_GB2312"/>
          <w:sz w:val="24"/>
        </w:rPr>
        <w:t>30日。</w:t>
      </w:r>
    </w:p>
    <w:p w14:paraId="4DB6C990">
      <w:pPr>
        <w:spacing w:line="360" w:lineRule="auto"/>
        <w:ind w:firstLine="482" w:firstLineChars="200"/>
        <w:jc w:val="left"/>
        <w:outlineLvl w:val="0"/>
        <w:rPr>
          <w:rFonts w:ascii="仿宋_GB2312" w:eastAsia="仿宋_GB2312"/>
          <w:b/>
          <w:sz w:val="24"/>
        </w:rPr>
      </w:pPr>
      <w:bookmarkStart w:id="24" w:name="_Toc6047"/>
      <w:r>
        <w:rPr>
          <w:rFonts w:hint="eastAsia" w:ascii="仿宋_GB2312" w:eastAsia="仿宋_GB2312"/>
          <w:b/>
          <w:sz w:val="24"/>
        </w:rPr>
        <w:t>（二）项目管理</w:t>
      </w:r>
      <w:bookmarkEnd w:id="24"/>
    </w:p>
    <w:p w14:paraId="478865B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41C394E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w:t>
      </w:r>
      <w:r>
        <w:rPr>
          <w:rFonts w:hint="eastAsia" w:ascii="Arial Narrow" w:hAnsi="Arial Narrow" w:eastAsia="仿宋_GB2312"/>
          <w:sz w:val="24"/>
          <w:lang w:val="en-US" w:eastAsia="zh-CN"/>
        </w:rPr>
        <w:t>了</w:t>
      </w:r>
      <w:r>
        <w:rPr>
          <w:rFonts w:hint="eastAsia" w:ascii="Arial Narrow" w:hAnsi="Arial Narrow" w:eastAsia="仿宋_GB2312"/>
          <w:sz w:val="24"/>
        </w:rPr>
        <w:t>切合实际的实施方案，具备实施条件，衔接资金未用于项目库之外的项目。</w:t>
      </w:r>
    </w:p>
    <w:p w14:paraId="068530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5F7471C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项目及时制定了明确的绩效目标，实施过程中对绩效目标进行监控，对绩效目标偏离项目采取纠偏措施，在项目实施完毕后开展了绩效自评，并形成绩效自评表、自评报告。</w:t>
      </w:r>
    </w:p>
    <w:p w14:paraId="4B07CE9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766BDDA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rPr>
        <w:t>铜梁区</w:t>
      </w:r>
      <w:r>
        <w:rPr>
          <w:rFonts w:hint="eastAsia" w:ascii="Arial Narrow" w:hAnsi="Arial Narrow" w:eastAsia="仿宋_GB2312" w:cs="宋体"/>
          <w:kern w:val="0"/>
          <w:sz w:val="24"/>
          <w:lang w:val="en-US" w:eastAsia="zh-CN"/>
        </w:rPr>
        <w:t>庆隆镇庆新村股份经济合作联合社</w:t>
      </w:r>
      <w:r>
        <w:rPr>
          <w:rFonts w:hint="eastAsia" w:ascii="Arial Narrow" w:hAnsi="Arial Narrow" w:eastAsia="仿宋_GB2312"/>
          <w:sz w:val="24"/>
        </w:rPr>
        <w:t>进行监督检查，检查中未发现重大问题，项目按照实施节点按时提交项目报账资料。</w:t>
      </w:r>
    </w:p>
    <w:p w14:paraId="44A1F43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7409385F">
      <w:pPr>
        <w:adjustRightInd w:val="0"/>
        <w:snapToGrid w:val="0"/>
        <w:spacing w:line="360" w:lineRule="auto"/>
        <w:ind w:firstLine="480" w:firstLineChars="200"/>
        <w:rPr>
          <w:rFonts w:hint="eastAsia" w:ascii="Arial Narrow" w:hAnsi="Arial Narrow" w:eastAsia="仿宋_GB2312"/>
          <w:sz w:val="24"/>
          <w:lang w:val="en-US" w:eastAsia="zh-CN"/>
        </w:rPr>
      </w:pPr>
      <w:r>
        <w:rPr>
          <w:rFonts w:hint="eastAsia" w:ascii="Arial Narrow" w:hAnsi="Arial Narrow" w:eastAsia="仿宋_GB2312"/>
          <w:sz w:val="24"/>
        </w:rPr>
        <w:t>预算执行率达到100%</w:t>
      </w:r>
      <w:r>
        <w:rPr>
          <w:rFonts w:hint="eastAsia" w:ascii="Arial Narrow" w:hAnsi="Arial Narrow" w:eastAsia="仿宋_GB2312"/>
          <w:sz w:val="24"/>
          <w:lang w:eastAsia="zh-CN"/>
        </w:rPr>
        <w:t>，</w:t>
      </w:r>
      <w:r>
        <w:rPr>
          <w:rFonts w:hint="eastAsia" w:ascii="Arial Narrow" w:hAnsi="Arial Narrow" w:eastAsia="仿宋_GB2312"/>
          <w:sz w:val="24"/>
          <w:lang w:val="en-US" w:eastAsia="zh-CN"/>
        </w:rPr>
        <w:t>但存在支付进度较晚的情况。</w:t>
      </w:r>
      <w:r>
        <w:rPr>
          <w:rFonts w:hint="eastAsia" w:ascii="Arial Narrow" w:hAnsi="Arial Narrow" w:eastAsia="仿宋_GB2312"/>
          <w:sz w:val="24"/>
        </w:rPr>
        <w:t>项目最后一笔款项拨付于2023年12月0</w:t>
      </w:r>
      <w:r>
        <w:rPr>
          <w:rFonts w:hint="eastAsia" w:ascii="Arial Narrow" w:hAnsi="Arial Narrow" w:eastAsia="仿宋_GB2312"/>
          <w:sz w:val="24"/>
          <w:lang w:val="en-US" w:eastAsia="zh-CN"/>
        </w:rPr>
        <w:t>5</w:t>
      </w:r>
      <w:r>
        <w:rPr>
          <w:rFonts w:hint="eastAsia" w:ascii="Arial Narrow" w:hAnsi="Arial Narrow" w:eastAsia="仿宋_GB2312"/>
          <w:sz w:val="24"/>
        </w:rPr>
        <w:t>日</w:t>
      </w:r>
      <w:r>
        <w:rPr>
          <w:rFonts w:hint="eastAsia" w:ascii="Arial Narrow" w:hAnsi="Arial Narrow" w:eastAsia="仿宋_GB2312"/>
          <w:sz w:val="24"/>
          <w:lang w:eastAsia="zh-CN"/>
        </w:rPr>
        <w:t>，支付时间为 202</w:t>
      </w:r>
      <w:r>
        <w:rPr>
          <w:rFonts w:hint="eastAsia" w:ascii="Arial Narrow" w:hAnsi="Arial Narrow" w:eastAsia="仿宋_GB2312"/>
          <w:sz w:val="24"/>
          <w:lang w:val="en-US" w:eastAsia="zh-CN"/>
        </w:rPr>
        <w:t>3</w:t>
      </w:r>
      <w:r>
        <w:rPr>
          <w:rFonts w:hint="eastAsia" w:ascii="Arial Narrow" w:hAnsi="Arial Narrow" w:eastAsia="仿宋_GB2312"/>
          <w:sz w:val="24"/>
          <w:lang w:eastAsia="zh-CN"/>
        </w:rPr>
        <w:t>年12月</w:t>
      </w:r>
      <w:r>
        <w:rPr>
          <w:rFonts w:hint="eastAsia" w:ascii="Arial Narrow" w:hAnsi="Arial Narrow" w:eastAsia="仿宋_GB2312"/>
          <w:sz w:val="24"/>
          <w:lang w:val="en-US" w:eastAsia="zh-CN"/>
        </w:rPr>
        <w:t>29日。</w:t>
      </w:r>
    </w:p>
    <w:p w14:paraId="24FA3A30">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5.跟踪督促及发现问题整改情况</w:t>
      </w:r>
    </w:p>
    <w:p w14:paraId="3726128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6D63AFA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49ADD9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r>
        <w:rPr>
          <w:rFonts w:hint="eastAsia" w:ascii="Arial Narrow" w:hAnsi="Arial Narrow" w:eastAsia="仿宋_GB2312"/>
          <w:sz w:val="24"/>
          <w:lang w:eastAsia="zh-CN"/>
        </w:rPr>
        <w:t>，</w:t>
      </w:r>
      <w:r>
        <w:rPr>
          <w:rFonts w:hint="eastAsia" w:ascii="Arial Narrow" w:hAnsi="Arial Narrow" w:eastAsia="仿宋_GB2312"/>
          <w:sz w:val="24"/>
          <w:lang w:val="en-US" w:eastAsia="zh-CN"/>
        </w:rPr>
        <w:t>但档案管理存在归档不及时的情况</w:t>
      </w:r>
      <w:r>
        <w:rPr>
          <w:rFonts w:hint="eastAsia" w:ascii="Arial Narrow" w:hAnsi="Arial Narrow" w:eastAsia="仿宋_GB2312"/>
          <w:sz w:val="24"/>
        </w:rPr>
        <w:t>。</w:t>
      </w:r>
    </w:p>
    <w:p w14:paraId="04EEACC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31042A7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lang w:val="en-US" w:eastAsia="zh-CN"/>
        </w:rPr>
        <w:t>对</w:t>
      </w:r>
      <w:r>
        <w:rPr>
          <w:rFonts w:hint="eastAsia" w:ascii="Arial Narrow" w:hAnsi="Arial Narrow" w:eastAsia="仿宋_GB2312"/>
          <w:sz w:val="24"/>
        </w:rPr>
        <w:t>项目入库情况、</w:t>
      </w:r>
      <w:r>
        <w:rPr>
          <w:rFonts w:hint="eastAsia" w:ascii="Arial Narrow" w:hAnsi="Arial Narrow" w:eastAsia="仿宋_GB2312"/>
          <w:sz w:val="24"/>
          <w:lang w:val="en-US" w:eastAsia="zh-CN"/>
        </w:rPr>
        <w:t>实施方案、资金计划、</w:t>
      </w:r>
      <w:r>
        <w:rPr>
          <w:rFonts w:hint="eastAsia" w:ascii="Arial Narrow" w:hAnsi="Arial Narrow" w:eastAsia="仿宋_GB2312"/>
          <w:sz w:val="24"/>
        </w:rPr>
        <w:t>资金计划完成情况等进行了公告公示。</w:t>
      </w:r>
    </w:p>
    <w:p w14:paraId="27C48C0E">
      <w:pPr>
        <w:spacing w:line="360" w:lineRule="auto"/>
        <w:ind w:firstLine="482" w:firstLineChars="200"/>
        <w:jc w:val="left"/>
        <w:outlineLvl w:val="0"/>
        <w:rPr>
          <w:rFonts w:ascii="仿宋_GB2312" w:eastAsia="仿宋_GB2312"/>
          <w:b/>
          <w:sz w:val="24"/>
        </w:rPr>
      </w:pPr>
      <w:bookmarkStart w:id="25" w:name="_Toc19403"/>
      <w:r>
        <w:rPr>
          <w:rFonts w:hint="eastAsia" w:ascii="仿宋_GB2312" w:eastAsia="仿宋_GB2312"/>
          <w:b/>
          <w:sz w:val="24"/>
        </w:rPr>
        <w:t>（三）使用成效及通报情况</w:t>
      </w:r>
      <w:bookmarkEnd w:id="25"/>
    </w:p>
    <w:p w14:paraId="40B9BAB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7A03011C">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rPr>
        <w:t>项目总体资金均专款专用，完成项目的质量能够达标，完成进行了自评、项目资金完整。</w:t>
      </w:r>
      <w:r>
        <w:rPr>
          <w:rFonts w:hint="eastAsia" w:ascii="Arial Narrow" w:hAnsi="Arial Narrow" w:eastAsia="仿宋_GB2312"/>
          <w:sz w:val="24"/>
          <w:lang w:val="en-US" w:eastAsia="zh-CN"/>
        </w:rPr>
        <w:t>建立了后期管护制度，并执行到位。</w:t>
      </w:r>
    </w:p>
    <w:p w14:paraId="53BC971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645FEE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lang w:val="en-US" w:eastAsia="zh-CN"/>
        </w:rPr>
        <w:t>区财政局于2023年11月14日发布《重庆市铜梁区财政局关于衔接资金支出进度情况的通报》（铜财〔2023</w:t>
      </w:r>
      <w:r>
        <w:rPr>
          <w:rFonts w:hint="eastAsia" w:ascii="Arial Narrow" w:hAnsi="Arial Narrow" w:eastAsia="仿宋_GB2312"/>
          <w:sz w:val="24"/>
        </w:rPr>
        <w:t>〕</w:t>
      </w:r>
      <w:r>
        <w:rPr>
          <w:rFonts w:hint="eastAsia" w:ascii="Arial Narrow" w:hAnsi="Arial Narrow" w:eastAsia="仿宋_GB2312"/>
          <w:sz w:val="24"/>
          <w:lang w:val="en-US" w:eastAsia="zh-CN"/>
        </w:rPr>
        <w:t>478号），对庆隆镇进行了一次项目资金支出情况通报</w:t>
      </w:r>
      <w:r>
        <w:rPr>
          <w:rFonts w:hint="eastAsia" w:ascii="Arial Narrow" w:hAnsi="Arial Narrow" w:eastAsia="仿宋_GB2312"/>
          <w:sz w:val="24"/>
        </w:rPr>
        <w:t>。</w:t>
      </w:r>
    </w:p>
    <w:p w14:paraId="26415289">
      <w:pPr>
        <w:adjustRightInd w:val="0"/>
        <w:snapToGrid w:val="0"/>
        <w:spacing w:line="360" w:lineRule="auto"/>
        <w:ind w:firstLine="482" w:firstLineChars="200"/>
        <w:outlineLvl w:val="0"/>
        <w:rPr>
          <w:rFonts w:ascii="Arial Narrow" w:hAnsi="Arial Narrow" w:eastAsia="仿宋_GB2312"/>
          <w:b/>
          <w:sz w:val="24"/>
        </w:rPr>
      </w:pPr>
      <w:bookmarkStart w:id="26" w:name="_Toc7709"/>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25208207">
      <w:pPr>
        <w:spacing w:line="360" w:lineRule="auto"/>
        <w:ind w:firstLine="482" w:firstLineChars="200"/>
        <w:jc w:val="left"/>
        <w:outlineLvl w:val="0"/>
        <w:rPr>
          <w:rFonts w:ascii="仿宋_GB2312" w:eastAsia="仿宋_GB2312"/>
          <w:b/>
          <w:sz w:val="24"/>
        </w:rPr>
      </w:pPr>
      <w:bookmarkStart w:id="27" w:name="_Toc6934"/>
      <w:r>
        <w:rPr>
          <w:rFonts w:hint="eastAsia" w:ascii="仿宋_GB2312" w:eastAsia="仿宋_GB2312"/>
          <w:b/>
          <w:sz w:val="24"/>
        </w:rPr>
        <w:t>（一）存在问题</w:t>
      </w:r>
      <w:bookmarkEnd w:id="27"/>
    </w:p>
    <w:p w14:paraId="4D93B54B">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1.项目资金</w:t>
      </w:r>
      <w:r>
        <w:rPr>
          <w:rFonts w:hint="eastAsia" w:ascii="Arial Narrow" w:hAnsi="Arial Narrow" w:eastAsia="仿宋_GB2312"/>
          <w:sz w:val="24"/>
          <w:lang w:val="en-US" w:eastAsia="zh-CN"/>
        </w:rPr>
        <w:t>支付</w:t>
      </w:r>
      <w:r>
        <w:rPr>
          <w:rFonts w:hint="eastAsia" w:ascii="Arial Narrow" w:hAnsi="Arial Narrow" w:eastAsia="仿宋_GB2312"/>
          <w:sz w:val="24"/>
        </w:rPr>
        <w:t>进度较晚。</w:t>
      </w:r>
    </w:p>
    <w:p w14:paraId="6603AF89">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lang w:val="en-US" w:eastAsia="zh-CN"/>
        </w:rPr>
        <w:t>2</w:t>
      </w:r>
      <w:r>
        <w:rPr>
          <w:rFonts w:hint="eastAsia" w:ascii="Arial Narrow" w:hAnsi="Arial Narrow" w:eastAsia="仿宋_GB2312"/>
          <w:sz w:val="24"/>
        </w:rPr>
        <w:t>.日常档案管理资料整理归档不及时。</w:t>
      </w:r>
    </w:p>
    <w:p w14:paraId="3CF2C185">
      <w:pPr>
        <w:spacing w:line="360" w:lineRule="auto"/>
        <w:ind w:firstLine="482" w:firstLineChars="200"/>
        <w:jc w:val="left"/>
        <w:outlineLvl w:val="0"/>
        <w:rPr>
          <w:rFonts w:ascii="仿宋_GB2312" w:eastAsia="仿宋_GB2312"/>
          <w:b/>
          <w:sz w:val="24"/>
        </w:rPr>
      </w:pPr>
      <w:bookmarkStart w:id="28" w:name="_Toc18189"/>
      <w:r>
        <w:rPr>
          <w:rFonts w:hint="eastAsia" w:ascii="仿宋_GB2312" w:eastAsia="仿宋_GB2312"/>
          <w:b/>
          <w:sz w:val="24"/>
        </w:rPr>
        <w:t>（二）建议</w:t>
      </w:r>
      <w:bookmarkEnd w:id="28"/>
    </w:p>
    <w:p w14:paraId="6D7DA673">
      <w:pPr>
        <w:adjustRightInd w:val="0"/>
        <w:snapToGrid w:val="0"/>
        <w:spacing w:line="360" w:lineRule="auto"/>
        <w:ind w:firstLine="480" w:firstLineChars="200"/>
        <w:rPr>
          <w:rStyle w:val="10"/>
          <w:rFonts w:hint="default" w:ascii="Arial Narrow" w:hAnsi="Arial Narrow" w:eastAsia="仿宋_GB2312"/>
          <w:color w:val="auto"/>
          <w:sz w:val="24"/>
          <w:u w:val="none"/>
          <w:lang w:val="en-US" w:eastAsia="zh-CN"/>
        </w:rPr>
      </w:pPr>
      <w:r>
        <w:rPr>
          <w:rStyle w:val="10"/>
          <w:rFonts w:hint="eastAsia" w:ascii="Arial Narrow" w:hAnsi="Arial Narrow" w:eastAsia="仿宋_GB2312"/>
          <w:color w:val="auto"/>
          <w:sz w:val="24"/>
          <w:u w:val="none"/>
        </w:rPr>
        <w:t>1.严格按照财政资金预算执行</w:t>
      </w:r>
      <w:r>
        <w:rPr>
          <w:rStyle w:val="10"/>
          <w:rFonts w:hint="eastAsia" w:ascii="Arial Narrow" w:hAnsi="Arial Narrow" w:eastAsia="仿宋_GB2312"/>
          <w:color w:val="auto"/>
          <w:sz w:val="24"/>
          <w:u w:val="none"/>
          <w:lang w:eastAsia="zh-CN"/>
        </w:rPr>
        <w:t>，</w:t>
      </w:r>
      <w:r>
        <w:rPr>
          <w:rStyle w:val="10"/>
          <w:rFonts w:hint="eastAsia" w:ascii="Arial Narrow" w:hAnsi="Arial Narrow" w:eastAsia="仿宋_GB2312"/>
          <w:color w:val="auto"/>
          <w:sz w:val="24"/>
          <w:u w:val="none"/>
          <w:lang w:val="en-US" w:eastAsia="zh-CN"/>
        </w:rPr>
        <w:t>加快资金支付进度。</w:t>
      </w:r>
    </w:p>
    <w:p w14:paraId="3153304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lang w:val="en-US" w:eastAsia="zh-CN"/>
        </w:rPr>
        <w:t>2</w:t>
      </w:r>
      <w:r>
        <w:rPr>
          <w:rStyle w:val="10"/>
          <w:rFonts w:hint="eastAsia" w:ascii="Arial Narrow" w:hAnsi="Arial Narrow" w:eastAsia="仿宋_GB2312"/>
          <w:color w:val="auto"/>
          <w:sz w:val="24"/>
          <w:u w:val="none"/>
        </w:rPr>
        <w:t>.对项目日常管理资料及时归档整理装订成册或装订成盒。</w:t>
      </w:r>
    </w:p>
    <w:p w14:paraId="4BC7D48B">
      <w:pPr>
        <w:adjustRightInd w:val="0"/>
        <w:snapToGrid w:val="0"/>
        <w:spacing w:line="360" w:lineRule="auto"/>
        <w:rPr>
          <w:rStyle w:val="10"/>
          <w:rFonts w:ascii="Arial Narrow" w:hAnsi="Arial Narrow" w:eastAsia="仿宋_GB2312"/>
          <w:color w:val="auto"/>
          <w:sz w:val="24"/>
          <w:u w:val="none"/>
        </w:rPr>
      </w:pPr>
    </w:p>
    <w:p w14:paraId="68102B56">
      <w:pPr>
        <w:adjustRightInd w:val="0"/>
        <w:snapToGrid w:val="0"/>
        <w:spacing w:line="360" w:lineRule="auto"/>
        <w:rPr>
          <w:rStyle w:val="10"/>
          <w:rFonts w:ascii="Arial Narrow" w:hAnsi="Arial Narrow" w:eastAsia="仿宋_GB2312"/>
          <w:color w:val="auto"/>
          <w:sz w:val="24"/>
          <w:u w:val="none"/>
        </w:rPr>
      </w:pPr>
    </w:p>
    <w:p w14:paraId="3E27BB80">
      <w:pPr>
        <w:adjustRightInd w:val="0"/>
        <w:snapToGrid w:val="0"/>
        <w:spacing w:line="360" w:lineRule="auto"/>
        <w:rPr>
          <w:rStyle w:val="10"/>
          <w:rFonts w:ascii="Arial Narrow" w:hAnsi="Arial Narrow" w:eastAsia="仿宋_GB2312"/>
          <w:color w:val="auto"/>
          <w:sz w:val="24"/>
          <w:u w:val="none"/>
        </w:rPr>
      </w:pPr>
    </w:p>
    <w:p w14:paraId="06BAB75C">
      <w:pPr>
        <w:adjustRightInd w:val="0"/>
        <w:snapToGrid w:val="0"/>
        <w:spacing w:line="360" w:lineRule="auto"/>
        <w:rPr>
          <w:rStyle w:val="10"/>
          <w:rFonts w:ascii="Arial Narrow" w:hAnsi="Arial Narrow" w:eastAsia="仿宋_GB2312"/>
          <w:color w:val="auto"/>
          <w:sz w:val="24"/>
          <w:u w:val="none"/>
        </w:rPr>
      </w:pPr>
    </w:p>
    <w:p w14:paraId="5C01EB0E">
      <w:pPr>
        <w:adjustRightInd w:val="0"/>
        <w:snapToGrid w:val="0"/>
        <w:spacing w:line="360" w:lineRule="auto"/>
        <w:rPr>
          <w:rStyle w:val="10"/>
          <w:rFonts w:ascii="Arial Narrow" w:hAnsi="Arial Narrow" w:eastAsia="仿宋_GB2312"/>
          <w:color w:val="auto"/>
          <w:sz w:val="24"/>
          <w:u w:val="none"/>
        </w:rPr>
      </w:pPr>
    </w:p>
    <w:p w14:paraId="7144D6EC">
      <w:pPr>
        <w:adjustRightInd w:val="0"/>
        <w:snapToGrid w:val="0"/>
        <w:spacing w:line="360" w:lineRule="auto"/>
        <w:rPr>
          <w:rStyle w:val="10"/>
          <w:rFonts w:ascii="Arial Narrow" w:hAnsi="Arial Narrow" w:eastAsia="仿宋_GB2312"/>
          <w:color w:val="auto"/>
          <w:sz w:val="24"/>
          <w:u w:val="none"/>
        </w:rPr>
      </w:pPr>
    </w:p>
    <w:p w14:paraId="5E8AAB49">
      <w:pPr>
        <w:adjustRightInd w:val="0"/>
        <w:snapToGrid w:val="0"/>
        <w:spacing w:line="360" w:lineRule="auto"/>
        <w:rPr>
          <w:rStyle w:val="10"/>
          <w:rFonts w:ascii="Arial Narrow" w:hAnsi="Arial Narrow" w:eastAsia="仿宋_GB2312"/>
          <w:color w:val="auto"/>
          <w:sz w:val="24"/>
          <w:u w:val="none"/>
        </w:rPr>
      </w:pPr>
    </w:p>
    <w:p w14:paraId="65840FD7">
      <w:pPr>
        <w:adjustRightInd w:val="0"/>
        <w:snapToGrid w:val="0"/>
        <w:spacing w:line="360" w:lineRule="auto"/>
        <w:rPr>
          <w:rStyle w:val="10"/>
          <w:rFonts w:ascii="Arial Narrow" w:hAnsi="Arial Narrow" w:eastAsia="仿宋_GB2312"/>
          <w:color w:val="auto"/>
          <w:sz w:val="24"/>
          <w:u w:val="none"/>
        </w:rPr>
      </w:pPr>
    </w:p>
    <w:p w14:paraId="1D26A0AD">
      <w:pPr>
        <w:adjustRightInd w:val="0"/>
        <w:snapToGrid w:val="0"/>
        <w:spacing w:line="360" w:lineRule="auto"/>
        <w:rPr>
          <w:rStyle w:val="10"/>
          <w:rFonts w:hint="eastAsia" w:ascii="Arial Narrow" w:hAnsi="Arial Narrow" w:eastAsia="仿宋_GB2312"/>
          <w:color w:val="auto"/>
          <w:sz w:val="24"/>
          <w:u w:val="none"/>
          <w:lang w:val="en-US" w:eastAsia="zh-CN"/>
        </w:rPr>
      </w:pPr>
      <w:r>
        <w:rPr>
          <w:rStyle w:val="10"/>
          <w:rFonts w:hint="eastAsia" w:ascii="Arial Narrow" w:hAnsi="Arial Narrow" w:eastAsia="仿宋_GB2312"/>
          <w:color w:val="auto"/>
          <w:sz w:val="24"/>
          <w:u w:val="none"/>
          <w:lang w:val="en-US" w:eastAsia="zh-CN"/>
        </w:rPr>
        <w:t>此页无正文。</w:t>
      </w:r>
    </w:p>
    <w:p w14:paraId="3AE1244E">
      <w:pPr>
        <w:adjustRightInd w:val="0"/>
        <w:snapToGrid w:val="0"/>
        <w:spacing w:line="360" w:lineRule="auto"/>
        <w:rPr>
          <w:rStyle w:val="10"/>
          <w:rFonts w:hint="eastAsia" w:ascii="Arial Narrow" w:hAnsi="Arial Narrow" w:eastAsia="仿宋_GB2312"/>
          <w:color w:val="auto"/>
          <w:sz w:val="24"/>
          <w:u w:val="none"/>
          <w:lang w:val="en-US" w:eastAsia="zh-CN"/>
        </w:rPr>
      </w:pPr>
    </w:p>
    <w:p w14:paraId="35F3FD33">
      <w:pPr>
        <w:adjustRightInd w:val="0"/>
        <w:snapToGrid w:val="0"/>
        <w:spacing w:line="360" w:lineRule="auto"/>
        <w:rPr>
          <w:rStyle w:val="10"/>
          <w:rFonts w:hint="eastAsia" w:ascii="Arial Narrow" w:hAnsi="Arial Narrow" w:eastAsia="仿宋_GB2312"/>
          <w:color w:val="auto"/>
          <w:sz w:val="24"/>
          <w:u w:val="none"/>
          <w:lang w:val="en-US" w:eastAsia="zh-CN"/>
        </w:rPr>
      </w:pPr>
    </w:p>
    <w:p w14:paraId="15A647FA">
      <w:pPr>
        <w:adjustRightInd w:val="0"/>
        <w:snapToGrid w:val="0"/>
        <w:spacing w:line="360" w:lineRule="auto"/>
        <w:rPr>
          <w:rStyle w:val="10"/>
          <w:rFonts w:hint="default" w:ascii="Arial Narrow" w:hAnsi="Arial Narrow" w:eastAsia="仿宋_GB2312"/>
          <w:color w:val="auto"/>
          <w:sz w:val="24"/>
          <w:u w:val="none"/>
          <w:lang w:val="en-US" w:eastAsia="zh-CN"/>
        </w:rPr>
      </w:pPr>
    </w:p>
    <w:p w14:paraId="10F4A82A">
      <w:pPr>
        <w:adjustRightInd w:val="0"/>
        <w:snapToGrid w:val="0"/>
        <w:spacing w:line="360" w:lineRule="auto"/>
        <w:ind w:firstLine="420" w:firstLineChars="200"/>
        <w:rPr>
          <w:rStyle w:val="10"/>
          <w:color w:val="auto"/>
          <w:u w:val="none"/>
        </w:rPr>
      </w:pPr>
    </w:p>
    <w:p w14:paraId="08B70EA1">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.铜梁区衔接资金项目绩效评价及考核指标评分表</w:t>
      </w:r>
      <w:r>
        <w:rPr>
          <w:rStyle w:val="10"/>
          <w:rFonts w:ascii="Arial Narrow" w:hAnsi="Arial Narrow" w:eastAsia="仿宋_GB2312"/>
          <w:color w:val="auto"/>
          <w:sz w:val="24"/>
          <w:u w:val="none"/>
        </w:rPr>
        <w:t>；</w:t>
      </w:r>
    </w:p>
    <w:p w14:paraId="43F54E14">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76280112">
      <w:pPr>
        <w:adjustRightInd w:val="0"/>
        <w:snapToGrid w:val="0"/>
        <w:spacing w:line="360" w:lineRule="auto"/>
        <w:ind w:firstLine="720" w:firstLineChars="300"/>
        <w:rPr>
          <w:rStyle w:val="10"/>
          <w:rFonts w:ascii="Arial Narrow" w:hAnsi="Arial Narrow" w:eastAsia="仿宋_GB2312"/>
          <w:color w:val="auto"/>
          <w:sz w:val="24"/>
          <w:u w:val="none"/>
        </w:rPr>
      </w:pPr>
    </w:p>
    <w:p w14:paraId="4C382FE0">
      <w:pPr>
        <w:adjustRightInd w:val="0"/>
        <w:snapToGrid w:val="0"/>
        <w:spacing w:line="360" w:lineRule="auto"/>
        <w:ind w:firstLine="720" w:firstLineChars="300"/>
        <w:rPr>
          <w:rStyle w:val="10"/>
          <w:rFonts w:ascii="Arial Narrow" w:hAnsi="Arial Narrow" w:eastAsia="仿宋_GB2312"/>
          <w:color w:val="auto"/>
          <w:sz w:val="24"/>
          <w:u w:val="none"/>
        </w:rPr>
      </w:pPr>
    </w:p>
    <w:p w14:paraId="17B01C5F">
      <w:pPr>
        <w:adjustRightInd w:val="0"/>
        <w:snapToGrid w:val="0"/>
        <w:spacing w:line="360" w:lineRule="auto"/>
        <w:ind w:firstLine="720" w:firstLineChars="300"/>
        <w:rPr>
          <w:rStyle w:val="10"/>
          <w:rFonts w:ascii="Arial Narrow" w:hAnsi="Arial Narrow" w:eastAsia="仿宋_GB2312"/>
          <w:color w:val="auto"/>
          <w:sz w:val="24"/>
          <w:u w:val="none"/>
        </w:rPr>
      </w:pPr>
    </w:p>
    <w:p w14:paraId="38F6BDC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7E57280A">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w:t>
      </w:r>
      <w:r>
        <w:rPr>
          <w:rStyle w:val="10"/>
          <w:rFonts w:hint="eastAsia" w:ascii="Arial Narrow" w:hAnsi="Arial Narrow" w:eastAsia="仿宋_GB2312"/>
          <w:color w:val="auto"/>
          <w:sz w:val="24"/>
          <w:u w:val="none"/>
          <w:lang w:val="en-US" w:eastAsia="zh-CN"/>
        </w:rPr>
        <w:t>三十</w:t>
      </w:r>
      <w:r>
        <w:rPr>
          <w:rStyle w:val="10"/>
          <w:rFonts w:hint="eastAsia" w:ascii="Arial Narrow" w:hAnsi="Arial Narrow" w:eastAsia="仿宋_GB2312"/>
          <w:color w:val="auto"/>
          <w:sz w:val="24"/>
          <w:u w:val="none"/>
        </w:rPr>
        <w:t>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900B">
    <w:pPr>
      <w:pStyle w:val="4"/>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8503">
    <w:pPr>
      <w:pStyle w:val="4"/>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48311">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C48311">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5699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70930"/>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355254B"/>
    <w:rsid w:val="03800D34"/>
    <w:rsid w:val="0A456833"/>
    <w:rsid w:val="0C955D75"/>
    <w:rsid w:val="0CAB773B"/>
    <w:rsid w:val="10FD0312"/>
    <w:rsid w:val="120E6874"/>
    <w:rsid w:val="12141638"/>
    <w:rsid w:val="130122A7"/>
    <w:rsid w:val="23197A7B"/>
    <w:rsid w:val="239624D6"/>
    <w:rsid w:val="2527505B"/>
    <w:rsid w:val="270731DD"/>
    <w:rsid w:val="27323D0B"/>
    <w:rsid w:val="2B877B4A"/>
    <w:rsid w:val="2E2A7AAB"/>
    <w:rsid w:val="357129F4"/>
    <w:rsid w:val="371050B8"/>
    <w:rsid w:val="3A580377"/>
    <w:rsid w:val="3CCC6450"/>
    <w:rsid w:val="4142704D"/>
    <w:rsid w:val="41651C53"/>
    <w:rsid w:val="436413F9"/>
    <w:rsid w:val="45947F31"/>
    <w:rsid w:val="47C03659"/>
    <w:rsid w:val="4DF1278B"/>
    <w:rsid w:val="51320406"/>
    <w:rsid w:val="549459BA"/>
    <w:rsid w:val="5A902780"/>
    <w:rsid w:val="5D922B81"/>
    <w:rsid w:val="5EE017FC"/>
    <w:rsid w:val="60087B46"/>
    <w:rsid w:val="629B4EDD"/>
    <w:rsid w:val="66535207"/>
    <w:rsid w:val="676959AE"/>
    <w:rsid w:val="69344C1E"/>
    <w:rsid w:val="6C0B491D"/>
    <w:rsid w:val="6E1D3ED3"/>
    <w:rsid w:val="78CC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5577</Words>
  <Characters>5932</Characters>
  <Lines>61</Lines>
  <Paragraphs>17</Paragraphs>
  <TotalTime>115</TotalTime>
  <ScaleCrop>false</ScaleCrop>
  <LinksUpToDate>false</LinksUpToDate>
  <CharactersWithSpaces>5967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2024-07-11T06:57:00Z</cp:lastPrinted>
  <dcterms:modified xsi:type="dcterms:W3CDTF">2024-11-20T01:19:41Z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