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C1CCE">
      <w:pPr>
        <w:spacing w:line="360" w:lineRule="auto"/>
        <w:jc w:val="center"/>
        <w:rPr>
          <w:rFonts w:ascii="Arial Narrow" w:hAnsi="Arial Narrow"/>
          <w:b/>
          <w:bCs/>
          <w:sz w:val="36"/>
          <w:szCs w:val="36"/>
        </w:rPr>
      </w:pPr>
    </w:p>
    <w:p w14:paraId="6E06C36E">
      <w:pPr>
        <w:spacing w:line="360" w:lineRule="auto"/>
        <w:jc w:val="center"/>
        <w:rPr>
          <w:rFonts w:ascii="Arial Narrow" w:hAnsi="Arial Narrow"/>
          <w:b/>
          <w:bCs/>
          <w:sz w:val="36"/>
          <w:szCs w:val="36"/>
        </w:rPr>
      </w:pPr>
    </w:p>
    <w:p w14:paraId="7DBDC306">
      <w:pPr>
        <w:spacing w:line="360" w:lineRule="auto"/>
        <w:jc w:val="center"/>
        <w:rPr>
          <w:rFonts w:ascii="Arial Narrow" w:hAnsi="Arial Narrow"/>
          <w:b/>
          <w:bCs/>
          <w:sz w:val="36"/>
          <w:szCs w:val="36"/>
        </w:rPr>
      </w:pPr>
    </w:p>
    <w:p w14:paraId="1B119FAC">
      <w:pPr>
        <w:spacing w:line="360" w:lineRule="auto"/>
        <w:jc w:val="center"/>
        <w:rPr>
          <w:rFonts w:ascii="Arial Narrow" w:hAnsi="Arial Narrow"/>
          <w:b/>
          <w:bCs/>
          <w:sz w:val="36"/>
          <w:szCs w:val="36"/>
        </w:rPr>
      </w:pPr>
    </w:p>
    <w:p w14:paraId="256F8996">
      <w:pPr>
        <w:adjustRightInd w:val="0"/>
        <w:snapToGrid w:val="0"/>
        <w:spacing w:line="360" w:lineRule="auto"/>
        <w:jc w:val="center"/>
        <w:rPr>
          <w:rFonts w:hint="eastAsia" w:ascii="Arial Narrow" w:hAnsi="Arial Narrow" w:eastAsia="仿宋"/>
          <w:b/>
          <w:sz w:val="32"/>
          <w:szCs w:val="32"/>
          <w:lang w:val="en-US" w:eastAsia="zh-CN"/>
        </w:rPr>
      </w:pPr>
      <w:r>
        <w:rPr>
          <w:rFonts w:hint="eastAsia" w:ascii="Arial Narrow" w:hAnsi="Arial Narrow" w:eastAsia="仿宋"/>
          <w:b/>
          <w:sz w:val="32"/>
          <w:szCs w:val="32"/>
        </w:rPr>
        <w:t>重庆市铜梁区</w:t>
      </w:r>
      <w:bookmarkStart w:id="0" w:name="OLE_LINK17"/>
      <w:r>
        <w:rPr>
          <w:rFonts w:hint="eastAsia" w:ascii="Arial Narrow" w:hAnsi="Arial Narrow" w:eastAsia="仿宋"/>
          <w:b/>
          <w:sz w:val="32"/>
          <w:szCs w:val="32"/>
          <w:lang w:val="en-US" w:eastAsia="zh-CN"/>
        </w:rPr>
        <w:t>土桥镇</w:t>
      </w:r>
      <w:r>
        <w:rPr>
          <w:rFonts w:hint="eastAsia" w:ascii="Arial Narrow" w:hAnsi="Arial Narrow" w:eastAsia="仿宋"/>
          <w:b/>
          <w:sz w:val="32"/>
          <w:szCs w:val="32"/>
          <w:highlight w:val="none"/>
          <w:lang w:val="en-US" w:eastAsia="zh-CN"/>
        </w:rPr>
        <w:t>水稻育秧工厂化建设项目</w:t>
      </w:r>
      <w:r>
        <w:rPr>
          <w:rFonts w:hint="eastAsia" w:ascii="Arial Narrow" w:hAnsi="Arial Narrow" w:eastAsia="仿宋"/>
          <w:b/>
          <w:sz w:val="32"/>
          <w:szCs w:val="32"/>
          <w:lang w:val="en-US" w:eastAsia="zh-CN"/>
        </w:rPr>
        <w:t>等2个项目</w:t>
      </w:r>
      <w:bookmarkEnd w:id="0"/>
    </w:p>
    <w:p w14:paraId="2FC14F75">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2"/>
          <w:szCs w:val="32"/>
        </w:rPr>
        <w:t>财政专项衔接资金</w:t>
      </w:r>
    </w:p>
    <w:p w14:paraId="76F1BB46">
      <w:pPr>
        <w:adjustRightInd w:val="0"/>
        <w:snapToGrid w:val="0"/>
        <w:spacing w:line="360" w:lineRule="auto"/>
        <w:jc w:val="center"/>
        <w:rPr>
          <w:rFonts w:ascii="Arial Narrow" w:hAnsi="Arial Narrow"/>
          <w:b/>
          <w:sz w:val="36"/>
          <w:szCs w:val="36"/>
        </w:rPr>
      </w:pPr>
    </w:p>
    <w:p w14:paraId="54D4A024">
      <w:pPr>
        <w:adjustRightInd w:val="0"/>
        <w:snapToGrid w:val="0"/>
        <w:spacing w:line="360" w:lineRule="auto"/>
        <w:jc w:val="center"/>
        <w:rPr>
          <w:rFonts w:ascii="Arial Narrow" w:hAnsi="Arial Narrow"/>
          <w:b/>
          <w:spacing w:val="100"/>
          <w:sz w:val="32"/>
          <w:szCs w:val="32"/>
        </w:rPr>
      </w:pPr>
    </w:p>
    <w:p w14:paraId="0FE89656">
      <w:pPr>
        <w:adjustRightInd w:val="0"/>
        <w:snapToGrid w:val="0"/>
        <w:spacing w:line="360" w:lineRule="auto"/>
        <w:jc w:val="center"/>
        <w:rPr>
          <w:rFonts w:ascii="Arial Narrow" w:hAnsi="Arial Narrow"/>
          <w:b/>
          <w:spacing w:val="100"/>
          <w:sz w:val="32"/>
          <w:szCs w:val="32"/>
        </w:rPr>
      </w:pPr>
    </w:p>
    <w:p w14:paraId="27ECEC7A">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1" w:name="_Toc488637980"/>
      <w:bookmarkStart w:id="2" w:name="_Toc488804777"/>
      <w:r>
        <w:rPr>
          <w:rFonts w:ascii="Arial Narrow" w:hAnsi="Arial Narrow" w:eastAsia="仿宋"/>
          <w:b/>
          <w:w w:val="102"/>
          <w:sz w:val="44"/>
          <w:szCs w:val="44"/>
        </w:rPr>
        <w:t>报告</w:t>
      </w:r>
    </w:p>
    <w:p w14:paraId="44A136D8">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hint="eastAsia" w:ascii="Arial Narrow" w:hAnsi="Arial Narrow" w:eastAsia="仿宋"/>
          <w:bCs/>
          <w:sz w:val="32"/>
          <w:szCs w:val="32"/>
          <w:lang w:val="en-US" w:eastAsia="zh-CN"/>
        </w:rPr>
        <w:t>054</w:t>
      </w:r>
      <w:r>
        <w:rPr>
          <w:rFonts w:ascii="Arial Narrow" w:hAnsi="Arial Narrow" w:eastAsia="仿宋"/>
          <w:bCs/>
          <w:sz w:val="32"/>
          <w:szCs w:val="32"/>
        </w:rPr>
        <w:t>号</w:t>
      </w:r>
    </w:p>
    <w:p w14:paraId="12A64AC0">
      <w:pPr>
        <w:adjustRightInd w:val="0"/>
        <w:snapToGrid w:val="0"/>
        <w:spacing w:line="360" w:lineRule="auto"/>
        <w:jc w:val="center"/>
        <w:rPr>
          <w:rFonts w:ascii="Arial Narrow" w:hAnsi="Arial Narrow"/>
          <w:b/>
          <w:spacing w:val="100"/>
          <w:sz w:val="32"/>
          <w:szCs w:val="32"/>
        </w:rPr>
      </w:pPr>
    </w:p>
    <w:p w14:paraId="1198D983">
      <w:pPr>
        <w:adjustRightInd w:val="0"/>
        <w:snapToGrid w:val="0"/>
        <w:spacing w:line="360" w:lineRule="auto"/>
        <w:jc w:val="center"/>
        <w:rPr>
          <w:rFonts w:ascii="Arial Narrow" w:hAnsi="Arial Narrow"/>
          <w:b/>
          <w:spacing w:val="100"/>
          <w:sz w:val="32"/>
          <w:szCs w:val="32"/>
        </w:rPr>
      </w:pPr>
    </w:p>
    <w:p w14:paraId="1864E99C">
      <w:pPr>
        <w:adjustRightInd w:val="0"/>
        <w:snapToGrid w:val="0"/>
        <w:spacing w:line="360" w:lineRule="auto"/>
        <w:jc w:val="center"/>
        <w:rPr>
          <w:rFonts w:ascii="Arial Narrow" w:hAnsi="Arial Narrow"/>
          <w:b/>
          <w:spacing w:val="100"/>
          <w:sz w:val="32"/>
          <w:szCs w:val="32"/>
        </w:rPr>
      </w:pPr>
    </w:p>
    <w:p w14:paraId="3D77D853">
      <w:pPr>
        <w:adjustRightInd w:val="0"/>
        <w:snapToGrid w:val="0"/>
        <w:spacing w:line="360" w:lineRule="auto"/>
        <w:jc w:val="center"/>
        <w:rPr>
          <w:rFonts w:ascii="Arial Narrow" w:hAnsi="Arial Narrow"/>
          <w:b/>
          <w:spacing w:val="100"/>
          <w:sz w:val="32"/>
          <w:szCs w:val="32"/>
        </w:rPr>
      </w:pPr>
    </w:p>
    <w:p w14:paraId="1621A7F8">
      <w:pPr>
        <w:adjustRightInd w:val="0"/>
        <w:snapToGrid w:val="0"/>
        <w:spacing w:line="360" w:lineRule="auto"/>
        <w:jc w:val="center"/>
        <w:rPr>
          <w:rFonts w:ascii="Arial Narrow" w:hAnsi="Arial Narrow"/>
          <w:b/>
          <w:spacing w:val="100"/>
          <w:sz w:val="32"/>
          <w:szCs w:val="32"/>
        </w:rPr>
      </w:pPr>
    </w:p>
    <w:p w14:paraId="795B806A">
      <w:pPr>
        <w:adjustRightInd w:val="0"/>
        <w:snapToGrid w:val="0"/>
        <w:spacing w:line="360" w:lineRule="auto"/>
        <w:jc w:val="center"/>
        <w:rPr>
          <w:rFonts w:ascii="Arial Narrow" w:hAnsi="Arial Narrow"/>
          <w:b/>
          <w:spacing w:val="100"/>
          <w:sz w:val="32"/>
          <w:szCs w:val="32"/>
        </w:rPr>
      </w:pPr>
    </w:p>
    <w:p w14:paraId="5AE342D2">
      <w:pPr>
        <w:adjustRightInd w:val="0"/>
        <w:snapToGrid w:val="0"/>
        <w:spacing w:line="360" w:lineRule="auto"/>
        <w:jc w:val="center"/>
        <w:rPr>
          <w:rFonts w:ascii="Arial Narrow" w:hAnsi="Arial Narrow"/>
          <w:b/>
          <w:spacing w:val="100"/>
          <w:sz w:val="32"/>
          <w:szCs w:val="32"/>
        </w:rPr>
      </w:pPr>
    </w:p>
    <w:p w14:paraId="2B1AC324">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lang w:val="en-US" w:eastAsia="zh-CN"/>
        </w:rPr>
        <w:t>责任</w:t>
      </w:r>
      <w:r>
        <w:rPr>
          <w:rFonts w:ascii="Arial Narrow" w:hAnsi="Arial Narrow" w:eastAsia="仿宋"/>
          <w:sz w:val="32"/>
          <w:szCs w:val="32"/>
        </w:rPr>
        <w:t>公司</w:t>
      </w:r>
    </w:p>
    <w:p w14:paraId="00A83F42">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1"/>
      <w:bookmarkEnd w:id="2"/>
      <w:r>
        <w:rPr>
          <w:rFonts w:ascii="Arial Narrow" w:hAnsi="Arial Narrow"/>
          <w:sz w:val="44"/>
          <w:szCs w:val="44"/>
        </w:rPr>
        <w:t>目录</w:t>
      </w:r>
    </w:p>
    <w:p w14:paraId="07DC9C8B">
      <w:pPr>
        <w:spacing w:line="360" w:lineRule="auto"/>
        <w:jc w:val="center"/>
        <w:rPr>
          <w:rFonts w:ascii="Arial Narrow" w:hAnsi="Arial Narrow"/>
          <w:sz w:val="24"/>
        </w:rPr>
      </w:pPr>
    </w:p>
    <w:p w14:paraId="38756DE0">
      <w:pPr>
        <w:pStyle w:val="6"/>
        <w:tabs>
          <w:tab w:val="right" w:leader="dot" w:pos="8788"/>
          <w:tab w:val="clear" w:pos="8778"/>
        </w:tabs>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_Toc15851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_Toc15851 \h </w:instrText>
      </w:r>
      <w:r>
        <w:fldChar w:fldCharType="separate"/>
      </w:r>
      <w:r>
        <w:t>1</w:t>
      </w:r>
      <w:r>
        <w:fldChar w:fldCharType="end"/>
      </w:r>
      <w:r>
        <w:rPr>
          <w:rFonts w:ascii="仿宋" w:hAnsi="仿宋" w:eastAsia="仿宋"/>
          <w:bCs w:val="0"/>
          <w:color w:val="auto"/>
          <w:szCs w:val="21"/>
          <w:u w:val="none"/>
        </w:rPr>
        <w:fldChar w:fldCharType="end"/>
      </w:r>
    </w:p>
    <w:p w14:paraId="5ACFAE87">
      <w:pPr>
        <w:pStyle w:val="6"/>
        <w:tabs>
          <w:tab w:val="right" w:leader="dot" w:pos="8788"/>
          <w:tab w:val="clear" w:pos="8778"/>
        </w:tabs>
      </w:pPr>
      <w:r>
        <w:rPr>
          <w:color w:val="auto"/>
          <w:szCs w:val="21"/>
          <w:u w:val="none"/>
        </w:rPr>
        <w:fldChar w:fldCharType="begin"/>
      </w:r>
      <w:r>
        <w:rPr>
          <w:szCs w:val="21"/>
        </w:rPr>
        <w:instrText xml:space="preserve"> HYPERLINK \l _Toc17012 </w:instrText>
      </w:r>
      <w:r>
        <w:rPr>
          <w:szCs w:val="21"/>
        </w:rPr>
        <w:fldChar w:fldCharType="separate"/>
      </w:r>
      <w:r>
        <w:rPr>
          <w:rFonts w:hint="eastAsia" w:ascii="Arial Narrow" w:hAnsi="Arial Narrow" w:eastAsia="仿宋" w:cs="宋体"/>
          <w:bCs/>
          <w:kern w:val="0"/>
        </w:rPr>
        <w:t>（一）项目情况</w:t>
      </w:r>
      <w:r>
        <w:tab/>
      </w:r>
      <w:r>
        <w:fldChar w:fldCharType="begin"/>
      </w:r>
      <w:r>
        <w:instrText xml:space="preserve"> PAGEREF _Toc17012 \h </w:instrText>
      </w:r>
      <w:r>
        <w:fldChar w:fldCharType="separate"/>
      </w:r>
      <w:r>
        <w:t>1</w:t>
      </w:r>
      <w:r>
        <w:fldChar w:fldCharType="end"/>
      </w:r>
      <w:r>
        <w:rPr>
          <w:color w:val="auto"/>
          <w:szCs w:val="21"/>
          <w:u w:val="none"/>
        </w:rPr>
        <w:fldChar w:fldCharType="end"/>
      </w:r>
    </w:p>
    <w:p w14:paraId="3B950A7A">
      <w:pPr>
        <w:pStyle w:val="6"/>
        <w:tabs>
          <w:tab w:val="right" w:leader="dot" w:pos="8788"/>
          <w:tab w:val="clear" w:pos="8778"/>
        </w:tabs>
      </w:pPr>
      <w:r>
        <w:rPr>
          <w:color w:val="auto"/>
          <w:szCs w:val="21"/>
          <w:u w:val="none"/>
        </w:rPr>
        <w:fldChar w:fldCharType="begin"/>
      </w:r>
      <w:r>
        <w:rPr>
          <w:szCs w:val="21"/>
        </w:rPr>
        <w:instrText xml:space="preserve"> HYPERLINK \l _Toc16318 </w:instrText>
      </w:r>
      <w:r>
        <w:rPr>
          <w:szCs w:val="21"/>
        </w:rPr>
        <w:fldChar w:fldCharType="separate"/>
      </w:r>
      <w:r>
        <w:rPr>
          <w:rFonts w:ascii="Arial Narrow" w:hAnsi="Arial Narrow" w:eastAsia="仿宋_GB2312"/>
        </w:rPr>
        <w:t>二、绩效评价工作情况</w:t>
      </w:r>
      <w:r>
        <w:tab/>
      </w:r>
      <w:r>
        <w:fldChar w:fldCharType="begin"/>
      </w:r>
      <w:r>
        <w:instrText xml:space="preserve"> PAGEREF _Toc16318 \h </w:instrText>
      </w:r>
      <w:r>
        <w:fldChar w:fldCharType="separate"/>
      </w:r>
      <w:r>
        <w:t>2</w:t>
      </w:r>
      <w:r>
        <w:fldChar w:fldCharType="end"/>
      </w:r>
      <w:r>
        <w:rPr>
          <w:color w:val="auto"/>
          <w:szCs w:val="21"/>
          <w:u w:val="none"/>
        </w:rPr>
        <w:fldChar w:fldCharType="end"/>
      </w:r>
    </w:p>
    <w:p w14:paraId="3933DB00">
      <w:pPr>
        <w:pStyle w:val="6"/>
        <w:tabs>
          <w:tab w:val="right" w:leader="dot" w:pos="8788"/>
          <w:tab w:val="clear" w:pos="8778"/>
        </w:tabs>
      </w:pPr>
      <w:r>
        <w:rPr>
          <w:color w:val="auto"/>
          <w:szCs w:val="21"/>
          <w:u w:val="none"/>
        </w:rPr>
        <w:fldChar w:fldCharType="begin"/>
      </w:r>
      <w:r>
        <w:rPr>
          <w:szCs w:val="21"/>
        </w:rPr>
        <w:instrText xml:space="preserve"> HYPERLINK \l _Toc24221 </w:instrText>
      </w:r>
      <w:r>
        <w:rPr>
          <w:szCs w:val="21"/>
        </w:rPr>
        <w:fldChar w:fldCharType="separate"/>
      </w:r>
      <w:r>
        <w:rPr>
          <w:rFonts w:ascii="Arial Narrow" w:hAnsi="Arial Narrow" w:eastAsia="仿宋_GB2312"/>
        </w:rPr>
        <w:t>（一）绩效评价目的</w:t>
      </w:r>
      <w:r>
        <w:tab/>
      </w:r>
      <w:r>
        <w:fldChar w:fldCharType="begin"/>
      </w:r>
      <w:r>
        <w:instrText xml:space="preserve"> PAGEREF _Toc24221 \h </w:instrText>
      </w:r>
      <w:r>
        <w:fldChar w:fldCharType="separate"/>
      </w:r>
      <w:r>
        <w:t>2</w:t>
      </w:r>
      <w:r>
        <w:fldChar w:fldCharType="end"/>
      </w:r>
      <w:r>
        <w:rPr>
          <w:color w:val="auto"/>
          <w:szCs w:val="21"/>
          <w:u w:val="none"/>
        </w:rPr>
        <w:fldChar w:fldCharType="end"/>
      </w:r>
    </w:p>
    <w:p w14:paraId="720BBB24">
      <w:pPr>
        <w:pStyle w:val="6"/>
        <w:tabs>
          <w:tab w:val="right" w:leader="dot" w:pos="8788"/>
          <w:tab w:val="clear" w:pos="8778"/>
        </w:tabs>
      </w:pPr>
      <w:r>
        <w:rPr>
          <w:color w:val="auto"/>
          <w:szCs w:val="21"/>
          <w:u w:val="none"/>
        </w:rPr>
        <w:fldChar w:fldCharType="begin"/>
      </w:r>
      <w:r>
        <w:rPr>
          <w:szCs w:val="21"/>
        </w:rPr>
        <w:instrText xml:space="preserve"> HYPERLINK \l _Toc22400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_Toc22400 \h </w:instrText>
      </w:r>
      <w:r>
        <w:fldChar w:fldCharType="separate"/>
      </w:r>
      <w:r>
        <w:t>2</w:t>
      </w:r>
      <w:r>
        <w:fldChar w:fldCharType="end"/>
      </w:r>
      <w:r>
        <w:rPr>
          <w:color w:val="auto"/>
          <w:szCs w:val="21"/>
          <w:u w:val="none"/>
        </w:rPr>
        <w:fldChar w:fldCharType="end"/>
      </w:r>
    </w:p>
    <w:p w14:paraId="66815FD8">
      <w:pPr>
        <w:pStyle w:val="6"/>
        <w:tabs>
          <w:tab w:val="right" w:leader="dot" w:pos="8788"/>
          <w:tab w:val="clear" w:pos="8778"/>
        </w:tabs>
      </w:pPr>
      <w:r>
        <w:rPr>
          <w:color w:val="auto"/>
          <w:szCs w:val="21"/>
          <w:u w:val="none"/>
        </w:rPr>
        <w:fldChar w:fldCharType="begin"/>
      </w:r>
      <w:r>
        <w:rPr>
          <w:szCs w:val="21"/>
        </w:rPr>
        <w:instrText xml:space="preserve"> HYPERLINK \l _Toc24391 </w:instrText>
      </w:r>
      <w:r>
        <w:rPr>
          <w:szCs w:val="21"/>
        </w:rPr>
        <w:fldChar w:fldCharType="separate"/>
      </w:r>
      <w:r>
        <w:rPr>
          <w:rFonts w:ascii="Arial Narrow" w:hAnsi="Arial Narrow" w:eastAsia="仿宋_GB2312"/>
        </w:rPr>
        <w:t>（三）绩效评价依据</w:t>
      </w:r>
      <w:r>
        <w:tab/>
      </w:r>
      <w:r>
        <w:fldChar w:fldCharType="begin"/>
      </w:r>
      <w:r>
        <w:instrText xml:space="preserve"> PAGEREF _Toc24391 \h </w:instrText>
      </w:r>
      <w:r>
        <w:fldChar w:fldCharType="separate"/>
      </w:r>
      <w:r>
        <w:t>2</w:t>
      </w:r>
      <w:r>
        <w:fldChar w:fldCharType="end"/>
      </w:r>
      <w:r>
        <w:rPr>
          <w:color w:val="auto"/>
          <w:szCs w:val="21"/>
          <w:u w:val="none"/>
        </w:rPr>
        <w:fldChar w:fldCharType="end"/>
      </w:r>
    </w:p>
    <w:p w14:paraId="6A9BA64A">
      <w:pPr>
        <w:pStyle w:val="6"/>
        <w:tabs>
          <w:tab w:val="right" w:leader="dot" w:pos="8788"/>
          <w:tab w:val="clear" w:pos="8778"/>
        </w:tabs>
      </w:pPr>
      <w:r>
        <w:rPr>
          <w:color w:val="auto"/>
          <w:szCs w:val="21"/>
          <w:u w:val="none"/>
        </w:rPr>
        <w:fldChar w:fldCharType="begin"/>
      </w:r>
      <w:r>
        <w:rPr>
          <w:szCs w:val="21"/>
        </w:rPr>
        <w:instrText xml:space="preserve"> HYPERLINK \l _Toc22481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_Toc22481 \h </w:instrText>
      </w:r>
      <w:r>
        <w:fldChar w:fldCharType="separate"/>
      </w:r>
      <w:r>
        <w:t>3</w:t>
      </w:r>
      <w:r>
        <w:fldChar w:fldCharType="end"/>
      </w:r>
      <w:r>
        <w:rPr>
          <w:color w:val="auto"/>
          <w:szCs w:val="21"/>
          <w:u w:val="none"/>
        </w:rPr>
        <w:fldChar w:fldCharType="end"/>
      </w:r>
    </w:p>
    <w:p w14:paraId="5062F18C">
      <w:pPr>
        <w:pStyle w:val="6"/>
        <w:tabs>
          <w:tab w:val="right" w:leader="dot" w:pos="8788"/>
          <w:tab w:val="clear" w:pos="8778"/>
        </w:tabs>
      </w:pPr>
      <w:r>
        <w:rPr>
          <w:color w:val="auto"/>
          <w:szCs w:val="21"/>
          <w:u w:val="none"/>
        </w:rPr>
        <w:fldChar w:fldCharType="begin"/>
      </w:r>
      <w:r>
        <w:rPr>
          <w:szCs w:val="21"/>
        </w:rPr>
        <w:instrText xml:space="preserve"> HYPERLINK \l _Toc18692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_Toc18692 \h </w:instrText>
      </w:r>
      <w:r>
        <w:fldChar w:fldCharType="separate"/>
      </w:r>
      <w:r>
        <w:t>5</w:t>
      </w:r>
      <w:r>
        <w:fldChar w:fldCharType="end"/>
      </w:r>
      <w:r>
        <w:rPr>
          <w:color w:val="auto"/>
          <w:szCs w:val="21"/>
          <w:u w:val="none"/>
        </w:rPr>
        <w:fldChar w:fldCharType="end"/>
      </w:r>
    </w:p>
    <w:p w14:paraId="6BCCCA99">
      <w:pPr>
        <w:pStyle w:val="6"/>
        <w:tabs>
          <w:tab w:val="right" w:leader="dot" w:pos="8788"/>
          <w:tab w:val="clear" w:pos="8778"/>
        </w:tabs>
      </w:pPr>
      <w:r>
        <w:rPr>
          <w:color w:val="auto"/>
          <w:szCs w:val="21"/>
          <w:u w:val="none"/>
        </w:rPr>
        <w:fldChar w:fldCharType="begin"/>
      </w:r>
      <w:r>
        <w:rPr>
          <w:szCs w:val="21"/>
        </w:rPr>
        <w:instrText xml:space="preserve"> HYPERLINK \l _Toc1449 </w:instrText>
      </w:r>
      <w:r>
        <w:rPr>
          <w:szCs w:val="21"/>
        </w:rPr>
        <w:fldChar w:fldCharType="separate"/>
      </w:r>
      <w:r>
        <w:rPr>
          <w:rFonts w:ascii="Arial Narrow" w:hAnsi="Arial Narrow" w:eastAsia="仿宋_GB2312"/>
        </w:rPr>
        <w:t>（六）绩效评价工作过程</w:t>
      </w:r>
      <w:r>
        <w:tab/>
      </w:r>
      <w:r>
        <w:fldChar w:fldCharType="begin"/>
      </w:r>
      <w:r>
        <w:instrText xml:space="preserve"> PAGEREF _Toc1449 \h </w:instrText>
      </w:r>
      <w:r>
        <w:fldChar w:fldCharType="separate"/>
      </w:r>
      <w:r>
        <w:t>6</w:t>
      </w:r>
      <w:r>
        <w:fldChar w:fldCharType="end"/>
      </w:r>
      <w:r>
        <w:rPr>
          <w:color w:val="auto"/>
          <w:szCs w:val="21"/>
          <w:u w:val="none"/>
        </w:rPr>
        <w:fldChar w:fldCharType="end"/>
      </w:r>
    </w:p>
    <w:p w14:paraId="0F61CC85">
      <w:pPr>
        <w:pStyle w:val="6"/>
        <w:tabs>
          <w:tab w:val="right" w:leader="dot" w:pos="8788"/>
          <w:tab w:val="clear" w:pos="8778"/>
        </w:tabs>
      </w:pPr>
      <w:r>
        <w:rPr>
          <w:color w:val="auto"/>
          <w:szCs w:val="21"/>
          <w:u w:val="none"/>
        </w:rPr>
        <w:fldChar w:fldCharType="begin"/>
      </w:r>
      <w:r>
        <w:rPr>
          <w:szCs w:val="21"/>
        </w:rPr>
        <w:instrText xml:space="preserve"> HYPERLINK \l _Toc31981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_Toc31981 \h </w:instrText>
      </w:r>
      <w:r>
        <w:fldChar w:fldCharType="separate"/>
      </w:r>
      <w:r>
        <w:t>6</w:t>
      </w:r>
      <w:r>
        <w:fldChar w:fldCharType="end"/>
      </w:r>
      <w:r>
        <w:rPr>
          <w:color w:val="auto"/>
          <w:szCs w:val="21"/>
          <w:u w:val="none"/>
        </w:rPr>
        <w:fldChar w:fldCharType="end"/>
      </w:r>
    </w:p>
    <w:p w14:paraId="01CEEAED">
      <w:pPr>
        <w:pStyle w:val="6"/>
        <w:tabs>
          <w:tab w:val="right" w:leader="dot" w:pos="8788"/>
          <w:tab w:val="clear" w:pos="8778"/>
        </w:tabs>
      </w:pPr>
      <w:r>
        <w:rPr>
          <w:color w:val="auto"/>
          <w:szCs w:val="21"/>
          <w:u w:val="none"/>
        </w:rPr>
        <w:fldChar w:fldCharType="begin"/>
      </w:r>
      <w:r>
        <w:rPr>
          <w:szCs w:val="21"/>
        </w:rPr>
        <w:instrText xml:space="preserve"> HYPERLINK \l _Toc13750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_Toc13750 \h </w:instrText>
      </w:r>
      <w:r>
        <w:fldChar w:fldCharType="separate"/>
      </w:r>
      <w:r>
        <w:t>6</w:t>
      </w:r>
      <w:r>
        <w:fldChar w:fldCharType="end"/>
      </w:r>
      <w:r>
        <w:rPr>
          <w:color w:val="auto"/>
          <w:szCs w:val="21"/>
          <w:u w:val="none"/>
        </w:rPr>
        <w:fldChar w:fldCharType="end"/>
      </w:r>
    </w:p>
    <w:p w14:paraId="51031B26">
      <w:pPr>
        <w:pStyle w:val="6"/>
        <w:tabs>
          <w:tab w:val="right" w:leader="dot" w:pos="8788"/>
          <w:tab w:val="clear" w:pos="8778"/>
        </w:tabs>
      </w:pPr>
      <w:r>
        <w:rPr>
          <w:color w:val="auto"/>
          <w:szCs w:val="21"/>
          <w:u w:val="none"/>
        </w:rPr>
        <w:fldChar w:fldCharType="begin"/>
      </w:r>
      <w:r>
        <w:rPr>
          <w:szCs w:val="21"/>
        </w:rPr>
        <w:instrText xml:space="preserve"> HYPERLINK \l _Toc32014 </w:instrText>
      </w:r>
      <w:r>
        <w:rPr>
          <w:szCs w:val="21"/>
        </w:rPr>
        <w:fldChar w:fldCharType="separate"/>
      </w:r>
      <w:r>
        <w:rPr>
          <w:rFonts w:hint="eastAsia" w:ascii="仿宋_GB2312" w:eastAsia="仿宋_GB2312"/>
        </w:rPr>
        <w:t>（一）资金管理</w:t>
      </w:r>
      <w:r>
        <w:tab/>
      </w:r>
      <w:r>
        <w:fldChar w:fldCharType="begin"/>
      </w:r>
      <w:r>
        <w:instrText xml:space="preserve"> PAGEREF _Toc32014 \h </w:instrText>
      </w:r>
      <w:r>
        <w:fldChar w:fldCharType="separate"/>
      </w:r>
      <w:r>
        <w:t>6</w:t>
      </w:r>
      <w:r>
        <w:fldChar w:fldCharType="end"/>
      </w:r>
      <w:r>
        <w:rPr>
          <w:color w:val="auto"/>
          <w:szCs w:val="21"/>
          <w:u w:val="none"/>
        </w:rPr>
        <w:fldChar w:fldCharType="end"/>
      </w:r>
    </w:p>
    <w:p w14:paraId="62217E42">
      <w:pPr>
        <w:pStyle w:val="6"/>
        <w:tabs>
          <w:tab w:val="right" w:leader="dot" w:pos="8788"/>
          <w:tab w:val="clear" w:pos="8778"/>
        </w:tabs>
      </w:pPr>
      <w:r>
        <w:rPr>
          <w:color w:val="auto"/>
          <w:szCs w:val="21"/>
          <w:u w:val="none"/>
        </w:rPr>
        <w:fldChar w:fldCharType="begin"/>
      </w:r>
      <w:r>
        <w:rPr>
          <w:szCs w:val="21"/>
        </w:rPr>
        <w:instrText xml:space="preserve"> HYPERLINK \l _Toc10654 </w:instrText>
      </w:r>
      <w:r>
        <w:rPr>
          <w:szCs w:val="21"/>
        </w:rPr>
        <w:fldChar w:fldCharType="separate"/>
      </w:r>
      <w:r>
        <w:rPr>
          <w:rFonts w:hint="eastAsia" w:ascii="仿宋_GB2312" w:eastAsia="仿宋_GB2312"/>
        </w:rPr>
        <w:t>（二）项目管理</w:t>
      </w:r>
      <w:r>
        <w:tab/>
      </w:r>
      <w:r>
        <w:fldChar w:fldCharType="begin"/>
      </w:r>
      <w:r>
        <w:instrText xml:space="preserve"> PAGEREF _Toc10654 \h </w:instrText>
      </w:r>
      <w:r>
        <w:fldChar w:fldCharType="separate"/>
      </w:r>
      <w:r>
        <w:t>7</w:t>
      </w:r>
      <w:r>
        <w:fldChar w:fldCharType="end"/>
      </w:r>
      <w:r>
        <w:rPr>
          <w:color w:val="auto"/>
          <w:szCs w:val="21"/>
          <w:u w:val="none"/>
        </w:rPr>
        <w:fldChar w:fldCharType="end"/>
      </w:r>
    </w:p>
    <w:p w14:paraId="258B6EC7">
      <w:pPr>
        <w:pStyle w:val="6"/>
        <w:tabs>
          <w:tab w:val="right" w:leader="dot" w:pos="8788"/>
          <w:tab w:val="clear" w:pos="8778"/>
        </w:tabs>
      </w:pPr>
      <w:r>
        <w:rPr>
          <w:color w:val="auto"/>
          <w:szCs w:val="21"/>
          <w:u w:val="none"/>
        </w:rPr>
        <w:fldChar w:fldCharType="begin"/>
      </w:r>
      <w:r>
        <w:rPr>
          <w:szCs w:val="21"/>
        </w:rPr>
        <w:instrText xml:space="preserve"> HYPERLINK \l _Toc21778 </w:instrText>
      </w:r>
      <w:r>
        <w:rPr>
          <w:szCs w:val="21"/>
        </w:rPr>
        <w:fldChar w:fldCharType="separate"/>
      </w:r>
      <w:r>
        <w:rPr>
          <w:rFonts w:hint="eastAsia" w:ascii="仿宋_GB2312" w:eastAsia="仿宋_GB2312"/>
        </w:rPr>
        <w:t>（三）使用成效及通报情况</w:t>
      </w:r>
      <w:r>
        <w:tab/>
      </w:r>
      <w:r>
        <w:fldChar w:fldCharType="begin"/>
      </w:r>
      <w:r>
        <w:instrText xml:space="preserve"> PAGEREF _Toc21778 \h </w:instrText>
      </w:r>
      <w:r>
        <w:fldChar w:fldCharType="separate"/>
      </w:r>
      <w:r>
        <w:t>7</w:t>
      </w:r>
      <w:r>
        <w:fldChar w:fldCharType="end"/>
      </w:r>
      <w:r>
        <w:rPr>
          <w:color w:val="auto"/>
          <w:szCs w:val="21"/>
          <w:u w:val="none"/>
        </w:rPr>
        <w:fldChar w:fldCharType="end"/>
      </w:r>
    </w:p>
    <w:p w14:paraId="0D362885">
      <w:pPr>
        <w:pStyle w:val="6"/>
        <w:tabs>
          <w:tab w:val="right" w:leader="dot" w:pos="8788"/>
          <w:tab w:val="clear" w:pos="8778"/>
        </w:tabs>
      </w:pPr>
      <w:r>
        <w:rPr>
          <w:color w:val="auto"/>
          <w:szCs w:val="21"/>
          <w:u w:val="none"/>
        </w:rPr>
        <w:fldChar w:fldCharType="begin"/>
      </w:r>
      <w:r>
        <w:rPr>
          <w:szCs w:val="21"/>
        </w:rPr>
        <w:instrText xml:space="preserve"> HYPERLINK \l _Toc21628 </w:instrText>
      </w:r>
      <w:r>
        <w:rPr>
          <w:szCs w:val="21"/>
        </w:rPr>
        <w:fldChar w:fldCharType="separate"/>
      </w:r>
      <w:r>
        <w:rPr>
          <w:rFonts w:hint="eastAsia" w:ascii="Arial Narrow" w:hAnsi="Arial Narrow" w:eastAsia="仿宋_GB2312"/>
        </w:rPr>
        <w:t>五</w:t>
      </w:r>
      <w:r>
        <w:rPr>
          <w:rFonts w:ascii="Arial Narrow" w:hAnsi="Arial Narrow" w:eastAsia="仿宋_GB2312"/>
        </w:rPr>
        <w:t>、存在的问题和建议</w:t>
      </w:r>
      <w:r>
        <w:tab/>
      </w:r>
      <w:r>
        <w:fldChar w:fldCharType="begin"/>
      </w:r>
      <w:r>
        <w:instrText xml:space="preserve"> PAGEREF _Toc21628 \h </w:instrText>
      </w:r>
      <w:r>
        <w:fldChar w:fldCharType="separate"/>
      </w:r>
      <w:r>
        <w:t>7</w:t>
      </w:r>
      <w:r>
        <w:fldChar w:fldCharType="end"/>
      </w:r>
      <w:r>
        <w:rPr>
          <w:color w:val="auto"/>
          <w:szCs w:val="21"/>
          <w:u w:val="none"/>
        </w:rPr>
        <w:fldChar w:fldCharType="end"/>
      </w:r>
    </w:p>
    <w:p w14:paraId="59FFC4BB">
      <w:pPr>
        <w:pStyle w:val="6"/>
        <w:tabs>
          <w:tab w:val="right" w:leader="dot" w:pos="8788"/>
          <w:tab w:val="clear" w:pos="8778"/>
        </w:tabs>
      </w:pPr>
      <w:r>
        <w:rPr>
          <w:color w:val="auto"/>
          <w:szCs w:val="21"/>
          <w:u w:val="none"/>
        </w:rPr>
        <w:fldChar w:fldCharType="begin"/>
      </w:r>
      <w:r>
        <w:rPr>
          <w:szCs w:val="21"/>
        </w:rPr>
        <w:instrText xml:space="preserve"> HYPERLINK \l _Toc20829 </w:instrText>
      </w:r>
      <w:r>
        <w:rPr>
          <w:szCs w:val="21"/>
        </w:rPr>
        <w:fldChar w:fldCharType="separate"/>
      </w:r>
      <w:r>
        <w:rPr>
          <w:rFonts w:hint="eastAsia" w:ascii="仿宋_GB2312" w:eastAsia="仿宋_GB2312"/>
        </w:rPr>
        <w:t>（一）存在问题</w:t>
      </w:r>
      <w:r>
        <w:tab/>
      </w:r>
      <w:r>
        <w:fldChar w:fldCharType="begin"/>
      </w:r>
      <w:r>
        <w:instrText xml:space="preserve"> PAGEREF _Toc20829 \h </w:instrText>
      </w:r>
      <w:r>
        <w:fldChar w:fldCharType="separate"/>
      </w:r>
      <w:r>
        <w:t>8</w:t>
      </w:r>
      <w:r>
        <w:fldChar w:fldCharType="end"/>
      </w:r>
      <w:r>
        <w:rPr>
          <w:color w:val="auto"/>
          <w:szCs w:val="21"/>
          <w:u w:val="none"/>
        </w:rPr>
        <w:fldChar w:fldCharType="end"/>
      </w:r>
    </w:p>
    <w:p w14:paraId="16BEC23E">
      <w:pPr>
        <w:pStyle w:val="6"/>
        <w:tabs>
          <w:tab w:val="right" w:leader="dot" w:pos="8788"/>
          <w:tab w:val="clear" w:pos="8778"/>
        </w:tabs>
      </w:pPr>
      <w:r>
        <w:rPr>
          <w:color w:val="auto"/>
          <w:szCs w:val="21"/>
          <w:u w:val="none"/>
        </w:rPr>
        <w:fldChar w:fldCharType="begin"/>
      </w:r>
      <w:r>
        <w:rPr>
          <w:szCs w:val="21"/>
        </w:rPr>
        <w:instrText xml:space="preserve"> HYPERLINK \l _Toc10252 </w:instrText>
      </w:r>
      <w:r>
        <w:rPr>
          <w:szCs w:val="21"/>
        </w:rPr>
        <w:fldChar w:fldCharType="separate"/>
      </w:r>
      <w:r>
        <w:rPr>
          <w:rFonts w:hint="eastAsia" w:ascii="仿宋_GB2312" w:eastAsia="仿宋_GB2312"/>
        </w:rPr>
        <w:t>（二）建议</w:t>
      </w:r>
      <w:r>
        <w:tab/>
      </w:r>
      <w:r>
        <w:fldChar w:fldCharType="begin"/>
      </w:r>
      <w:r>
        <w:instrText xml:space="preserve"> PAGEREF _Toc10252 \h </w:instrText>
      </w:r>
      <w:r>
        <w:fldChar w:fldCharType="separate"/>
      </w:r>
      <w:r>
        <w:t>8</w:t>
      </w:r>
      <w:r>
        <w:fldChar w:fldCharType="end"/>
      </w:r>
      <w:r>
        <w:rPr>
          <w:color w:val="auto"/>
          <w:szCs w:val="21"/>
          <w:u w:val="none"/>
        </w:rPr>
        <w:fldChar w:fldCharType="end"/>
      </w:r>
    </w:p>
    <w:p w14:paraId="6904D3F2">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2AA11778">
      <w:pPr>
        <w:spacing w:line="360" w:lineRule="auto"/>
        <w:jc w:val="right"/>
        <w:rPr>
          <w:rFonts w:ascii="Arial Narrow" w:hAnsi="Arial Narrow"/>
          <w:bCs/>
          <w:w w:val="80"/>
          <w:sz w:val="28"/>
          <w:szCs w:val="28"/>
        </w:rPr>
      </w:pPr>
    </w:p>
    <w:p w14:paraId="49A99770">
      <w:pPr>
        <w:spacing w:line="360" w:lineRule="auto"/>
        <w:jc w:val="right"/>
        <w:rPr>
          <w:rFonts w:ascii="Arial Narrow" w:hAnsi="Arial Narrow"/>
          <w:bCs/>
          <w:w w:val="80"/>
          <w:sz w:val="28"/>
          <w:szCs w:val="28"/>
        </w:rPr>
      </w:pPr>
    </w:p>
    <w:p w14:paraId="5B453833">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1FB9D9F2">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Chongqing</w:t>
      </w:r>
      <w:r>
        <w:rPr>
          <w:rFonts w:hint="eastAsia" w:ascii="MS Mincho" w:hAnsi="MS Mincho"/>
          <w:b/>
          <w:kern w:val="0"/>
          <w:sz w:val="32"/>
          <w:szCs w:val="20"/>
          <w:lang w:val="en-US" w:eastAsia="zh-CN"/>
        </w:rPr>
        <w:t xml:space="preserve"> </w:t>
      </w:r>
      <w:r>
        <w:rPr>
          <w:rFonts w:ascii="MS Mincho" w:hAnsi="MS Mincho" w:eastAsia="MS Mincho"/>
          <w:b/>
          <w:kern w:val="0"/>
          <w:sz w:val="32"/>
          <w:szCs w:val="20"/>
        </w:rPr>
        <w:t>MingHong</w:t>
      </w:r>
      <w:r>
        <w:rPr>
          <w:rFonts w:hint="eastAsia" w:ascii="MS Mincho" w:hAnsi="MS Mincho"/>
          <w:b/>
          <w:kern w:val="0"/>
          <w:sz w:val="32"/>
          <w:szCs w:val="20"/>
          <w:lang w:val="en-US" w:eastAsia="zh-CN"/>
        </w:rPr>
        <w:t xml:space="preserve"> </w:t>
      </w:r>
      <w:r>
        <w:rPr>
          <w:rFonts w:ascii="MS Mincho" w:hAnsi="MS Mincho" w:eastAsia="MS Mincho"/>
          <w:b/>
          <w:kern w:val="0"/>
          <w:sz w:val="32"/>
          <w:szCs w:val="20"/>
        </w:rPr>
        <w:t>JinQuan</w:t>
      </w:r>
      <w:r>
        <w:rPr>
          <w:rFonts w:hint="eastAsia" w:ascii="MS Mincho" w:hAnsi="MS Mincho"/>
          <w:b/>
          <w:kern w:val="0"/>
          <w:sz w:val="32"/>
          <w:szCs w:val="20"/>
          <w:lang w:val="en-US" w:eastAsia="zh-CN"/>
        </w:rPr>
        <w:t xml:space="preserve"> </w:t>
      </w:r>
      <w:r>
        <w:rPr>
          <w:rFonts w:ascii="MS Mincho" w:hAnsi="MS Mincho" w:eastAsia="MS Mincho"/>
          <w:b/>
          <w:kern w:val="0"/>
          <w:sz w:val="32"/>
          <w:szCs w:val="20"/>
          <w:lang w:eastAsia="zh-TW"/>
        </w:rPr>
        <w:t>Certified</w:t>
      </w:r>
      <w:r>
        <w:rPr>
          <w:rFonts w:hint="eastAsia" w:ascii="MS Mincho" w:hAnsi="MS Mincho"/>
          <w:b/>
          <w:kern w:val="0"/>
          <w:sz w:val="32"/>
          <w:szCs w:val="20"/>
          <w:lang w:val="en-US" w:eastAsia="zh-CN"/>
        </w:rPr>
        <w:t xml:space="preserve"> </w:t>
      </w:r>
      <w:r>
        <w:rPr>
          <w:rFonts w:ascii="MS Mincho" w:hAnsi="MS Mincho" w:eastAsia="MS Mincho"/>
          <w:b/>
          <w:kern w:val="0"/>
          <w:sz w:val="32"/>
          <w:szCs w:val="20"/>
          <w:lang w:eastAsia="zh-TW"/>
        </w:rPr>
        <w:t>Public</w:t>
      </w:r>
      <w:r>
        <w:rPr>
          <w:rFonts w:hint="eastAsia" w:ascii="MS Mincho" w:hAnsi="MS Mincho"/>
          <w:b/>
          <w:kern w:val="0"/>
          <w:sz w:val="32"/>
          <w:szCs w:val="20"/>
          <w:lang w:val="en-US" w:eastAsia="zh-CN"/>
        </w:rPr>
        <w:t xml:space="preserve"> </w:t>
      </w:r>
      <w:r>
        <w:rPr>
          <w:rFonts w:ascii="MS Mincho" w:hAnsi="MS Mincho" w:eastAsia="MS Mincho"/>
          <w:b/>
          <w:kern w:val="0"/>
          <w:sz w:val="32"/>
          <w:szCs w:val="20"/>
          <w:lang w:eastAsia="zh-TW"/>
        </w:rPr>
        <w:t>Accountants</w:t>
      </w:r>
    </w:p>
    <w:p w14:paraId="5BDADFE9">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054</w:t>
      </w:r>
      <w:r>
        <w:rPr>
          <w:rFonts w:hint="eastAsia" w:ascii="Arial Narrow" w:hAnsi="Arial Narrow" w:eastAsia="仿宋_GB2312"/>
          <w:sz w:val="28"/>
          <w:szCs w:val="28"/>
        </w:rPr>
        <w:t>号</w:t>
      </w:r>
    </w:p>
    <w:p w14:paraId="79425D1B">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3" w:name="_Hlk51614207"/>
      <w:r>
        <w:rPr>
          <w:rFonts w:hint="eastAsia" w:ascii="宋体" w:hAnsi="宋体" w:cs="宋体"/>
          <w:b/>
          <w:bCs/>
          <w:w w:val="94"/>
          <w:sz w:val="36"/>
          <w:szCs w:val="36"/>
        </w:rPr>
        <w:t>━</w:t>
      </w:r>
      <w:bookmarkEnd w:id="3"/>
    </w:p>
    <w:p w14:paraId="6955DF39">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重庆市铜梁区土桥镇水稻育秧工厂化建设项目等2个项目</w:t>
      </w:r>
    </w:p>
    <w:p w14:paraId="044AC6F7">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454987D3">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w:t>
      </w:r>
      <w:r>
        <w:rPr>
          <w:rFonts w:hint="eastAsia" w:ascii="Arial Narrow" w:hAnsi="Arial Narrow" w:eastAsia="仿宋_GB2312"/>
          <w:color w:val="auto"/>
          <w:lang w:val="en-US" w:eastAsia="zh-CN"/>
        </w:rPr>
        <w:t>土桥镇</w:t>
      </w:r>
      <w:r>
        <w:rPr>
          <w:rFonts w:hint="eastAsia" w:ascii="Arial Narrow" w:hAnsi="Arial Narrow" w:eastAsia="仿宋_GB2312"/>
          <w:color w:val="auto"/>
        </w:rPr>
        <w:t>（</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lang w:val="en-US" w:eastAsia="zh-CN"/>
        </w:rPr>
        <w:t>土桥镇”</w:t>
      </w:r>
      <w:r>
        <w:rPr>
          <w:rFonts w:hint="eastAsia" w:ascii="Arial Narrow" w:hAnsi="Arial Narrow" w:eastAsia="仿宋_GB2312"/>
          <w:color w:val="auto"/>
        </w:rPr>
        <w:t>）</w:t>
      </w:r>
      <w:r>
        <w:rPr>
          <w:rFonts w:hint="eastAsia" w:ascii="Arial Narrow" w:hAnsi="Arial Narrow" w:eastAsia="仿宋_GB2312"/>
          <w:color w:val="auto"/>
          <w:lang w:val="en-US" w:eastAsia="zh-CN"/>
        </w:rPr>
        <w:t>高垭村</w:t>
      </w:r>
      <w:bookmarkStart w:id="4" w:name="OLE_LINK1"/>
      <w:r>
        <w:rPr>
          <w:rFonts w:hint="eastAsia" w:ascii="Arial Narrow" w:hAnsi="Arial Narrow" w:eastAsia="仿宋_GB2312"/>
          <w:color w:val="auto"/>
          <w:lang w:val="en-US" w:eastAsia="zh-CN"/>
        </w:rPr>
        <w:t>水稻育秧工厂化建设项目</w:t>
      </w:r>
      <w:bookmarkEnd w:id="4"/>
      <w:r>
        <w:rPr>
          <w:rFonts w:hint="eastAsia" w:ascii="Arial Narrow" w:hAnsi="Arial Narrow" w:eastAsia="仿宋_GB2312"/>
          <w:color w:val="auto"/>
          <w:lang w:val="en-US" w:eastAsia="zh-CN"/>
        </w:rPr>
        <w:t>等2个项目</w:t>
      </w:r>
      <w:r>
        <w:rPr>
          <w:rFonts w:ascii="Arial Narrow" w:hAnsi="Arial Narrow" w:eastAsia="仿宋_GB2312"/>
          <w:color w:val="auto"/>
        </w:rPr>
        <w:t>进行绩效评价，现将评价情况报告如下：</w:t>
      </w:r>
    </w:p>
    <w:p w14:paraId="28B1CF6F">
      <w:pPr>
        <w:spacing w:before="240" w:beforeLines="100" w:line="360" w:lineRule="auto"/>
        <w:ind w:firstLine="482" w:firstLineChars="200"/>
        <w:jc w:val="left"/>
        <w:outlineLvl w:val="0"/>
        <w:rPr>
          <w:rFonts w:ascii="Arial Narrow" w:hAnsi="Arial Narrow" w:eastAsia="仿宋_GB2312"/>
          <w:b/>
          <w:sz w:val="24"/>
        </w:rPr>
      </w:pPr>
      <w:bookmarkStart w:id="5" w:name="_Toc15851"/>
      <w:r>
        <w:rPr>
          <w:rFonts w:ascii="Arial Narrow" w:hAnsi="Arial Narrow" w:eastAsia="仿宋_GB2312"/>
          <w:b/>
          <w:sz w:val="24"/>
        </w:rPr>
        <w:t>一、基本情况</w:t>
      </w:r>
      <w:bookmarkEnd w:id="5"/>
    </w:p>
    <w:p w14:paraId="64AEDCCF">
      <w:pPr>
        <w:spacing w:before="120" w:beforeLines="50" w:line="360" w:lineRule="auto"/>
        <w:ind w:firstLine="482" w:firstLineChars="200"/>
        <w:jc w:val="left"/>
        <w:outlineLvl w:val="0"/>
        <w:rPr>
          <w:rFonts w:ascii="Arial Narrow" w:hAnsi="Arial Narrow" w:eastAsia="仿宋" w:cs="宋体"/>
          <w:b/>
          <w:bCs/>
          <w:kern w:val="0"/>
          <w:sz w:val="24"/>
        </w:rPr>
      </w:pPr>
      <w:bookmarkStart w:id="6" w:name="_Toc17012"/>
      <w:r>
        <w:rPr>
          <w:rFonts w:hint="eastAsia" w:ascii="Arial Narrow" w:hAnsi="Arial Narrow" w:eastAsia="仿宋" w:cs="宋体"/>
          <w:b/>
          <w:bCs/>
          <w:kern w:val="0"/>
          <w:sz w:val="24"/>
        </w:rPr>
        <w:t>（一）项目情况</w:t>
      </w:r>
      <w:bookmarkEnd w:id="6"/>
    </w:p>
    <w:p w14:paraId="04BE990C">
      <w:pPr>
        <w:spacing w:line="360" w:lineRule="auto"/>
        <w:ind w:firstLine="480" w:firstLineChars="200"/>
        <w:rPr>
          <w:rFonts w:hint="eastAsia" w:ascii="Arial Narrow" w:hAnsi="Arial Narrow" w:eastAsia="仿宋_GB2312" w:cs="宋体"/>
          <w:kern w:val="0"/>
          <w:sz w:val="24"/>
          <w:lang w:val="en-US" w:eastAsia="zh-CN"/>
        </w:rPr>
      </w:pPr>
      <w:bookmarkStart w:id="7" w:name="OLE_LINK2"/>
      <w:r>
        <w:rPr>
          <w:rFonts w:hint="eastAsia" w:ascii="Arial Narrow" w:hAnsi="Arial Narrow" w:eastAsia="仿宋_GB2312" w:cs="宋体"/>
          <w:kern w:val="0"/>
          <w:sz w:val="24"/>
        </w:rPr>
        <w:t>1</w:t>
      </w:r>
      <w:bookmarkStart w:id="8" w:name="OLE_LINK15"/>
      <w:r>
        <w:rPr>
          <w:rFonts w:hint="eastAsia" w:ascii="Arial Narrow" w:hAnsi="Arial Narrow" w:eastAsia="仿宋_GB2312" w:cs="宋体"/>
          <w:kern w:val="0"/>
          <w:sz w:val="24"/>
          <w:lang w:val="en-US" w:eastAsia="zh-CN"/>
        </w:rPr>
        <w:t>.水稻育秧工厂化建设项目</w:t>
      </w:r>
      <w:bookmarkEnd w:id="8"/>
    </w:p>
    <w:p w14:paraId="62E8C768">
      <w:pPr>
        <w:spacing w:line="360" w:lineRule="auto"/>
        <w:ind w:firstLine="480" w:firstLineChars="200"/>
        <w:rPr>
          <w:rFonts w:hint="default" w:ascii="Arial Narrow" w:hAnsi="Arial Narrow" w:eastAsia="仿宋_GB2312" w:cs="宋体"/>
          <w:kern w:val="0"/>
          <w:sz w:val="24"/>
          <w:lang w:val="en-US" w:eastAsia="zh-CN"/>
        </w:rPr>
      </w:pPr>
      <w:r>
        <w:rPr>
          <w:rFonts w:hint="eastAsia" w:ascii="Arial Narrow" w:hAnsi="Arial Narrow" w:eastAsia="仿宋_GB2312" w:cs="宋体"/>
          <w:kern w:val="0"/>
          <w:sz w:val="24"/>
        </w:rPr>
        <w:t>实施单位：铜梁区土桥镇高垭村股份经济合作联合社</w:t>
      </w:r>
    </w:p>
    <w:p w14:paraId="6EDDCFFD">
      <w:pPr>
        <w:spacing w:line="360" w:lineRule="auto"/>
        <w:ind w:firstLine="480" w:firstLineChars="200"/>
        <w:rPr>
          <w:rFonts w:hint="default" w:ascii="Arial Narrow" w:hAnsi="Arial Narrow" w:eastAsia="仿宋_GB2312" w:cs="宋体"/>
          <w:kern w:val="0"/>
          <w:sz w:val="24"/>
          <w:lang w:val="en-US"/>
        </w:rPr>
      </w:pPr>
      <w:r>
        <w:rPr>
          <w:rFonts w:hint="eastAsia" w:ascii="Arial Narrow" w:hAnsi="Arial Narrow" w:eastAsia="仿宋_GB2312" w:cs="宋体"/>
          <w:kern w:val="0"/>
          <w:sz w:val="24"/>
        </w:rPr>
        <w:t>项目内容：</w:t>
      </w:r>
      <w:r>
        <w:rPr>
          <w:rFonts w:hint="eastAsia" w:ascii="Arial Narrow" w:hAnsi="Arial Narrow" w:eastAsia="仿宋_GB2312" w:cs="宋体"/>
          <w:kern w:val="0"/>
          <w:sz w:val="24"/>
          <w:lang w:val="en-US" w:eastAsia="zh-CN"/>
        </w:rPr>
        <w:t>1、连栋智慧大棚约576㎡；2、立体循环育秧设备1套；</w:t>
      </w:r>
      <w:bookmarkStart w:id="9" w:name="OLE_LINK3"/>
      <w:r>
        <w:rPr>
          <w:rFonts w:hint="eastAsia" w:ascii="Arial Narrow" w:hAnsi="Arial Narrow" w:eastAsia="仿宋_GB2312" w:cs="宋体"/>
          <w:kern w:val="0"/>
          <w:sz w:val="24"/>
          <w:lang w:val="en-US" w:eastAsia="zh-CN"/>
        </w:rPr>
        <w:t>3、水室通风照明系统1套；4、碎土机1台；5、播种机2台</w:t>
      </w:r>
      <w:bookmarkEnd w:id="9"/>
      <w:r>
        <w:rPr>
          <w:rFonts w:hint="eastAsia" w:ascii="Arial Narrow" w:hAnsi="Arial Narrow" w:eastAsia="仿宋_GB2312" w:cs="宋体"/>
          <w:kern w:val="0"/>
          <w:sz w:val="24"/>
          <w:lang w:val="en-US" w:eastAsia="zh-CN"/>
        </w:rPr>
        <w:t>；6、羊马牌手推式插秧机3台；</w:t>
      </w:r>
      <w:bookmarkStart w:id="10" w:name="OLE_LINK4"/>
      <w:r>
        <w:rPr>
          <w:rFonts w:hint="eastAsia" w:ascii="Arial Narrow" w:hAnsi="Arial Narrow" w:eastAsia="仿宋_GB2312" w:cs="宋体"/>
          <w:kern w:val="0"/>
          <w:sz w:val="24"/>
          <w:lang w:val="en-US" w:eastAsia="zh-CN"/>
        </w:rPr>
        <w:t>7、上料输送机1台；8、浸种催芽机1台；9、脱水</w:t>
      </w:r>
      <w:bookmarkEnd w:id="10"/>
      <w:r>
        <w:rPr>
          <w:rFonts w:hint="eastAsia" w:ascii="Arial Narrow" w:hAnsi="Arial Narrow" w:eastAsia="仿宋_GB2312" w:cs="宋体"/>
          <w:kern w:val="0"/>
          <w:sz w:val="24"/>
          <w:lang w:val="en-US" w:eastAsia="zh-CN"/>
        </w:rPr>
        <w:t>机1套；10、播种设备1套；11、秧盘2500个；12、铺设地面约130㎡。</w:t>
      </w:r>
    </w:p>
    <w:p w14:paraId="5D2C1976">
      <w:pPr>
        <w:spacing w:line="360" w:lineRule="auto"/>
        <w:ind w:firstLine="480" w:firstLineChars="200"/>
        <w:rPr>
          <w:rFonts w:hint="eastAsia" w:ascii="Arial Narrow" w:hAnsi="Arial Narrow" w:eastAsia="仿宋_GB2312" w:cs="宋体"/>
          <w:kern w:val="0"/>
          <w:sz w:val="24"/>
          <w:highlight w:val="yellow"/>
          <w:lang w:eastAsia="zh-CN"/>
        </w:rPr>
      </w:pPr>
      <w:r>
        <w:rPr>
          <w:rFonts w:hint="eastAsia" w:ascii="Arial Narrow" w:hAnsi="Arial Narrow" w:eastAsia="仿宋_GB2312" w:cs="宋体"/>
          <w:kern w:val="0"/>
          <w:sz w:val="24"/>
          <w:highlight w:val="none"/>
        </w:rPr>
        <w:t>项目资金安排情况：该项目2023年计划投入</w:t>
      </w:r>
      <w:r>
        <w:rPr>
          <w:rFonts w:hint="eastAsia" w:ascii="Arial Narrow" w:hAnsi="Arial Narrow" w:eastAsia="仿宋_GB2312" w:cs="宋体"/>
          <w:kern w:val="0"/>
          <w:sz w:val="24"/>
          <w:highlight w:val="none"/>
          <w:lang w:val="en-US" w:eastAsia="zh-CN"/>
        </w:rPr>
        <w:t>70</w:t>
      </w:r>
      <w:r>
        <w:rPr>
          <w:rFonts w:hint="eastAsia" w:ascii="Arial Narrow" w:hAnsi="Arial Narrow" w:eastAsia="仿宋_GB2312" w:cs="宋体"/>
          <w:kern w:val="0"/>
          <w:sz w:val="24"/>
          <w:highlight w:val="none"/>
        </w:rPr>
        <w:t>万元，实际投入</w:t>
      </w:r>
      <w:r>
        <w:rPr>
          <w:rFonts w:hint="eastAsia" w:ascii="Arial Narrow" w:hAnsi="Arial Narrow" w:eastAsia="仿宋_GB2312" w:cs="宋体"/>
          <w:kern w:val="0"/>
          <w:sz w:val="24"/>
          <w:highlight w:val="none"/>
          <w:lang w:val="en-US" w:eastAsia="zh-CN"/>
        </w:rPr>
        <w:t>70</w:t>
      </w:r>
      <w:r>
        <w:rPr>
          <w:rFonts w:hint="eastAsia" w:ascii="Arial Narrow" w:hAnsi="Arial Narrow" w:eastAsia="仿宋_GB2312" w:cs="宋体"/>
          <w:kern w:val="0"/>
          <w:sz w:val="24"/>
          <w:highlight w:val="none"/>
        </w:rPr>
        <w:t>万元，</w:t>
      </w:r>
      <w:r>
        <w:rPr>
          <w:rFonts w:hint="eastAsia" w:ascii="Arial Narrow" w:hAnsi="Arial Narrow" w:eastAsia="仿宋_GB2312" w:cs="宋体"/>
          <w:kern w:val="0"/>
          <w:sz w:val="24"/>
          <w:highlight w:val="none"/>
          <w:lang w:val="en-US" w:eastAsia="zh-CN"/>
        </w:rPr>
        <w:t>均为</w:t>
      </w:r>
      <w:r>
        <w:rPr>
          <w:rFonts w:hint="eastAsia" w:ascii="Arial Narrow" w:hAnsi="Arial Narrow" w:eastAsia="仿宋_GB2312" w:cs="宋体"/>
          <w:kern w:val="0"/>
          <w:sz w:val="24"/>
          <w:highlight w:val="none"/>
        </w:rPr>
        <w:t>上级补助资金</w:t>
      </w:r>
      <w:bookmarkEnd w:id="7"/>
      <w:r>
        <w:rPr>
          <w:rFonts w:hint="eastAsia" w:ascii="Arial Narrow" w:hAnsi="Arial Narrow" w:eastAsia="仿宋_GB2312" w:cs="宋体"/>
          <w:kern w:val="0"/>
          <w:sz w:val="24"/>
          <w:highlight w:val="none"/>
          <w:lang w:eastAsia="zh-CN"/>
        </w:rPr>
        <w:t>。</w:t>
      </w:r>
    </w:p>
    <w:p w14:paraId="5055AE5A">
      <w:pPr>
        <w:numPr>
          <w:ilvl w:val="0"/>
          <w:numId w:val="0"/>
        </w:numPr>
        <w:spacing w:line="360" w:lineRule="auto"/>
        <w:ind w:firstLine="480" w:firstLineChars="200"/>
        <w:rPr>
          <w:rFonts w:hint="eastAsia" w:ascii="Arial Narrow" w:hAnsi="Arial Narrow" w:eastAsia="仿宋_GB2312" w:cs="宋体"/>
          <w:kern w:val="0"/>
          <w:sz w:val="24"/>
          <w:lang w:val="en-US" w:eastAsia="zh-CN"/>
        </w:rPr>
      </w:pPr>
      <w:bookmarkStart w:id="11" w:name="OLE_LINK16"/>
      <w:bookmarkStart w:id="12" w:name="OLE_LINK7"/>
      <w:r>
        <w:rPr>
          <w:rFonts w:hint="eastAsia" w:ascii="Arial Narrow" w:hAnsi="Arial Narrow" w:eastAsia="仿宋_GB2312" w:cs="宋体"/>
          <w:kern w:val="0"/>
          <w:sz w:val="24"/>
          <w:lang w:val="en-US" w:eastAsia="zh-CN"/>
        </w:rPr>
        <w:t>2.大磨村连栋温室育秧大棚建设项目</w:t>
      </w:r>
      <w:bookmarkEnd w:id="11"/>
    </w:p>
    <w:bookmarkEnd w:id="12"/>
    <w:p w14:paraId="09F02808">
      <w:pPr>
        <w:numPr>
          <w:ilvl w:val="0"/>
          <w:numId w:val="0"/>
        </w:numPr>
        <w:spacing w:line="360" w:lineRule="auto"/>
        <w:ind w:firstLine="480" w:firstLineChars="200"/>
        <w:rPr>
          <w:rFonts w:hint="default" w:ascii="Arial Narrow" w:hAnsi="Arial Narrow" w:eastAsia="仿宋_GB2312" w:cs="宋体"/>
          <w:kern w:val="0"/>
          <w:sz w:val="24"/>
          <w:lang w:val="en-US" w:eastAsia="zh-CN"/>
        </w:rPr>
      </w:pPr>
      <w:r>
        <w:rPr>
          <w:rFonts w:hint="eastAsia" w:ascii="Arial Narrow" w:hAnsi="Arial Narrow" w:eastAsia="仿宋_GB2312" w:cs="宋体"/>
          <w:kern w:val="0"/>
          <w:sz w:val="24"/>
        </w:rPr>
        <w:t>实施单位：铜梁区土桥镇</w:t>
      </w:r>
      <w:r>
        <w:rPr>
          <w:rFonts w:hint="eastAsia" w:ascii="Arial Narrow" w:hAnsi="Arial Narrow" w:eastAsia="仿宋_GB2312" w:cs="宋体"/>
          <w:kern w:val="0"/>
          <w:sz w:val="24"/>
          <w:lang w:val="en-US" w:eastAsia="zh-CN"/>
        </w:rPr>
        <w:t>大磨村</w:t>
      </w:r>
      <w:r>
        <w:rPr>
          <w:rFonts w:hint="eastAsia" w:ascii="Arial Narrow" w:hAnsi="Arial Narrow" w:eastAsia="仿宋_GB2312" w:cs="宋体"/>
          <w:kern w:val="0"/>
          <w:sz w:val="24"/>
        </w:rPr>
        <w:t>股份经济合作联合社</w:t>
      </w:r>
    </w:p>
    <w:p w14:paraId="36029DF1">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w:t>
      </w:r>
      <w:r>
        <w:rPr>
          <w:rFonts w:hint="eastAsia" w:ascii="Arial Narrow" w:hAnsi="Arial Narrow" w:eastAsia="仿宋_GB2312" w:cs="宋体"/>
          <w:kern w:val="0"/>
          <w:sz w:val="24"/>
          <w:lang w:val="en-US" w:eastAsia="zh-CN"/>
        </w:rPr>
        <w:t>1、连栋温室育苗大棚约512</w:t>
      </w:r>
      <w:bookmarkStart w:id="13" w:name="OLE_LINK5"/>
      <w:r>
        <w:rPr>
          <w:rFonts w:hint="eastAsia" w:ascii="Arial Narrow" w:hAnsi="Arial Narrow" w:eastAsia="仿宋_GB2312" w:cs="宋体"/>
          <w:kern w:val="0"/>
          <w:sz w:val="24"/>
          <w:lang w:val="en-US" w:eastAsia="zh-CN"/>
        </w:rPr>
        <w:t>㎡</w:t>
      </w:r>
      <w:bookmarkEnd w:id="13"/>
      <w:r>
        <w:rPr>
          <w:rFonts w:hint="eastAsia" w:ascii="Arial Narrow" w:hAnsi="Arial Narrow" w:eastAsia="仿宋_GB2312" w:cs="宋体"/>
          <w:kern w:val="0"/>
          <w:sz w:val="24"/>
          <w:lang w:val="en-US" w:eastAsia="zh-CN"/>
        </w:rPr>
        <w:t>；2、移动苗床约150.45</w:t>
      </w:r>
      <w:bookmarkStart w:id="14" w:name="OLE_LINK6"/>
      <w:r>
        <w:rPr>
          <w:rFonts w:hint="eastAsia" w:ascii="Arial Narrow" w:hAnsi="Arial Narrow" w:eastAsia="仿宋_GB2312" w:cs="宋体"/>
          <w:kern w:val="0"/>
          <w:sz w:val="24"/>
          <w:lang w:val="en-US" w:eastAsia="zh-CN"/>
        </w:rPr>
        <w:t>㎡</w:t>
      </w:r>
      <w:bookmarkEnd w:id="14"/>
      <w:r>
        <w:rPr>
          <w:rFonts w:hint="eastAsia" w:ascii="Arial Narrow" w:hAnsi="Arial Narrow" w:eastAsia="仿宋_GB2312" w:cs="宋体"/>
          <w:kern w:val="0"/>
          <w:sz w:val="24"/>
          <w:lang w:val="en-US" w:eastAsia="zh-CN"/>
        </w:rPr>
        <w:t>；3、地面硬化约512㎡；4、11kw自吸泵2台；5、温室显示屏（尺寸:长58cm*高38cm,电压:110V-220V）1台；6、水稻育秧播种机1套；7、循环运动式育苗设备1套。</w:t>
      </w:r>
    </w:p>
    <w:p w14:paraId="6D6EBC6F">
      <w:pPr>
        <w:spacing w:line="360" w:lineRule="auto"/>
        <w:ind w:firstLine="480" w:firstLineChars="200"/>
        <w:rPr>
          <w:rFonts w:hint="eastAsia" w:ascii="Arial Narrow" w:hAnsi="Arial Narrow" w:eastAsia="仿宋_GB2312" w:cs="宋体"/>
          <w:kern w:val="0"/>
          <w:sz w:val="24"/>
          <w:highlight w:val="none"/>
        </w:rPr>
      </w:pPr>
      <w:r>
        <w:rPr>
          <w:rFonts w:hint="eastAsia" w:ascii="Arial Narrow" w:hAnsi="Arial Narrow" w:eastAsia="仿宋_GB2312" w:cs="宋体"/>
          <w:kern w:val="0"/>
          <w:sz w:val="24"/>
          <w:highlight w:val="none"/>
        </w:rPr>
        <w:t>项目资金安排情况：该项目2023年计划投入</w:t>
      </w:r>
      <w:r>
        <w:rPr>
          <w:rFonts w:hint="eastAsia" w:ascii="Arial Narrow" w:hAnsi="Arial Narrow" w:eastAsia="仿宋_GB2312" w:cs="宋体"/>
          <w:kern w:val="0"/>
          <w:sz w:val="24"/>
          <w:highlight w:val="none"/>
          <w:lang w:val="en-US" w:eastAsia="zh-CN"/>
        </w:rPr>
        <w:t>50</w:t>
      </w:r>
      <w:r>
        <w:rPr>
          <w:rFonts w:hint="eastAsia" w:ascii="Arial Narrow" w:hAnsi="Arial Narrow" w:eastAsia="仿宋_GB2312" w:cs="宋体"/>
          <w:kern w:val="0"/>
          <w:sz w:val="24"/>
          <w:highlight w:val="none"/>
        </w:rPr>
        <w:t>万元，实际投入</w:t>
      </w:r>
      <w:bookmarkStart w:id="15" w:name="OLE_LINK14"/>
      <w:r>
        <w:rPr>
          <w:rFonts w:hint="eastAsia" w:ascii="Arial Narrow" w:hAnsi="Arial Narrow" w:eastAsia="仿宋_GB2312" w:cs="宋体"/>
          <w:kern w:val="0"/>
          <w:sz w:val="24"/>
          <w:highlight w:val="none"/>
          <w:lang w:val="en-US" w:eastAsia="zh-CN"/>
        </w:rPr>
        <w:t>50</w:t>
      </w:r>
      <w:bookmarkEnd w:id="15"/>
      <w:r>
        <w:rPr>
          <w:rFonts w:hint="eastAsia" w:ascii="Arial Narrow" w:hAnsi="Arial Narrow" w:eastAsia="仿宋_GB2312" w:cs="宋体"/>
          <w:kern w:val="0"/>
          <w:sz w:val="24"/>
          <w:highlight w:val="none"/>
        </w:rPr>
        <w:t>万元，</w:t>
      </w:r>
      <w:r>
        <w:rPr>
          <w:rFonts w:hint="eastAsia" w:ascii="Arial Narrow" w:hAnsi="Arial Narrow" w:eastAsia="仿宋_GB2312" w:cs="宋体"/>
          <w:kern w:val="0"/>
          <w:sz w:val="24"/>
          <w:highlight w:val="none"/>
          <w:lang w:val="en-US" w:eastAsia="zh-CN"/>
        </w:rPr>
        <w:t>均为</w:t>
      </w:r>
      <w:r>
        <w:rPr>
          <w:rFonts w:hint="eastAsia" w:ascii="Arial Narrow" w:hAnsi="Arial Narrow" w:eastAsia="仿宋_GB2312" w:cs="宋体"/>
          <w:kern w:val="0"/>
          <w:sz w:val="24"/>
          <w:highlight w:val="none"/>
        </w:rPr>
        <w:t>上级补助资金。</w:t>
      </w:r>
    </w:p>
    <w:p w14:paraId="4DC9C3A8">
      <w:pPr>
        <w:spacing w:line="360" w:lineRule="auto"/>
        <w:ind w:firstLine="482" w:firstLineChars="200"/>
        <w:outlineLvl w:val="0"/>
        <w:rPr>
          <w:rFonts w:ascii="Arial Narrow" w:hAnsi="Arial Narrow" w:eastAsia="仿宋_GB2312"/>
          <w:b/>
          <w:sz w:val="24"/>
        </w:rPr>
      </w:pPr>
      <w:bookmarkStart w:id="16" w:name="_Toc16318"/>
      <w:r>
        <w:rPr>
          <w:rFonts w:ascii="Arial Narrow" w:hAnsi="Arial Narrow" w:eastAsia="仿宋_GB2312"/>
          <w:b/>
          <w:sz w:val="24"/>
        </w:rPr>
        <w:t>二、绩效评价工作情况</w:t>
      </w:r>
      <w:bookmarkEnd w:id="16"/>
    </w:p>
    <w:p w14:paraId="14EBBDC3">
      <w:pPr>
        <w:spacing w:line="360" w:lineRule="auto"/>
        <w:ind w:firstLine="482" w:firstLineChars="200"/>
        <w:jc w:val="left"/>
        <w:outlineLvl w:val="0"/>
        <w:rPr>
          <w:rFonts w:ascii="Arial Narrow" w:hAnsi="Arial Narrow" w:eastAsia="仿宋_GB2312"/>
          <w:b/>
          <w:sz w:val="24"/>
        </w:rPr>
      </w:pPr>
      <w:bookmarkStart w:id="17" w:name="_Toc513775099"/>
      <w:bookmarkStart w:id="18" w:name="_Toc24221"/>
      <w:r>
        <w:rPr>
          <w:rFonts w:ascii="Arial Narrow" w:hAnsi="Arial Narrow" w:eastAsia="仿宋_GB2312"/>
          <w:b/>
          <w:sz w:val="24"/>
        </w:rPr>
        <w:t>（一）绩效评价目的</w:t>
      </w:r>
      <w:bookmarkEnd w:id="17"/>
      <w:bookmarkEnd w:id="18"/>
    </w:p>
    <w:p w14:paraId="4AC26A0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59C28878">
      <w:pPr>
        <w:spacing w:line="360" w:lineRule="auto"/>
        <w:ind w:firstLine="482" w:firstLineChars="200"/>
        <w:jc w:val="left"/>
        <w:outlineLvl w:val="0"/>
        <w:rPr>
          <w:rFonts w:ascii="Arial Narrow" w:hAnsi="Arial Narrow" w:eastAsia="仿宋_GB2312"/>
          <w:b/>
          <w:sz w:val="24"/>
        </w:rPr>
      </w:pPr>
      <w:bookmarkStart w:id="19" w:name="_Toc22400"/>
      <w:bookmarkStart w:id="20"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19"/>
    </w:p>
    <w:p w14:paraId="345E49A2">
      <w:pPr>
        <w:pStyle w:val="13"/>
        <w:spacing w:line="360" w:lineRule="auto"/>
        <w:ind w:firstLine="480" w:firstLineChars="200"/>
        <w:rPr>
          <w:rFonts w:ascii="Arial Narrow" w:hAnsi="Arial Narrow" w:eastAsia="仿宋_GB2312"/>
          <w:color w:val="auto"/>
        </w:rPr>
      </w:pPr>
      <w:bookmarkStart w:id="21" w:name="_Toc166332968"/>
      <w:r>
        <w:rPr>
          <w:rFonts w:hint="eastAsia" w:ascii="Arial Narrow" w:hAnsi="Arial Narrow" w:eastAsia="仿宋_GB2312"/>
          <w:color w:val="auto"/>
        </w:rPr>
        <w:t>1</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绩效目标的设定情况；</w:t>
      </w:r>
    </w:p>
    <w:p w14:paraId="5307FCC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val="en-US" w:eastAsia="zh-CN"/>
        </w:rPr>
        <w:t>.</w:t>
      </w:r>
      <w:r>
        <w:rPr>
          <w:rFonts w:hint="eastAsia" w:ascii="Arial Narrow" w:hAnsi="Arial Narrow" w:eastAsia="仿宋_GB2312"/>
          <w:color w:val="auto"/>
        </w:rPr>
        <w:t>资金投入和使用情况；</w:t>
      </w:r>
    </w:p>
    <w:p w14:paraId="138DB0C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val="en-US" w:eastAsia="zh-CN"/>
        </w:rPr>
        <w:t>.</w:t>
      </w:r>
      <w:r>
        <w:rPr>
          <w:rFonts w:hint="eastAsia" w:ascii="Arial Narrow" w:hAnsi="Arial Narrow" w:eastAsia="仿宋_GB2312"/>
          <w:color w:val="auto"/>
        </w:rPr>
        <w:t>为实现绩效目标制定的制度、采取的措施等；</w:t>
      </w:r>
    </w:p>
    <w:p w14:paraId="13B4636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val="en-US" w:eastAsia="zh-CN"/>
        </w:rPr>
        <w:t>.</w:t>
      </w:r>
      <w:r>
        <w:rPr>
          <w:rFonts w:hint="eastAsia" w:ascii="Arial Narrow" w:hAnsi="Arial Narrow" w:eastAsia="仿宋_GB2312"/>
          <w:color w:val="auto"/>
        </w:rPr>
        <w:t>绩效目标的实现程度及效果；</w:t>
      </w:r>
    </w:p>
    <w:p w14:paraId="5BE4A9E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val="en-US" w:eastAsia="zh-CN"/>
        </w:rPr>
        <w:t>.</w:t>
      </w:r>
      <w:r>
        <w:rPr>
          <w:rFonts w:hint="eastAsia" w:ascii="Arial Narrow" w:hAnsi="Arial Narrow" w:eastAsia="仿宋_GB2312"/>
          <w:color w:val="auto"/>
        </w:rPr>
        <w:t>根据实际情况需要评价的其他内容。</w:t>
      </w:r>
    </w:p>
    <w:p w14:paraId="00B5E45D">
      <w:pPr>
        <w:spacing w:line="360" w:lineRule="auto"/>
        <w:ind w:firstLine="482" w:firstLineChars="200"/>
        <w:jc w:val="left"/>
        <w:outlineLvl w:val="0"/>
        <w:rPr>
          <w:rFonts w:ascii="Arial Narrow" w:hAnsi="Arial Narrow" w:eastAsia="仿宋_GB2312"/>
          <w:b/>
          <w:sz w:val="24"/>
        </w:rPr>
      </w:pPr>
      <w:bookmarkStart w:id="22" w:name="_Toc24391"/>
      <w:r>
        <w:rPr>
          <w:rFonts w:ascii="Arial Narrow" w:hAnsi="Arial Narrow" w:eastAsia="仿宋_GB2312"/>
          <w:b/>
          <w:sz w:val="24"/>
        </w:rPr>
        <w:t>（三）绩效评价依据</w:t>
      </w:r>
      <w:bookmarkEnd w:id="20"/>
      <w:bookmarkEnd w:id="21"/>
      <w:bookmarkEnd w:id="22"/>
      <w:bookmarkStart w:id="23" w:name="_Toc335040595"/>
    </w:p>
    <w:bookmarkEnd w:id="23"/>
    <w:p w14:paraId="507C7B7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3BB00FA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.《重庆市铜梁区财政局关于开展2023年度项目财政重点绩效评价的通知》（铜财〔2024〕237号）</w:t>
      </w:r>
    </w:p>
    <w:p w14:paraId="66AB4013">
      <w:pPr>
        <w:pStyle w:val="13"/>
        <w:spacing w:line="360" w:lineRule="auto"/>
        <w:ind w:firstLine="480" w:firstLineChars="200"/>
        <w:rPr>
          <w:rFonts w:hint="eastAsia" w:ascii="Arial Narrow" w:hAnsi="Arial Narrow" w:eastAsia="仿宋_GB2312"/>
          <w:color w:val="auto"/>
          <w:lang w:val="en-US" w:eastAsia="zh-CN"/>
        </w:rPr>
      </w:pPr>
      <w:r>
        <w:rPr>
          <w:rFonts w:hint="eastAsia" w:ascii="Arial Narrow" w:hAnsi="Arial Narrow" w:eastAsia="仿宋_GB2312"/>
          <w:color w:val="auto"/>
        </w:rPr>
        <w:t>3.《重庆市财政衔接推进乡村振兴补助资金绩效评价及考核办法》（渝财农〔2022〕2号</w:t>
      </w:r>
      <w:r>
        <w:rPr>
          <w:rFonts w:hint="eastAsia" w:ascii="Arial Narrow" w:hAnsi="Arial Narrow" w:eastAsia="仿宋_GB2312"/>
          <w:color w:val="auto"/>
          <w:lang w:val="en-US" w:eastAsia="zh-CN"/>
        </w:rPr>
        <w:t>）</w:t>
      </w:r>
    </w:p>
    <w:p w14:paraId="14E212AE">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w:t>
      </w:r>
      <w:r>
        <w:rPr>
          <w:rFonts w:hint="eastAsia" w:ascii="Arial Narrow" w:hAnsi="Arial Narrow" w:eastAsia="仿宋_GB2312"/>
          <w:color w:val="auto"/>
          <w:lang w:eastAsia="zh-CN"/>
        </w:rPr>
        <w:t>（</w:t>
      </w:r>
      <w:r>
        <w:rPr>
          <w:rFonts w:hint="eastAsia" w:ascii="Arial Narrow" w:hAnsi="Arial Narrow" w:eastAsia="仿宋_GB2312"/>
          <w:color w:val="auto"/>
        </w:rPr>
        <w:t>试行</w:t>
      </w:r>
      <w:r>
        <w:rPr>
          <w:rFonts w:hint="eastAsia" w:ascii="Arial Narrow" w:hAnsi="Arial Narrow" w:eastAsia="仿宋_GB2312"/>
          <w:color w:val="auto"/>
          <w:lang w:eastAsia="zh-CN"/>
        </w:rPr>
        <w:t>）</w:t>
      </w:r>
      <w:r>
        <w:rPr>
          <w:rFonts w:hint="eastAsia" w:ascii="Arial Narrow" w:hAnsi="Arial Narrow" w:eastAsia="仿宋_GB2312"/>
          <w:color w:val="auto"/>
        </w:rPr>
        <w:t>》（铜财〔2022〕41号）</w:t>
      </w:r>
    </w:p>
    <w:p w14:paraId="2C8A79E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77CC85C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210ABB1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1A47EF0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249208D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386752F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24" w:name="_Hlk162597612"/>
      <w:r>
        <w:rPr>
          <w:rFonts w:hint="eastAsia" w:ascii="Arial Narrow" w:hAnsi="Arial Narrow" w:eastAsia="仿宋_GB2312"/>
          <w:color w:val="auto"/>
        </w:rPr>
        <w:t>〔2016〕</w:t>
      </w:r>
      <w:bookmarkEnd w:id="24"/>
      <w:r>
        <w:rPr>
          <w:rFonts w:ascii="Arial Narrow" w:hAnsi="Arial Narrow" w:eastAsia="仿宋_GB2312"/>
          <w:color w:val="auto"/>
        </w:rPr>
        <w:t>10号）</w:t>
      </w:r>
    </w:p>
    <w:p w14:paraId="239FAE4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0BC1AA80">
      <w:pPr>
        <w:spacing w:line="360" w:lineRule="auto"/>
        <w:ind w:firstLine="482" w:firstLineChars="200"/>
        <w:jc w:val="left"/>
        <w:outlineLvl w:val="0"/>
        <w:rPr>
          <w:rFonts w:ascii="Arial Narrow" w:hAnsi="Arial Narrow" w:eastAsia="仿宋_GB2312"/>
          <w:b/>
          <w:sz w:val="24"/>
        </w:rPr>
      </w:pPr>
      <w:bookmarkStart w:id="25" w:name="_Toc22481"/>
      <w:r>
        <w:rPr>
          <w:rFonts w:ascii="Arial Narrow" w:hAnsi="Arial Narrow" w:eastAsia="仿宋_GB2312"/>
          <w:b/>
          <w:sz w:val="24"/>
        </w:rPr>
        <w:t>（四）绩效评价原则和指标体系</w:t>
      </w:r>
      <w:bookmarkEnd w:id="25"/>
    </w:p>
    <w:p w14:paraId="6AEEB3F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7D5F94DF">
      <w:pPr>
        <w:pStyle w:val="13"/>
        <w:spacing w:line="360" w:lineRule="auto"/>
        <w:ind w:firstLine="480" w:firstLineChars="200"/>
        <w:rPr>
          <w:rFonts w:hint="eastAsia" w:ascii="Arial Narrow" w:hAnsi="Arial Narrow" w:eastAsia="仿宋_GB2312"/>
          <w:color w:val="auto"/>
        </w:rPr>
      </w:pPr>
      <w:r>
        <w:rPr>
          <w:rFonts w:hint="eastAsia" w:ascii="Arial Narrow" w:hAnsi="Arial Narrow" w:eastAsia="仿宋_GB2312"/>
          <w:color w:val="auto"/>
        </w:rPr>
        <w:t>（1）相关性原则。应当与绩效目标有直接的联系，能够恰当反映目标的实现程度。</w:t>
      </w:r>
    </w:p>
    <w:p w14:paraId="14CE410B">
      <w:pPr>
        <w:pStyle w:val="13"/>
        <w:spacing w:line="360" w:lineRule="auto"/>
        <w:ind w:firstLine="480" w:firstLineChars="200"/>
        <w:rPr>
          <w:rFonts w:hint="eastAsia"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重要性原则。应当优先使用最具评价对象代表性、最能反映评价要求的核心指标。</w:t>
      </w:r>
    </w:p>
    <w:p w14:paraId="7A4976D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（3）可比性原则。对同类评价对象要设定共性的绩效评价指标，以便于评价结果可以</w:t>
      </w:r>
      <w:r>
        <w:rPr>
          <w:rFonts w:ascii="Arial Narrow" w:hAnsi="Arial Narrow" w:eastAsia="仿宋_GB2312"/>
          <w:color w:val="auto"/>
        </w:rPr>
        <w:t>相互比较。</w:t>
      </w:r>
    </w:p>
    <w:p w14:paraId="7C7F00D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1E10363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29CD3E3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4306DE8E">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hint="eastAsia" w:ascii="Arial Narrow" w:hAnsi="Arial Narrow" w:eastAsia="仿宋_GB2312"/>
          <w:color w:val="auto"/>
          <w:lang w:eastAsia="zh-CN"/>
        </w:rPr>
        <w:t>）</w:t>
      </w:r>
      <w:r>
        <w:rPr>
          <w:rFonts w:hint="eastAsia" w:ascii="Arial Narrow" w:hAnsi="Arial Narrow" w:eastAsia="仿宋_GB2312"/>
          <w:color w:val="auto"/>
        </w:rPr>
        <w:t>，本次绩效评价及考核指标体系如下：</w:t>
      </w:r>
    </w:p>
    <w:p w14:paraId="21AE7785">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9"/>
        <w:gridCol w:w="1047"/>
        <w:gridCol w:w="536"/>
        <w:gridCol w:w="2794"/>
        <w:gridCol w:w="3559"/>
      </w:tblGrid>
      <w:tr w14:paraId="7EF99671">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F4CFC0">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序号</w:t>
            </w:r>
          </w:p>
        </w:tc>
        <w:tc>
          <w:tcPr>
            <w:tcW w:w="1019" w:type="dxa"/>
            <w:tcBorders>
              <w:top w:val="single" w:color="auto" w:sz="4" w:space="0"/>
              <w:left w:val="nil"/>
              <w:bottom w:val="single" w:color="auto" w:sz="4" w:space="0"/>
              <w:right w:val="single" w:color="auto" w:sz="4" w:space="0"/>
            </w:tcBorders>
            <w:shd w:val="clear" w:color="auto" w:fill="auto"/>
            <w:noWrap/>
            <w:vAlign w:val="center"/>
          </w:tcPr>
          <w:p w14:paraId="7D406DB5">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一级指标</w:t>
            </w:r>
          </w:p>
        </w:tc>
        <w:tc>
          <w:tcPr>
            <w:tcW w:w="1047" w:type="dxa"/>
            <w:tcBorders>
              <w:top w:val="single" w:color="auto" w:sz="4" w:space="0"/>
              <w:left w:val="nil"/>
              <w:bottom w:val="single" w:color="auto" w:sz="4" w:space="0"/>
              <w:right w:val="single" w:color="auto" w:sz="4" w:space="0"/>
            </w:tcBorders>
            <w:shd w:val="clear" w:color="auto" w:fill="auto"/>
            <w:noWrap/>
            <w:vAlign w:val="center"/>
          </w:tcPr>
          <w:p w14:paraId="53F81419">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34CE6E91">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分值</w:t>
            </w:r>
          </w:p>
        </w:tc>
        <w:tc>
          <w:tcPr>
            <w:tcW w:w="2794" w:type="dxa"/>
            <w:tcBorders>
              <w:top w:val="single" w:color="auto" w:sz="4" w:space="0"/>
              <w:left w:val="nil"/>
              <w:bottom w:val="single" w:color="auto" w:sz="4" w:space="0"/>
              <w:right w:val="single" w:color="auto" w:sz="4" w:space="0"/>
            </w:tcBorders>
            <w:shd w:val="clear" w:color="auto" w:fill="auto"/>
            <w:noWrap/>
            <w:vAlign w:val="center"/>
          </w:tcPr>
          <w:p w14:paraId="6CFD0D80">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指标释义</w:t>
            </w:r>
          </w:p>
        </w:tc>
        <w:tc>
          <w:tcPr>
            <w:tcW w:w="3559" w:type="dxa"/>
            <w:tcBorders>
              <w:top w:val="single" w:color="auto" w:sz="4" w:space="0"/>
              <w:left w:val="nil"/>
              <w:bottom w:val="single" w:color="auto" w:sz="4" w:space="0"/>
              <w:right w:val="single" w:color="auto" w:sz="4" w:space="0"/>
            </w:tcBorders>
            <w:shd w:val="clear" w:color="auto" w:fill="auto"/>
            <w:noWrap/>
            <w:vAlign w:val="center"/>
          </w:tcPr>
          <w:p w14:paraId="74CF0347">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评价标准</w:t>
            </w:r>
          </w:p>
        </w:tc>
      </w:tr>
      <w:tr w14:paraId="1C33039F">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3D3DC2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w:t>
            </w:r>
          </w:p>
        </w:tc>
        <w:tc>
          <w:tcPr>
            <w:tcW w:w="1019" w:type="dxa"/>
            <w:vMerge w:val="restart"/>
            <w:tcBorders>
              <w:top w:val="nil"/>
              <w:left w:val="single" w:color="auto" w:sz="4" w:space="0"/>
              <w:bottom w:val="single" w:color="auto" w:sz="4" w:space="0"/>
              <w:right w:val="single" w:color="auto" w:sz="4" w:space="0"/>
            </w:tcBorders>
            <w:shd w:val="clear" w:color="auto" w:fill="auto"/>
            <w:vAlign w:val="center"/>
          </w:tcPr>
          <w:p w14:paraId="4E621A4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资金管理（5分）</w:t>
            </w:r>
          </w:p>
        </w:tc>
        <w:tc>
          <w:tcPr>
            <w:tcW w:w="1047" w:type="dxa"/>
            <w:tcBorders>
              <w:top w:val="nil"/>
              <w:left w:val="nil"/>
              <w:bottom w:val="single" w:color="auto" w:sz="4" w:space="0"/>
              <w:right w:val="single" w:color="auto" w:sz="4" w:space="0"/>
            </w:tcBorders>
            <w:shd w:val="clear" w:color="auto" w:fill="auto"/>
            <w:vAlign w:val="center"/>
          </w:tcPr>
          <w:p w14:paraId="736A53F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1BD0207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2794" w:type="dxa"/>
            <w:tcBorders>
              <w:top w:val="nil"/>
              <w:left w:val="nil"/>
              <w:bottom w:val="single" w:color="auto" w:sz="4" w:space="0"/>
              <w:right w:val="single" w:color="auto" w:sz="4" w:space="0"/>
            </w:tcBorders>
            <w:shd w:val="clear" w:color="auto" w:fill="auto"/>
            <w:vAlign w:val="center"/>
          </w:tcPr>
          <w:p w14:paraId="691E54E0">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59" w:type="dxa"/>
            <w:tcBorders>
              <w:top w:val="nil"/>
              <w:left w:val="nil"/>
              <w:bottom w:val="single" w:color="auto" w:sz="4" w:space="0"/>
              <w:right w:val="single" w:color="auto" w:sz="4" w:space="0"/>
            </w:tcBorders>
            <w:shd w:val="clear" w:color="auto" w:fill="auto"/>
            <w:vAlign w:val="center"/>
          </w:tcPr>
          <w:p w14:paraId="4F0F3768">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资金使用方向符合文件规定（2分）。</w:t>
            </w:r>
          </w:p>
        </w:tc>
      </w:tr>
      <w:tr w14:paraId="1C677579">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50F204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1019" w:type="dxa"/>
            <w:vMerge w:val="continue"/>
            <w:tcBorders>
              <w:top w:val="nil"/>
              <w:left w:val="single" w:color="auto" w:sz="4" w:space="0"/>
              <w:bottom w:val="single" w:color="auto" w:sz="4" w:space="0"/>
              <w:right w:val="single" w:color="auto" w:sz="4" w:space="0"/>
            </w:tcBorders>
            <w:vAlign w:val="center"/>
          </w:tcPr>
          <w:p w14:paraId="15A7C67C">
            <w:pPr>
              <w:widowControl/>
              <w:jc w:val="left"/>
              <w:rPr>
                <w:rFonts w:ascii="方正仿宋_GBK" w:hAnsi="宋体" w:eastAsia="方正仿宋_GBK" w:cs="宋体"/>
                <w:kern w:val="0"/>
                <w:sz w:val="16"/>
                <w:szCs w:val="16"/>
              </w:rPr>
            </w:pPr>
          </w:p>
        </w:tc>
        <w:tc>
          <w:tcPr>
            <w:tcW w:w="1047" w:type="dxa"/>
            <w:tcBorders>
              <w:top w:val="nil"/>
              <w:left w:val="nil"/>
              <w:bottom w:val="single" w:color="auto" w:sz="4" w:space="0"/>
              <w:right w:val="single" w:color="auto" w:sz="4" w:space="0"/>
            </w:tcBorders>
            <w:shd w:val="clear" w:color="auto" w:fill="auto"/>
            <w:vAlign w:val="center"/>
          </w:tcPr>
          <w:p w14:paraId="631337E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50C5D0C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2794" w:type="dxa"/>
            <w:tcBorders>
              <w:top w:val="nil"/>
              <w:left w:val="nil"/>
              <w:bottom w:val="single" w:color="auto" w:sz="4" w:space="0"/>
              <w:right w:val="single" w:color="auto" w:sz="4" w:space="0"/>
            </w:tcBorders>
            <w:shd w:val="clear" w:color="auto" w:fill="auto"/>
            <w:vAlign w:val="center"/>
          </w:tcPr>
          <w:p w14:paraId="1E67FF61">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评价区级业务主管部门分解下达当年资金及次年提前批资金进度情况。</w:t>
            </w:r>
          </w:p>
        </w:tc>
        <w:tc>
          <w:tcPr>
            <w:tcW w:w="3559" w:type="dxa"/>
            <w:tcBorders>
              <w:top w:val="nil"/>
              <w:left w:val="nil"/>
              <w:bottom w:val="single" w:color="auto" w:sz="4" w:space="0"/>
              <w:right w:val="single" w:color="auto" w:sz="4" w:space="0"/>
            </w:tcBorders>
            <w:shd w:val="clear" w:color="auto" w:fill="auto"/>
            <w:vAlign w:val="center"/>
          </w:tcPr>
          <w:p w14:paraId="4A8BE4E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区财政局下达资金文件时间到区级业务主管部门下达项目及资金计划文件时间间隔≤30日（3分）。</w:t>
            </w:r>
          </w:p>
        </w:tc>
      </w:tr>
      <w:tr w14:paraId="27619C87">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E65FB1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1019" w:type="dxa"/>
            <w:vMerge w:val="restart"/>
            <w:tcBorders>
              <w:top w:val="nil"/>
              <w:left w:val="single" w:color="auto" w:sz="4" w:space="0"/>
              <w:bottom w:val="single" w:color="auto" w:sz="4" w:space="0"/>
              <w:right w:val="single" w:color="auto" w:sz="4" w:space="0"/>
            </w:tcBorders>
            <w:shd w:val="clear" w:color="auto" w:fill="auto"/>
            <w:vAlign w:val="center"/>
          </w:tcPr>
          <w:p w14:paraId="53E2E5F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项目管理（55分）</w:t>
            </w:r>
          </w:p>
        </w:tc>
        <w:tc>
          <w:tcPr>
            <w:tcW w:w="1047" w:type="dxa"/>
            <w:tcBorders>
              <w:top w:val="nil"/>
              <w:left w:val="nil"/>
              <w:bottom w:val="single" w:color="auto" w:sz="4" w:space="0"/>
              <w:right w:val="single" w:color="auto" w:sz="4" w:space="0"/>
            </w:tcBorders>
            <w:shd w:val="clear" w:color="auto" w:fill="auto"/>
            <w:vAlign w:val="center"/>
          </w:tcPr>
          <w:p w14:paraId="57A9D0C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25BC2AF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94" w:type="dxa"/>
            <w:tcBorders>
              <w:top w:val="nil"/>
              <w:left w:val="nil"/>
              <w:bottom w:val="nil"/>
              <w:right w:val="nil"/>
            </w:tcBorders>
            <w:shd w:val="clear" w:color="auto" w:fill="auto"/>
            <w:vAlign w:val="center"/>
          </w:tcPr>
          <w:p w14:paraId="230224C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评价落实《铜梁区巩固拓展脱贫攻坚成果和衔接乡村振兴项目库建设管理实施细则》（铜乡振〔2021〕7号）落实情况。根据抽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59" w:type="dxa"/>
            <w:tcBorders>
              <w:top w:val="nil"/>
              <w:left w:val="single" w:color="auto" w:sz="4" w:space="0"/>
              <w:bottom w:val="single" w:color="auto" w:sz="4" w:space="0"/>
              <w:right w:val="single" w:color="auto" w:sz="4" w:space="0"/>
            </w:tcBorders>
            <w:shd w:val="clear" w:color="auto" w:fill="auto"/>
            <w:vAlign w:val="center"/>
          </w:tcPr>
          <w:p w14:paraId="3AC5A993">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1.项目入库及时充分、程序规范、内容完整（3分）；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2.入库项目具备实施条件（2分）；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3.衔接资金用于项目库之外的项目（-5分）。</w:t>
            </w:r>
          </w:p>
        </w:tc>
      </w:tr>
      <w:tr w14:paraId="4425FB12">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E5FABA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4</w:t>
            </w:r>
          </w:p>
        </w:tc>
        <w:tc>
          <w:tcPr>
            <w:tcW w:w="1019" w:type="dxa"/>
            <w:vMerge w:val="continue"/>
            <w:tcBorders>
              <w:top w:val="nil"/>
              <w:left w:val="single" w:color="auto" w:sz="4" w:space="0"/>
              <w:bottom w:val="single" w:color="auto" w:sz="4" w:space="0"/>
              <w:right w:val="single" w:color="auto" w:sz="4" w:space="0"/>
            </w:tcBorders>
            <w:vAlign w:val="center"/>
          </w:tcPr>
          <w:p w14:paraId="17462F59">
            <w:pPr>
              <w:widowControl/>
              <w:jc w:val="left"/>
              <w:rPr>
                <w:rFonts w:ascii="方正仿宋_GBK" w:hAnsi="宋体" w:eastAsia="方正仿宋_GBK" w:cs="宋体"/>
                <w:kern w:val="0"/>
                <w:sz w:val="16"/>
                <w:szCs w:val="16"/>
              </w:rPr>
            </w:pPr>
          </w:p>
        </w:tc>
        <w:tc>
          <w:tcPr>
            <w:tcW w:w="1047" w:type="dxa"/>
            <w:tcBorders>
              <w:top w:val="nil"/>
              <w:left w:val="nil"/>
              <w:bottom w:val="single" w:color="auto" w:sz="4" w:space="0"/>
              <w:right w:val="single" w:color="auto" w:sz="4" w:space="0"/>
            </w:tcBorders>
            <w:shd w:val="clear" w:color="auto" w:fill="auto"/>
            <w:vAlign w:val="center"/>
          </w:tcPr>
          <w:p w14:paraId="5F2F142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141D8EC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94" w:type="dxa"/>
            <w:tcBorders>
              <w:top w:val="single" w:color="auto" w:sz="4" w:space="0"/>
              <w:left w:val="nil"/>
              <w:bottom w:val="single" w:color="auto" w:sz="4" w:space="0"/>
              <w:right w:val="single" w:color="auto" w:sz="4" w:space="0"/>
            </w:tcBorders>
            <w:shd w:val="clear" w:color="auto" w:fill="auto"/>
            <w:vAlign w:val="center"/>
          </w:tcPr>
          <w:p w14:paraId="0EAF9D53">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评价具体项目实施方案明确绩效目标情况、开展跟踪监督绩效监控情况、事后评价情况等。根据抽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59" w:type="dxa"/>
            <w:tcBorders>
              <w:top w:val="nil"/>
              <w:left w:val="nil"/>
              <w:bottom w:val="single" w:color="auto" w:sz="4" w:space="0"/>
              <w:right w:val="single" w:color="auto" w:sz="4" w:space="0"/>
            </w:tcBorders>
            <w:shd w:val="clear" w:color="auto" w:fill="auto"/>
            <w:vAlign w:val="center"/>
          </w:tcPr>
          <w:p w14:paraId="1586DD8A">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1.及时制定绩效目标、审核绩效目标（2分）；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2.开展绩效监控不少于1次（2分）；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3.对绩效目标偏离项目采取纠偏措施（2分）；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4.项目实施完毕后立即开展绩效自评，并形成绩效自评报告及绩效自评表。（2分）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5.项目绩效是否达到预期。（2分）</w:t>
            </w:r>
          </w:p>
        </w:tc>
      </w:tr>
      <w:tr w14:paraId="3D4E57C1">
        <w:tblPrEx>
          <w:tblCellMar>
            <w:top w:w="0" w:type="dxa"/>
            <w:left w:w="108" w:type="dxa"/>
            <w:bottom w:w="0" w:type="dxa"/>
            <w:right w:w="108" w:type="dxa"/>
          </w:tblCellMar>
        </w:tblPrEx>
        <w:trPr>
          <w:cantSplit/>
          <w:trHeight w:val="2425"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25E89A7B">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1019" w:type="dxa"/>
            <w:vMerge w:val="continue"/>
            <w:tcBorders>
              <w:top w:val="single" w:color="auto" w:sz="4" w:space="0"/>
              <w:left w:val="single" w:color="auto" w:sz="4" w:space="0"/>
              <w:bottom w:val="single" w:color="auto" w:sz="4" w:space="0"/>
              <w:right w:val="single" w:color="auto" w:sz="4" w:space="0"/>
            </w:tcBorders>
            <w:vAlign w:val="center"/>
          </w:tcPr>
          <w:p w14:paraId="665B245F">
            <w:pPr>
              <w:widowControl/>
              <w:jc w:val="left"/>
              <w:rPr>
                <w:rFonts w:ascii="方正仿宋_GBK" w:hAnsi="宋体" w:eastAsia="方正仿宋_GBK" w:cs="宋体"/>
                <w:kern w:val="0"/>
                <w:sz w:val="16"/>
                <w:szCs w:val="16"/>
              </w:rPr>
            </w:pPr>
          </w:p>
        </w:tc>
        <w:tc>
          <w:tcPr>
            <w:tcW w:w="1047" w:type="dxa"/>
            <w:tcBorders>
              <w:top w:val="single" w:color="auto" w:sz="4" w:space="0"/>
              <w:left w:val="nil"/>
              <w:bottom w:val="single" w:color="auto" w:sz="4" w:space="0"/>
              <w:right w:val="single" w:color="auto" w:sz="4" w:space="0"/>
            </w:tcBorders>
            <w:shd w:val="clear" w:color="auto" w:fill="auto"/>
            <w:vAlign w:val="center"/>
          </w:tcPr>
          <w:p w14:paraId="4AEF6CA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项目建设管理情况</w:t>
            </w:r>
          </w:p>
        </w:tc>
        <w:tc>
          <w:tcPr>
            <w:tcW w:w="536" w:type="dxa"/>
            <w:tcBorders>
              <w:top w:val="single" w:color="auto" w:sz="4" w:space="0"/>
              <w:left w:val="nil"/>
              <w:bottom w:val="single" w:color="auto" w:sz="4" w:space="0"/>
              <w:right w:val="single" w:color="auto" w:sz="4" w:space="0"/>
            </w:tcBorders>
            <w:shd w:val="clear" w:color="auto" w:fill="auto"/>
            <w:vAlign w:val="center"/>
          </w:tcPr>
          <w:p w14:paraId="548E688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2794" w:type="dxa"/>
            <w:tcBorders>
              <w:top w:val="single" w:color="auto" w:sz="4" w:space="0"/>
              <w:left w:val="nil"/>
              <w:bottom w:val="single" w:color="auto" w:sz="4" w:space="0"/>
              <w:right w:val="single" w:color="auto" w:sz="4" w:space="0"/>
            </w:tcBorders>
            <w:shd w:val="clear" w:color="auto" w:fill="auto"/>
            <w:vAlign w:val="center"/>
          </w:tcPr>
          <w:p w14:paraId="141271BD">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评价有序推进项目前期工作、组织实施、项目验收、资料报送等情况。根据抽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59" w:type="dxa"/>
            <w:tcBorders>
              <w:top w:val="single" w:color="auto" w:sz="4" w:space="0"/>
              <w:left w:val="nil"/>
              <w:bottom w:val="single" w:color="auto" w:sz="4" w:space="0"/>
              <w:right w:val="single" w:color="auto" w:sz="4" w:space="0"/>
            </w:tcBorders>
            <w:shd w:val="clear" w:color="auto" w:fill="auto"/>
            <w:vAlign w:val="center"/>
          </w:tcPr>
          <w:p w14:paraId="63F4D8B5">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1.项目实施方法存在变更是否按规定报批；（1分）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2.是否定期对项目实施情况进行监督检查，对检查中发现的问题进行整改；（2分）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3.是否按照项目实施节点按时提交项目报账资料；（1分）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4.日常管理资料是否及时归档整理；（1分）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5.项目完工后是否在规定时间内进行验收。（1分）</w:t>
            </w:r>
          </w:p>
        </w:tc>
      </w:tr>
      <w:tr w14:paraId="6261D509">
        <w:tblPrEx>
          <w:tblCellMar>
            <w:top w:w="0" w:type="dxa"/>
            <w:left w:w="108" w:type="dxa"/>
            <w:bottom w:w="0" w:type="dxa"/>
            <w:right w:w="108" w:type="dxa"/>
          </w:tblCellMar>
        </w:tblPrEx>
        <w:trPr>
          <w:cantSplit/>
          <w:trHeight w:val="405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6998ECF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1019" w:type="dxa"/>
            <w:vMerge w:val="continue"/>
            <w:tcBorders>
              <w:top w:val="single" w:color="auto" w:sz="4" w:space="0"/>
              <w:left w:val="single" w:color="auto" w:sz="4" w:space="0"/>
              <w:bottom w:val="single" w:color="auto" w:sz="4" w:space="0"/>
              <w:right w:val="single" w:color="auto" w:sz="4" w:space="0"/>
            </w:tcBorders>
            <w:vAlign w:val="center"/>
          </w:tcPr>
          <w:p w14:paraId="2531A3E4">
            <w:pPr>
              <w:widowControl/>
              <w:jc w:val="left"/>
              <w:rPr>
                <w:rFonts w:ascii="方正仿宋_GBK" w:hAnsi="宋体" w:eastAsia="方正仿宋_GBK" w:cs="宋体"/>
                <w:kern w:val="0"/>
                <w:sz w:val="16"/>
                <w:szCs w:val="16"/>
              </w:rPr>
            </w:pPr>
          </w:p>
        </w:tc>
        <w:tc>
          <w:tcPr>
            <w:tcW w:w="1047" w:type="dxa"/>
            <w:tcBorders>
              <w:top w:val="single" w:color="auto" w:sz="4" w:space="0"/>
              <w:left w:val="nil"/>
              <w:bottom w:val="single" w:color="auto" w:sz="4" w:space="0"/>
              <w:right w:val="single" w:color="auto" w:sz="4" w:space="0"/>
            </w:tcBorders>
            <w:shd w:val="clear" w:color="auto" w:fill="auto"/>
            <w:vAlign w:val="center"/>
          </w:tcPr>
          <w:p w14:paraId="04F5C2F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预算执行率情况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597A65D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2794" w:type="dxa"/>
            <w:tcBorders>
              <w:top w:val="single" w:color="auto" w:sz="4" w:space="0"/>
              <w:left w:val="nil"/>
              <w:bottom w:val="single" w:color="auto" w:sz="4" w:space="0"/>
              <w:right w:val="single" w:color="auto" w:sz="4" w:space="0"/>
            </w:tcBorders>
            <w:shd w:val="clear" w:color="auto" w:fill="auto"/>
            <w:vAlign w:val="center"/>
          </w:tcPr>
          <w:p w14:paraId="267AB61F">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评价有序推进项目工作和资金支付情况。根据抽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59" w:type="dxa"/>
            <w:tcBorders>
              <w:top w:val="single" w:color="auto" w:sz="4" w:space="0"/>
              <w:left w:val="nil"/>
              <w:bottom w:val="single" w:color="auto" w:sz="4" w:space="0"/>
              <w:right w:val="single" w:color="auto" w:sz="4" w:space="0"/>
            </w:tcBorders>
            <w:shd w:val="clear" w:color="auto" w:fill="auto"/>
            <w:vAlign w:val="center"/>
          </w:tcPr>
          <w:p w14:paraId="37F9D983">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1.主要通过支出进度评价有序推进项目工作和资金支付情况，于7月末、10月中旬定期调度。</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1.7月末支出进度评分4分。资金支出进度达到全区平均进度或者序时进度的，得满分；未达到的按照与序时进度的比例扣分；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2.10月中旬支出进度评分4分。资金支出进度达到全区平均进度或者序时进度的，得满分；未达到的按照与序时进度的比例扣分；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502A89C7">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9CF0E1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7</w:t>
            </w:r>
          </w:p>
        </w:tc>
        <w:tc>
          <w:tcPr>
            <w:tcW w:w="1019" w:type="dxa"/>
            <w:vMerge w:val="continue"/>
            <w:tcBorders>
              <w:top w:val="nil"/>
              <w:left w:val="single" w:color="auto" w:sz="4" w:space="0"/>
              <w:bottom w:val="single" w:color="auto" w:sz="4" w:space="0"/>
              <w:right w:val="single" w:color="auto" w:sz="4" w:space="0"/>
            </w:tcBorders>
            <w:vAlign w:val="center"/>
          </w:tcPr>
          <w:p w14:paraId="38AE0472">
            <w:pPr>
              <w:widowControl/>
              <w:jc w:val="left"/>
              <w:rPr>
                <w:rFonts w:ascii="方正仿宋_GBK" w:hAnsi="宋体" w:eastAsia="方正仿宋_GBK" w:cs="宋体"/>
                <w:kern w:val="0"/>
                <w:sz w:val="16"/>
                <w:szCs w:val="16"/>
              </w:rPr>
            </w:pPr>
          </w:p>
        </w:tc>
        <w:tc>
          <w:tcPr>
            <w:tcW w:w="1047" w:type="dxa"/>
            <w:tcBorders>
              <w:top w:val="nil"/>
              <w:left w:val="nil"/>
              <w:bottom w:val="single" w:color="auto" w:sz="4" w:space="0"/>
              <w:right w:val="single" w:color="auto" w:sz="4" w:space="0"/>
            </w:tcBorders>
            <w:shd w:val="clear" w:color="auto" w:fill="auto"/>
            <w:vAlign w:val="center"/>
          </w:tcPr>
          <w:p w14:paraId="5923DA9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2A8D149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2794" w:type="dxa"/>
            <w:tcBorders>
              <w:top w:val="nil"/>
              <w:left w:val="nil"/>
              <w:bottom w:val="single" w:color="auto" w:sz="4" w:space="0"/>
              <w:right w:val="single" w:color="auto" w:sz="4" w:space="0"/>
            </w:tcBorders>
            <w:shd w:val="clear" w:color="auto" w:fill="auto"/>
            <w:vAlign w:val="center"/>
          </w:tcPr>
          <w:p w14:paraId="43AF4B7D">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评价定期开展监督检查情况、发现问题整改情况。根据未处理问题比例扣减。根据抽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59" w:type="dxa"/>
            <w:tcBorders>
              <w:top w:val="nil"/>
              <w:left w:val="nil"/>
              <w:bottom w:val="single" w:color="auto" w:sz="4" w:space="0"/>
              <w:right w:val="single" w:color="auto" w:sz="4" w:space="0"/>
            </w:tcBorders>
            <w:shd w:val="clear" w:color="auto" w:fill="auto"/>
            <w:vAlign w:val="center"/>
          </w:tcPr>
          <w:p w14:paraId="04EE95C2">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1.定期开展项目实施和资金支出进度等跟踪督促情况，落实到位的得2分，未完全落实到位的酌情扣分；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2.跟踪督促及各类检查发现问题整改到位情况，满分5分，根据未整改问题比例扣减；</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3.全国12317防止返贫监测和乡村振兴咨询服务平台（简称12317平台）反馈问题处理情况，满分1分。</w:t>
            </w:r>
          </w:p>
        </w:tc>
      </w:tr>
      <w:tr w14:paraId="75DAF85A">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5F7FCD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1019" w:type="dxa"/>
            <w:vMerge w:val="continue"/>
            <w:tcBorders>
              <w:top w:val="nil"/>
              <w:left w:val="single" w:color="auto" w:sz="4" w:space="0"/>
              <w:bottom w:val="single" w:color="auto" w:sz="4" w:space="0"/>
              <w:right w:val="single" w:color="auto" w:sz="4" w:space="0"/>
            </w:tcBorders>
            <w:vAlign w:val="center"/>
          </w:tcPr>
          <w:p w14:paraId="152F2EB2">
            <w:pPr>
              <w:widowControl/>
              <w:jc w:val="left"/>
              <w:rPr>
                <w:rFonts w:ascii="方正仿宋_GBK" w:hAnsi="宋体" w:eastAsia="方正仿宋_GBK" w:cs="宋体"/>
                <w:kern w:val="0"/>
                <w:sz w:val="16"/>
                <w:szCs w:val="16"/>
              </w:rPr>
            </w:pPr>
          </w:p>
        </w:tc>
        <w:tc>
          <w:tcPr>
            <w:tcW w:w="1047" w:type="dxa"/>
            <w:tcBorders>
              <w:top w:val="nil"/>
              <w:left w:val="nil"/>
              <w:bottom w:val="single" w:color="auto" w:sz="4" w:space="0"/>
              <w:right w:val="single" w:color="auto" w:sz="4" w:space="0"/>
            </w:tcBorders>
            <w:shd w:val="clear" w:color="auto" w:fill="auto"/>
            <w:vAlign w:val="center"/>
          </w:tcPr>
          <w:p w14:paraId="46C28C1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2238A7F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94" w:type="dxa"/>
            <w:tcBorders>
              <w:top w:val="nil"/>
              <w:left w:val="nil"/>
              <w:bottom w:val="single" w:color="auto" w:sz="4" w:space="0"/>
              <w:right w:val="single" w:color="auto" w:sz="4" w:space="0"/>
            </w:tcBorders>
            <w:shd w:val="clear" w:color="auto" w:fill="auto"/>
            <w:vAlign w:val="center"/>
          </w:tcPr>
          <w:p w14:paraId="00F1099B">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评价账务处理，资产转固，收益管理、档案管理等情况。根据抽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59" w:type="dxa"/>
            <w:tcBorders>
              <w:top w:val="nil"/>
              <w:left w:val="nil"/>
              <w:bottom w:val="single" w:color="auto" w:sz="4" w:space="0"/>
              <w:right w:val="single" w:color="auto" w:sz="4" w:space="0"/>
            </w:tcBorders>
            <w:shd w:val="clear" w:color="auto" w:fill="auto"/>
            <w:vAlign w:val="center"/>
          </w:tcPr>
          <w:p w14:paraId="5E18963D">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1.财务处理是否规范，原始凭证是否齐全，建成资产是否及时转固、收益管理是否合规；（4分）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2.档案管理是否完整、合规、真实。（1分）</w:t>
            </w:r>
          </w:p>
        </w:tc>
      </w:tr>
      <w:tr w14:paraId="55942B77">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A7B50D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1019" w:type="dxa"/>
            <w:vMerge w:val="continue"/>
            <w:tcBorders>
              <w:top w:val="nil"/>
              <w:left w:val="single" w:color="auto" w:sz="4" w:space="0"/>
              <w:bottom w:val="single" w:color="auto" w:sz="4" w:space="0"/>
              <w:right w:val="single" w:color="auto" w:sz="4" w:space="0"/>
            </w:tcBorders>
            <w:vAlign w:val="center"/>
          </w:tcPr>
          <w:p w14:paraId="24EC72D2">
            <w:pPr>
              <w:widowControl/>
              <w:jc w:val="left"/>
              <w:rPr>
                <w:rFonts w:ascii="方正仿宋_GBK" w:hAnsi="宋体" w:eastAsia="方正仿宋_GBK" w:cs="宋体"/>
                <w:kern w:val="0"/>
                <w:sz w:val="16"/>
                <w:szCs w:val="16"/>
              </w:rPr>
            </w:pPr>
          </w:p>
        </w:tc>
        <w:tc>
          <w:tcPr>
            <w:tcW w:w="1047" w:type="dxa"/>
            <w:tcBorders>
              <w:top w:val="nil"/>
              <w:left w:val="nil"/>
              <w:bottom w:val="single" w:color="auto" w:sz="4" w:space="0"/>
              <w:right w:val="single" w:color="auto" w:sz="4" w:space="0"/>
            </w:tcBorders>
            <w:shd w:val="clear" w:color="auto" w:fill="auto"/>
            <w:vAlign w:val="center"/>
          </w:tcPr>
          <w:p w14:paraId="6C66830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7808CAD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2794" w:type="dxa"/>
            <w:tcBorders>
              <w:top w:val="nil"/>
              <w:left w:val="nil"/>
              <w:bottom w:val="single" w:color="auto" w:sz="4" w:space="0"/>
              <w:right w:val="single" w:color="auto" w:sz="4" w:space="0"/>
            </w:tcBorders>
            <w:shd w:val="clear" w:color="auto" w:fill="auto"/>
            <w:vAlign w:val="center"/>
          </w:tcPr>
          <w:p w14:paraId="1F80E668">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评价区级、镇级、村级落实《铜梁区财政衔接推进乡村振兴补助资金项目公告公示实施办法》（铜委农办〔2021〕19号）文件要求情况。根据抽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59" w:type="dxa"/>
            <w:tcBorders>
              <w:top w:val="nil"/>
              <w:left w:val="nil"/>
              <w:bottom w:val="single" w:color="auto" w:sz="4" w:space="0"/>
              <w:right w:val="single" w:color="auto" w:sz="4" w:space="0"/>
            </w:tcBorders>
            <w:shd w:val="clear" w:color="auto" w:fill="auto"/>
            <w:vAlign w:val="center"/>
          </w:tcPr>
          <w:p w14:paraId="060F2850">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分区级、镇级、村级进行评价。</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1.抽查区级公示公开情况，满分3分，未完整公开酌情扣分；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2.抽查镇级公示公开情况，满分3分，未完整公开酌情扣分；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3.抽查村级公示公开情况，满分3分，未完整公开酌情扣分。</w:t>
            </w:r>
          </w:p>
        </w:tc>
      </w:tr>
      <w:tr w14:paraId="0F3529FA">
        <w:tblPrEx>
          <w:tblCellMar>
            <w:top w:w="0" w:type="dxa"/>
            <w:left w:w="108" w:type="dxa"/>
            <w:bottom w:w="0" w:type="dxa"/>
            <w:right w:w="108" w:type="dxa"/>
          </w:tblCellMar>
        </w:tblPrEx>
        <w:trPr>
          <w:cantSplit/>
          <w:trHeight w:val="2981"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6170617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101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25352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使用成效及通报情况（40分）</w:t>
            </w:r>
          </w:p>
        </w:tc>
        <w:tc>
          <w:tcPr>
            <w:tcW w:w="1047" w:type="dxa"/>
            <w:tcBorders>
              <w:top w:val="single" w:color="auto" w:sz="4" w:space="0"/>
              <w:left w:val="nil"/>
              <w:bottom w:val="single" w:color="auto" w:sz="4" w:space="0"/>
              <w:right w:val="single" w:color="auto" w:sz="4" w:space="0"/>
            </w:tcBorders>
            <w:shd w:val="clear" w:color="auto" w:fill="auto"/>
            <w:vAlign w:val="center"/>
          </w:tcPr>
          <w:p w14:paraId="6CD0444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资金使用效益</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C5DA9E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35</w:t>
            </w:r>
          </w:p>
        </w:tc>
        <w:tc>
          <w:tcPr>
            <w:tcW w:w="2794" w:type="dxa"/>
            <w:tcBorders>
              <w:top w:val="single" w:color="auto" w:sz="4" w:space="0"/>
              <w:left w:val="nil"/>
              <w:bottom w:val="single" w:color="auto" w:sz="4" w:space="0"/>
              <w:right w:val="single" w:color="auto" w:sz="4" w:space="0"/>
            </w:tcBorders>
            <w:shd w:val="clear" w:color="auto" w:fill="auto"/>
            <w:vAlign w:val="center"/>
          </w:tcPr>
          <w:p w14:paraId="57C2FFF2">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评价项目是否达到预期成效，后续管护是否存在问题等。根据抽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59" w:type="dxa"/>
            <w:tcBorders>
              <w:top w:val="single" w:color="auto" w:sz="4" w:space="0"/>
              <w:left w:val="nil"/>
              <w:bottom w:val="single" w:color="auto" w:sz="4" w:space="0"/>
              <w:right w:val="single" w:color="auto" w:sz="4" w:space="0"/>
            </w:tcBorders>
            <w:shd w:val="clear" w:color="auto" w:fill="auto"/>
            <w:vAlign w:val="center"/>
          </w:tcPr>
          <w:p w14:paraId="5B197CE8">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满分35分，根据抽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项目情况赋分。项目管理各环节，每存在一例不符合相关规定的，扣0.5分，扣完为止。</w:t>
            </w:r>
          </w:p>
        </w:tc>
      </w:tr>
      <w:tr w14:paraId="417B0648">
        <w:tblPrEx>
          <w:tblCellMar>
            <w:top w:w="0" w:type="dxa"/>
            <w:left w:w="108" w:type="dxa"/>
            <w:bottom w:w="0" w:type="dxa"/>
            <w:right w:w="108" w:type="dxa"/>
          </w:tblCellMar>
        </w:tblPrEx>
        <w:trPr>
          <w:cantSplit/>
          <w:trHeight w:val="1076"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0EC0146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11</w:t>
            </w:r>
          </w:p>
        </w:tc>
        <w:tc>
          <w:tcPr>
            <w:tcW w:w="1019" w:type="dxa"/>
            <w:vMerge w:val="continue"/>
            <w:tcBorders>
              <w:top w:val="single" w:color="auto" w:sz="4" w:space="0"/>
              <w:left w:val="single" w:color="auto" w:sz="4" w:space="0"/>
              <w:bottom w:val="single" w:color="auto" w:sz="4" w:space="0"/>
              <w:right w:val="single" w:color="auto" w:sz="4" w:space="0"/>
            </w:tcBorders>
            <w:vAlign w:val="center"/>
          </w:tcPr>
          <w:p w14:paraId="2964E693">
            <w:pPr>
              <w:widowControl/>
              <w:jc w:val="left"/>
              <w:rPr>
                <w:rFonts w:ascii="方正仿宋_GBK" w:hAnsi="宋体" w:eastAsia="方正仿宋_GBK" w:cs="宋体"/>
                <w:kern w:val="0"/>
                <w:sz w:val="16"/>
                <w:szCs w:val="16"/>
              </w:rPr>
            </w:pPr>
          </w:p>
        </w:tc>
        <w:tc>
          <w:tcPr>
            <w:tcW w:w="1047" w:type="dxa"/>
            <w:tcBorders>
              <w:top w:val="single" w:color="auto" w:sz="4" w:space="0"/>
              <w:left w:val="nil"/>
              <w:bottom w:val="single" w:color="auto" w:sz="4" w:space="0"/>
              <w:right w:val="single" w:color="auto" w:sz="4" w:space="0"/>
            </w:tcBorders>
            <w:shd w:val="clear" w:color="auto" w:fill="auto"/>
            <w:vAlign w:val="center"/>
          </w:tcPr>
          <w:p w14:paraId="5E61183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通报情况</w:t>
            </w:r>
          </w:p>
        </w:tc>
        <w:tc>
          <w:tcPr>
            <w:tcW w:w="536" w:type="dxa"/>
            <w:tcBorders>
              <w:top w:val="single" w:color="auto" w:sz="4" w:space="0"/>
              <w:left w:val="nil"/>
              <w:bottom w:val="single" w:color="auto" w:sz="4" w:space="0"/>
              <w:right w:val="single" w:color="auto" w:sz="4" w:space="0"/>
            </w:tcBorders>
            <w:shd w:val="clear" w:color="auto" w:fill="auto"/>
            <w:vAlign w:val="center"/>
          </w:tcPr>
          <w:p w14:paraId="763091A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94" w:type="dxa"/>
            <w:tcBorders>
              <w:top w:val="single" w:color="auto" w:sz="4" w:space="0"/>
              <w:left w:val="nil"/>
              <w:bottom w:val="single" w:color="auto" w:sz="4" w:space="0"/>
              <w:right w:val="single" w:color="auto" w:sz="4" w:space="0"/>
            </w:tcBorders>
            <w:shd w:val="clear" w:color="auto" w:fill="auto"/>
            <w:vAlign w:val="center"/>
          </w:tcPr>
          <w:p w14:paraId="77936ADA">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评价日常表现情况。</w:t>
            </w:r>
          </w:p>
        </w:tc>
        <w:tc>
          <w:tcPr>
            <w:tcW w:w="3559" w:type="dxa"/>
            <w:tcBorders>
              <w:top w:val="single" w:color="auto" w:sz="4" w:space="0"/>
              <w:left w:val="nil"/>
              <w:bottom w:val="single" w:color="auto" w:sz="4" w:space="0"/>
              <w:right w:val="single" w:color="auto" w:sz="4" w:space="0"/>
            </w:tcBorders>
            <w:shd w:val="clear" w:color="auto" w:fill="auto"/>
            <w:vAlign w:val="center"/>
          </w:tcPr>
          <w:p w14:paraId="13C13662">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472CCABE">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115998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1019" w:type="dxa"/>
            <w:vMerge w:val="restart"/>
            <w:tcBorders>
              <w:top w:val="nil"/>
              <w:left w:val="single" w:color="auto" w:sz="4" w:space="0"/>
              <w:bottom w:val="single" w:color="000000" w:sz="4" w:space="0"/>
              <w:right w:val="single" w:color="auto" w:sz="4" w:space="0"/>
            </w:tcBorders>
            <w:shd w:val="clear" w:color="auto" w:fill="auto"/>
            <w:vAlign w:val="center"/>
          </w:tcPr>
          <w:p w14:paraId="0AD122D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加减分指标</w:t>
            </w:r>
          </w:p>
        </w:tc>
        <w:tc>
          <w:tcPr>
            <w:tcW w:w="1047" w:type="dxa"/>
            <w:tcBorders>
              <w:top w:val="nil"/>
              <w:left w:val="nil"/>
              <w:bottom w:val="single" w:color="auto" w:sz="4" w:space="0"/>
              <w:right w:val="single" w:color="auto" w:sz="4" w:space="0"/>
            </w:tcBorders>
            <w:shd w:val="clear" w:color="auto" w:fill="auto"/>
            <w:vAlign w:val="center"/>
          </w:tcPr>
          <w:p w14:paraId="7C2FEFBB">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5A456F2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94" w:type="dxa"/>
            <w:tcBorders>
              <w:top w:val="nil"/>
              <w:left w:val="nil"/>
              <w:bottom w:val="single" w:color="auto" w:sz="4" w:space="0"/>
              <w:right w:val="single" w:color="auto" w:sz="4" w:space="0"/>
            </w:tcBorders>
            <w:shd w:val="clear" w:color="auto" w:fill="auto"/>
            <w:vAlign w:val="center"/>
          </w:tcPr>
          <w:p w14:paraId="0EFD36A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评价机制创新情况。最高加5分。</w:t>
            </w:r>
          </w:p>
        </w:tc>
        <w:tc>
          <w:tcPr>
            <w:tcW w:w="3559" w:type="dxa"/>
            <w:tcBorders>
              <w:top w:val="nil"/>
              <w:left w:val="nil"/>
              <w:bottom w:val="single" w:color="auto" w:sz="4" w:space="0"/>
              <w:right w:val="single" w:color="auto" w:sz="4" w:space="0"/>
            </w:tcBorders>
            <w:shd w:val="clear" w:color="auto" w:fill="auto"/>
            <w:vAlign w:val="center"/>
          </w:tcPr>
          <w:p w14:paraId="6907A349">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1.在财政衔接资金分配、使用、监管等方面存在机制创新；（2分）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2.国家、市级对我区财政衔接资金绩效评价中，被财政部、国家乡村振兴局及其第三方总结经验做法，并调研推广的。（3分）</w:t>
            </w:r>
          </w:p>
        </w:tc>
      </w:tr>
      <w:tr w14:paraId="7E2D460E">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06AEDB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13</w:t>
            </w:r>
          </w:p>
        </w:tc>
        <w:tc>
          <w:tcPr>
            <w:tcW w:w="1019" w:type="dxa"/>
            <w:vMerge w:val="continue"/>
            <w:tcBorders>
              <w:top w:val="nil"/>
              <w:left w:val="single" w:color="auto" w:sz="4" w:space="0"/>
              <w:bottom w:val="single" w:color="000000" w:sz="4" w:space="0"/>
              <w:right w:val="single" w:color="auto" w:sz="4" w:space="0"/>
            </w:tcBorders>
            <w:vAlign w:val="center"/>
          </w:tcPr>
          <w:p w14:paraId="1E7CE481">
            <w:pPr>
              <w:widowControl/>
              <w:jc w:val="left"/>
              <w:rPr>
                <w:rFonts w:ascii="方正仿宋_GBK" w:hAnsi="宋体" w:eastAsia="方正仿宋_GBK" w:cs="宋体"/>
                <w:kern w:val="0"/>
                <w:sz w:val="16"/>
                <w:szCs w:val="16"/>
              </w:rPr>
            </w:pPr>
          </w:p>
        </w:tc>
        <w:tc>
          <w:tcPr>
            <w:tcW w:w="1047" w:type="dxa"/>
            <w:tcBorders>
              <w:top w:val="nil"/>
              <w:left w:val="nil"/>
              <w:bottom w:val="single" w:color="auto" w:sz="4" w:space="0"/>
              <w:right w:val="single" w:color="auto" w:sz="4" w:space="0"/>
            </w:tcBorders>
            <w:shd w:val="clear" w:color="auto" w:fill="auto"/>
            <w:vAlign w:val="center"/>
          </w:tcPr>
          <w:p w14:paraId="74F1E6D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25B65BF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94" w:type="dxa"/>
            <w:tcBorders>
              <w:top w:val="nil"/>
              <w:left w:val="nil"/>
              <w:bottom w:val="single" w:color="auto" w:sz="4" w:space="0"/>
              <w:right w:val="single" w:color="auto" w:sz="4" w:space="0"/>
            </w:tcBorders>
            <w:shd w:val="clear" w:color="auto" w:fill="auto"/>
            <w:vAlign w:val="center"/>
          </w:tcPr>
          <w:p w14:paraId="0AB68FC1">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反映提供材料的真实性，有效性以及相关工作合法合规情况。（用于负面清单事项）</w:t>
            </w:r>
          </w:p>
        </w:tc>
        <w:tc>
          <w:tcPr>
            <w:tcW w:w="3559" w:type="dxa"/>
            <w:tcBorders>
              <w:top w:val="nil"/>
              <w:left w:val="nil"/>
              <w:bottom w:val="single" w:color="auto" w:sz="4" w:space="0"/>
              <w:right w:val="single" w:color="auto" w:sz="4" w:space="0"/>
            </w:tcBorders>
            <w:shd w:val="clear" w:color="auto" w:fill="auto"/>
            <w:vAlign w:val="center"/>
          </w:tcPr>
          <w:p w14:paraId="783F89BF">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考核材料、数据中存在虚假信息的，或经有关部门监督检查发现问题的，视情节严重程度扣1-10分。</w:t>
            </w:r>
          </w:p>
        </w:tc>
      </w:tr>
    </w:tbl>
    <w:p w14:paraId="3C0C3DE1">
      <w:pPr>
        <w:spacing w:before="120" w:beforeLines="50" w:line="360" w:lineRule="auto"/>
        <w:ind w:firstLine="482" w:firstLineChars="200"/>
        <w:jc w:val="left"/>
        <w:outlineLvl w:val="0"/>
        <w:rPr>
          <w:rFonts w:ascii="Arial Narrow" w:hAnsi="Arial Narrow" w:eastAsia="仿宋_GB2312"/>
          <w:b/>
          <w:sz w:val="24"/>
        </w:rPr>
      </w:pPr>
      <w:bookmarkStart w:id="26" w:name="_Toc18692"/>
      <w:r>
        <w:rPr>
          <w:rFonts w:ascii="Arial Narrow" w:hAnsi="Arial Narrow" w:eastAsia="仿宋_GB2312"/>
          <w:b/>
          <w:sz w:val="24"/>
        </w:rPr>
        <w:t>（五）绩效评价标准和评价方法</w:t>
      </w:r>
      <w:bookmarkEnd w:id="26"/>
    </w:p>
    <w:p w14:paraId="52DCDEF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46167F6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6F49F21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27" w:name="_Hlk162596803"/>
      <w:r>
        <w:rPr>
          <w:rFonts w:ascii="Arial Narrow" w:hAnsi="Arial Narrow" w:eastAsia="仿宋_GB2312"/>
          <w:color w:val="auto"/>
        </w:rPr>
        <w:t>≥90</w:t>
      </w:r>
      <w:bookmarkEnd w:id="27"/>
      <w:r>
        <w:rPr>
          <w:rFonts w:ascii="Arial Narrow" w:hAnsi="Arial Narrow" w:eastAsia="仿宋_GB2312"/>
          <w:color w:val="auto"/>
        </w:rPr>
        <w:t>）、良</w:t>
      </w:r>
      <w:bookmarkStart w:id="28" w:name="_Hlk168473502"/>
      <w:r>
        <w:rPr>
          <w:rFonts w:ascii="Arial Narrow" w:hAnsi="Arial Narrow" w:eastAsia="仿宋_GB2312"/>
          <w:color w:val="auto"/>
        </w:rPr>
        <w:t>（90＞得分≥80）</w:t>
      </w:r>
      <w:bookmarkEnd w:id="28"/>
      <w:r>
        <w:rPr>
          <w:rFonts w:ascii="Arial Narrow" w:hAnsi="Arial Narrow" w:eastAsia="仿宋_GB2312"/>
          <w:color w:val="auto"/>
        </w:rPr>
        <w:t>、中（80＞得分≥60）、差（得分＜60）四个等级，按百分制综合得分高低按分值划段确定。</w:t>
      </w:r>
    </w:p>
    <w:p w14:paraId="2AD9CB5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2776651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3F52751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52BE689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2B705DB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3D1325B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0217C91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174183AD">
      <w:pPr>
        <w:spacing w:line="360" w:lineRule="auto"/>
        <w:ind w:firstLine="482" w:firstLineChars="200"/>
        <w:jc w:val="left"/>
        <w:outlineLvl w:val="0"/>
        <w:rPr>
          <w:rFonts w:ascii="Arial Narrow" w:hAnsi="Arial Narrow" w:eastAsia="仿宋_GB2312"/>
          <w:b/>
          <w:sz w:val="24"/>
        </w:rPr>
      </w:pPr>
      <w:bookmarkStart w:id="29" w:name="_Toc437528932"/>
      <w:bookmarkStart w:id="30" w:name="_Toc1449"/>
      <w:r>
        <w:rPr>
          <w:rFonts w:ascii="Arial Narrow" w:hAnsi="Arial Narrow" w:eastAsia="仿宋_GB2312"/>
          <w:b/>
          <w:sz w:val="24"/>
        </w:rPr>
        <w:t>（六）绩效评价</w:t>
      </w:r>
      <w:bookmarkEnd w:id="29"/>
      <w:r>
        <w:rPr>
          <w:rFonts w:ascii="Arial Narrow" w:hAnsi="Arial Narrow" w:eastAsia="仿宋_GB2312"/>
          <w:b/>
          <w:sz w:val="24"/>
        </w:rPr>
        <w:t>工作过程</w:t>
      </w:r>
      <w:bookmarkEnd w:id="30"/>
    </w:p>
    <w:p w14:paraId="0563296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3EBA3DB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53D0A4D9">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5840B3E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5875F2FA">
      <w:pPr>
        <w:spacing w:line="360" w:lineRule="auto"/>
        <w:ind w:firstLine="482" w:firstLineChars="200"/>
        <w:jc w:val="left"/>
        <w:outlineLvl w:val="0"/>
        <w:rPr>
          <w:rFonts w:ascii="Arial Narrow" w:hAnsi="Arial Narrow" w:eastAsia="仿宋_GB2312"/>
          <w:b/>
          <w:sz w:val="24"/>
        </w:rPr>
      </w:pPr>
      <w:bookmarkStart w:id="31" w:name="_Toc437528933"/>
      <w:bookmarkStart w:id="32" w:name="_Toc31981"/>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31"/>
      <w:r>
        <w:rPr>
          <w:rFonts w:ascii="Arial Narrow" w:hAnsi="Arial Narrow" w:eastAsia="仿宋_GB2312"/>
          <w:b/>
          <w:sz w:val="24"/>
        </w:rPr>
        <w:t>结论</w:t>
      </w:r>
      <w:bookmarkEnd w:id="32"/>
    </w:p>
    <w:p w14:paraId="062BDB66">
      <w:pPr>
        <w:spacing w:line="360" w:lineRule="auto"/>
        <w:ind w:left="420" w:leftChars="200"/>
        <w:jc w:val="left"/>
        <w:rPr>
          <w:rFonts w:hint="eastAsia" w:ascii="Arial Narrow" w:hAnsi="Arial Narrow" w:eastAsia="仿宋_GB2312" w:cs="宋体"/>
          <w:kern w:val="0"/>
          <w:sz w:val="24"/>
          <w:lang w:val="en-US" w:eastAsia="zh-CN"/>
        </w:rPr>
      </w:pPr>
      <w:bookmarkStart w:id="33" w:name="OLE_LINK13"/>
      <w:r>
        <w:rPr>
          <w:rFonts w:hint="eastAsia" w:ascii="Arial Narrow" w:hAnsi="Arial Narrow" w:eastAsia="仿宋_GB2312" w:cs="宋体"/>
          <w:kern w:val="0"/>
          <w:sz w:val="24"/>
          <w:highlight w:val="none"/>
          <w:lang w:val="en-US" w:eastAsia="zh-CN"/>
        </w:rPr>
        <w:t>水稻育秧工厂化建设项目</w:t>
      </w:r>
      <w:bookmarkEnd w:id="33"/>
      <w:r>
        <w:rPr>
          <w:rFonts w:ascii="Arial Narrow" w:hAnsi="Arial Narrow" w:eastAsia="仿宋_GB2312" w:cs="宋体"/>
          <w:kern w:val="0"/>
          <w:sz w:val="24"/>
        </w:rPr>
        <w:t>绩效评价得分</w:t>
      </w:r>
      <w:r>
        <w:rPr>
          <w:rFonts w:hint="eastAsia" w:ascii="Arial Narrow" w:hAnsi="Arial Narrow" w:eastAsia="仿宋_GB2312" w:cs="宋体"/>
          <w:kern w:val="0"/>
          <w:sz w:val="24"/>
          <w:lang w:val="en-US" w:eastAsia="zh-CN"/>
        </w:rPr>
        <w:t>99.00</w:t>
      </w:r>
      <w:r>
        <w:rPr>
          <w:rFonts w:ascii="Arial Narrow" w:hAnsi="Arial Narrow" w:eastAsia="仿宋_GB2312" w:cs="宋体"/>
          <w:kern w:val="0"/>
          <w:sz w:val="24"/>
        </w:rPr>
        <w:t>分，</w:t>
      </w:r>
      <w:bookmarkStart w:id="34" w:name="OLE_LINK8"/>
      <w:r>
        <w:rPr>
          <w:rFonts w:ascii="Arial Narrow" w:hAnsi="Arial Narrow" w:eastAsia="仿宋_GB2312" w:cs="宋体"/>
          <w:kern w:val="0"/>
          <w:sz w:val="24"/>
        </w:rPr>
        <w:t>绩效评价等级为：</w:t>
      </w:r>
      <w:r>
        <w:rPr>
          <w:rFonts w:hint="eastAsia" w:ascii="Arial Narrow" w:hAnsi="Arial Narrow" w:eastAsia="仿宋_GB2312" w:cs="宋体"/>
          <w:kern w:val="0"/>
          <w:sz w:val="24"/>
          <w:lang w:val="en-US" w:eastAsia="zh-CN"/>
        </w:rPr>
        <w:t>优。</w:t>
      </w:r>
      <w:bookmarkEnd w:id="34"/>
    </w:p>
    <w:p w14:paraId="160B9652">
      <w:pPr>
        <w:spacing w:line="360" w:lineRule="auto"/>
        <w:ind w:left="420" w:leftChars="200"/>
        <w:jc w:val="left"/>
        <w:rPr>
          <w:rFonts w:hint="default" w:ascii="Arial Narrow" w:hAnsi="Arial Narrow" w:eastAsia="仿宋_GB2312" w:cs="宋体"/>
          <w:kern w:val="0"/>
          <w:sz w:val="24"/>
          <w:highlight w:val="none"/>
          <w:lang w:val="en-US" w:eastAsia="zh-CN"/>
        </w:rPr>
      </w:pPr>
      <w:bookmarkStart w:id="35" w:name="OLE_LINK9"/>
      <w:r>
        <w:rPr>
          <w:rFonts w:hint="eastAsia" w:ascii="Arial Narrow" w:hAnsi="Arial Narrow" w:eastAsia="仿宋_GB2312" w:cs="宋体"/>
          <w:kern w:val="0"/>
          <w:sz w:val="24"/>
          <w:highlight w:val="none"/>
          <w:lang w:val="en-US" w:eastAsia="zh-CN"/>
        </w:rPr>
        <w:t>连栋温室育秧大棚建设项目</w:t>
      </w:r>
      <w:bookmarkEnd w:id="35"/>
      <w:r>
        <w:rPr>
          <w:rFonts w:hint="eastAsia" w:ascii="Arial Narrow" w:hAnsi="Arial Narrow" w:eastAsia="仿宋_GB2312" w:cs="宋体"/>
          <w:kern w:val="0"/>
          <w:sz w:val="24"/>
          <w:highlight w:val="none"/>
          <w:lang w:val="en-US" w:eastAsia="zh-CN"/>
        </w:rPr>
        <w:t>绩效评价得分97.00分，</w:t>
      </w:r>
      <w:r>
        <w:rPr>
          <w:rFonts w:ascii="Arial Narrow" w:hAnsi="Arial Narrow" w:eastAsia="仿宋_GB2312" w:cs="宋体"/>
          <w:kern w:val="0"/>
          <w:sz w:val="24"/>
        </w:rPr>
        <w:t>绩效评价等级为：</w:t>
      </w:r>
      <w:r>
        <w:rPr>
          <w:rFonts w:hint="eastAsia" w:ascii="Arial Narrow" w:hAnsi="Arial Narrow" w:eastAsia="仿宋_GB2312" w:cs="宋体"/>
          <w:kern w:val="0"/>
          <w:sz w:val="24"/>
          <w:lang w:val="en-US" w:eastAsia="zh-CN"/>
        </w:rPr>
        <w:t>优。</w:t>
      </w:r>
    </w:p>
    <w:p w14:paraId="1AFC2FFB">
      <w:pPr>
        <w:spacing w:line="360" w:lineRule="auto"/>
        <w:ind w:firstLine="482" w:firstLineChars="200"/>
        <w:outlineLvl w:val="0"/>
        <w:rPr>
          <w:rFonts w:ascii="Arial Narrow" w:hAnsi="Arial Narrow" w:eastAsia="仿宋_GB2312"/>
          <w:b/>
          <w:sz w:val="24"/>
        </w:rPr>
      </w:pPr>
      <w:bookmarkStart w:id="36" w:name="_Toc13750"/>
      <w:r>
        <w:rPr>
          <w:rFonts w:hint="eastAsia" w:ascii="Arial Narrow" w:hAnsi="Arial Narrow" w:eastAsia="仿宋_GB2312"/>
          <w:b/>
          <w:sz w:val="24"/>
        </w:rPr>
        <w:t>四、</w:t>
      </w:r>
      <w:r>
        <w:rPr>
          <w:rFonts w:ascii="Arial Narrow" w:hAnsi="Arial Narrow" w:eastAsia="仿宋_GB2312"/>
          <w:b/>
          <w:sz w:val="24"/>
        </w:rPr>
        <w:t>综合评价情况</w:t>
      </w:r>
      <w:bookmarkEnd w:id="36"/>
    </w:p>
    <w:p w14:paraId="4AB0827F">
      <w:pPr>
        <w:spacing w:line="360" w:lineRule="auto"/>
        <w:ind w:firstLine="482" w:firstLineChars="200"/>
        <w:jc w:val="left"/>
        <w:outlineLvl w:val="0"/>
        <w:rPr>
          <w:rFonts w:ascii="仿宋_GB2312" w:eastAsia="仿宋_GB2312"/>
          <w:b/>
          <w:sz w:val="24"/>
        </w:rPr>
      </w:pPr>
      <w:bookmarkStart w:id="37" w:name="_Toc32014"/>
      <w:r>
        <w:rPr>
          <w:rFonts w:hint="eastAsia" w:ascii="仿宋_GB2312" w:eastAsia="仿宋_GB2312"/>
          <w:b/>
          <w:sz w:val="24"/>
        </w:rPr>
        <w:t>（一）资金管理</w:t>
      </w:r>
      <w:bookmarkEnd w:id="37"/>
    </w:p>
    <w:p w14:paraId="6D40CCB1">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48514249">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渝财农〔2022〕146</w:t>
      </w:r>
      <w:r>
        <w:rPr>
          <w:rFonts w:hint="eastAsia" w:ascii="Arial Narrow" w:hAnsi="Arial Narrow" w:eastAsia="仿宋_GB2312"/>
          <w:sz w:val="24"/>
          <w:lang w:eastAsia="zh-CN"/>
        </w:rPr>
        <w:t>）</w:t>
      </w:r>
      <w:r>
        <w:rPr>
          <w:rFonts w:hint="eastAsia" w:ascii="Arial Narrow" w:hAnsi="Arial Narrow" w:eastAsia="仿宋_GB2312"/>
          <w:sz w:val="24"/>
        </w:rPr>
        <w:t>、《重庆市铜梁区财政局关于提前下达2023年中央财政衔接推进乡村振兴补助资金预算的通知》（铜财〔2022〕550号）、《重庆市铜梁区财政局关于下达2023年区级财政衔接推进乡村振兴补助资金预算的通知》</w:t>
      </w:r>
      <w:r>
        <w:rPr>
          <w:rFonts w:hint="eastAsia" w:ascii="Arial Narrow" w:hAnsi="Arial Narrow" w:eastAsia="仿宋_GB2312"/>
          <w:sz w:val="24"/>
          <w:lang w:eastAsia="zh-CN"/>
        </w:rPr>
        <w:t>（</w:t>
      </w:r>
      <w:r>
        <w:rPr>
          <w:rFonts w:hint="eastAsia" w:ascii="Arial Narrow" w:hAnsi="Arial Narrow" w:eastAsia="仿宋_GB2312"/>
          <w:sz w:val="24"/>
        </w:rPr>
        <w:t>铜财〔2023〕46号</w:t>
      </w:r>
      <w:r>
        <w:rPr>
          <w:rFonts w:hint="eastAsia" w:ascii="Arial Narrow" w:hAnsi="Arial Narrow" w:eastAsia="仿宋_GB2312"/>
          <w:sz w:val="24"/>
          <w:lang w:eastAsia="zh-CN"/>
        </w:rPr>
        <w:t>）</w:t>
      </w:r>
      <w:r>
        <w:rPr>
          <w:rFonts w:hint="eastAsia" w:ascii="Arial Narrow" w:hAnsi="Arial Narrow" w:eastAsia="仿宋_GB2312"/>
          <w:sz w:val="24"/>
        </w:rPr>
        <w:t>等相关政策性文件规定落实衔接资金。</w:t>
      </w:r>
    </w:p>
    <w:p w14:paraId="0B7B018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75F2FDD7">
      <w:pPr>
        <w:adjustRightInd w:val="0"/>
        <w:snapToGrid w:val="0"/>
        <w:spacing w:line="360" w:lineRule="auto"/>
        <w:ind w:firstLine="480" w:firstLineChars="200"/>
        <w:rPr>
          <w:rFonts w:hint="eastAsia" w:ascii="Arial Narrow" w:hAnsi="Arial Narrow" w:eastAsia="仿宋_GB2312"/>
          <w:sz w:val="24"/>
          <w:highlight w:val="yellow"/>
        </w:rPr>
      </w:pPr>
      <w:r>
        <w:rPr>
          <w:rFonts w:hint="eastAsia" w:ascii="Arial Narrow" w:hAnsi="Arial Narrow" w:eastAsia="仿宋_GB2312" w:cs="宋体"/>
          <w:kern w:val="0"/>
          <w:sz w:val="24"/>
          <w:highlight w:val="none"/>
          <w:lang w:val="en-US" w:eastAsia="zh-CN"/>
        </w:rPr>
        <w:t>水稻育秧工厂化建设项目</w:t>
      </w:r>
      <w:r>
        <w:rPr>
          <w:rFonts w:hint="eastAsia" w:ascii="Arial Narrow" w:hAnsi="Arial Narrow" w:eastAsia="仿宋_GB2312"/>
          <w:sz w:val="24"/>
          <w:highlight w:val="none"/>
        </w:rPr>
        <w:t>区财政局于20</w:t>
      </w:r>
      <w:r>
        <w:rPr>
          <w:rFonts w:hint="eastAsia" w:ascii="Arial Narrow" w:hAnsi="Arial Narrow" w:eastAsia="仿宋_GB2312"/>
          <w:sz w:val="24"/>
          <w:highlight w:val="none"/>
          <w:lang w:val="en-US" w:eastAsia="zh-CN"/>
        </w:rPr>
        <w:t>23</w:t>
      </w:r>
      <w:r>
        <w:rPr>
          <w:rFonts w:hint="eastAsia" w:ascii="Arial Narrow" w:hAnsi="Arial Narrow" w:eastAsia="仿宋_GB2312"/>
          <w:sz w:val="24"/>
          <w:highlight w:val="none"/>
        </w:rPr>
        <w:t>年</w:t>
      </w:r>
      <w:r>
        <w:rPr>
          <w:rFonts w:hint="eastAsia" w:ascii="Arial Narrow" w:hAnsi="Arial Narrow" w:eastAsia="仿宋_GB2312"/>
          <w:sz w:val="24"/>
          <w:highlight w:val="none"/>
          <w:lang w:val="en-US" w:eastAsia="zh-CN"/>
        </w:rPr>
        <w:t>5</w:t>
      </w:r>
      <w:r>
        <w:rPr>
          <w:rFonts w:hint="eastAsia" w:ascii="Arial Narrow" w:hAnsi="Arial Narrow" w:eastAsia="仿宋_GB2312"/>
          <w:sz w:val="24"/>
          <w:highlight w:val="none"/>
        </w:rPr>
        <w:t>月</w:t>
      </w:r>
      <w:r>
        <w:rPr>
          <w:rFonts w:hint="eastAsia" w:ascii="Arial Narrow" w:hAnsi="Arial Narrow" w:eastAsia="仿宋_GB2312"/>
          <w:sz w:val="24"/>
          <w:highlight w:val="none"/>
          <w:lang w:val="en-US" w:eastAsia="zh-CN"/>
        </w:rPr>
        <w:t>12</w:t>
      </w:r>
      <w:r>
        <w:rPr>
          <w:rFonts w:hint="eastAsia" w:ascii="Arial Narrow" w:hAnsi="Arial Narrow" w:eastAsia="仿宋_GB2312"/>
          <w:sz w:val="24"/>
          <w:highlight w:val="none"/>
        </w:rPr>
        <w:t>日发布《关于下达2023年中央财政衔接推进乡村振兴补助资金预算的通知》</w:t>
      </w:r>
      <w:r>
        <w:rPr>
          <w:rFonts w:hint="eastAsia" w:ascii="Arial Narrow" w:hAnsi="Arial Narrow" w:eastAsia="仿宋_GB2312"/>
          <w:sz w:val="24"/>
          <w:highlight w:val="none"/>
          <w:lang w:eastAsia="zh-CN"/>
        </w:rPr>
        <w:t>（</w:t>
      </w:r>
      <w:r>
        <w:rPr>
          <w:rFonts w:hint="eastAsia" w:ascii="Arial Narrow" w:hAnsi="Arial Narrow" w:eastAsia="仿宋_GB2312"/>
          <w:sz w:val="24"/>
          <w:highlight w:val="none"/>
        </w:rPr>
        <w:t>铜</w:t>
      </w:r>
      <w:r>
        <w:rPr>
          <w:rFonts w:hint="eastAsia" w:ascii="Arial Narrow" w:hAnsi="Arial Narrow" w:eastAsia="仿宋_GB2312"/>
          <w:sz w:val="24"/>
          <w:highlight w:val="none"/>
          <w:lang w:val="en-US" w:eastAsia="zh-CN"/>
        </w:rPr>
        <w:t>财</w:t>
      </w:r>
      <w:r>
        <w:rPr>
          <w:rFonts w:hint="eastAsia" w:ascii="Arial Narrow" w:hAnsi="Arial Narrow" w:eastAsia="仿宋_GB2312"/>
          <w:sz w:val="24"/>
          <w:highlight w:val="none"/>
        </w:rPr>
        <w:t>〔2023〕</w:t>
      </w:r>
      <w:r>
        <w:rPr>
          <w:rFonts w:hint="eastAsia" w:ascii="Arial Narrow" w:hAnsi="Arial Narrow" w:eastAsia="仿宋_GB2312"/>
          <w:sz w:val="24"/>
          <w:highlight w:val="none"/>
          <w:lang w:val="en-US" w:eastAsia="zh-CN"/>
        </w:rPr>
        <w:t>126</w:t>
      </w:r>
      <w:r>
        <w:rPr>
          <w:rFonts w:hint="eastAsia" w:ascii="Arial Narrow" w:hAnsi="Arial Narrow" w:eastAsia="仿宋_GB2312"/>
          <w:sz w:val="24"/>
          <w:highlight w:val="none"/>
        </w:rPr>
        <w:t>号</w:t>
      </w:r>
      <w:r>
        <w:rPr>
          <w:rFonts w:hint="eastAsia" w:ascii="Arial Narrow" w:hAnsi="Arial Narrow" w:eastAsia="仿宋_GB2312"/>
          <w:sz w:val="24"/>
          <w:highlight w:val="none"/>
          <w:lang w:eastAsia="zh-CN"/>
        </w:rPr>
        <w:t>）</w:t>
      </w:r>
      <w:r>
        <w:rPr>
          <w:rFonts w:hint="eastAsia" w:ascii="Arial Narrow" w:hAnsi="Arial Narrow" w:eastAsia="仿宋_GB2312"/>
          <w:sz w:val="24"/>
          <w:highlight w:val="none"/>
        </w:rPr>
        <w:t>，业务主管部门于20</w:t>
      </w:r>
      <w:r>
        <w:rPr>
          <w:rFonts w:hint="eastAsia" w:ascii="Arial Narrow" w:hAnsi="Arial Narrow" w:eastAsia="仿宋_GB2312"/>
          <w:sz w:val="24"/>
          <w:highlight w:val="none"/>
          <w:lang w:val="en-US" w:eastAsia="zh-CN"/>
        </w:rPr>
        <w:t>23</w:t>
      </w:r>
      <w:r>
        <w:rPr>
          <w:rFonts w:hint="eastAsia" w:ascii="Arial Narrow" w:hAnsi="Arial Narrow" w:eastAsia="仿宋_GB2312"/>
          <w:sz w:val="24"/>
          <w:highlight w:val="none"/>
        </w:rPr>
        <w:t>年</w:t>
      </w:r>
      <w:r>
        <w:rPr>
          <w:rFonts w:hint="eastAsia" w:ascii="Arial Narrow" w:hAnsi="Arial Narrow" w:eastAsia="仿宋_GB2312"/>
          <w:sz w:val="24"/>
          <w:highlight w:val="none"/>
          <w:lang w:val="en-US" w:eastAsia="zh-CN"/>
        </w:rPr>
        <w:t>6</w:t>
      </w:r>
      <w:r>
        <w:rPr>
          <w:rFonts w:hint="eastAsia" w:ascii="Arial Narrow" w:hAnsi="Arial Narrow" w:eastAsia="仿宋_GB2312"/>
          <w:sz w:val="24"/>
          <w:highlight w:val="none"/>
        </w:rPr>
        <w:t>月</w:t>
      </w:r>
      <w:r>
        <w:rPr>
          <w:rFonts w:hint="eastAsia" w:ascii="Arial Narrow" w:hAnsi="Arial Narrow" w:eastAsia="仿宋_GB2312"/>
          <w:sz w:val="24"/>
          <w:highlight w:val="none"/>
          <w:lang w:val="en-US" w:eastAsia="zh-CN"/>
        </w:rPr>
        <w:t>9</w:t>
      </w:r>
      <w:r>
        <w:rPr>
          <w:rFonts w:hint="eastAsia" w:ascii="Arial Narrow" w:hAnsi="Arial Narrow" w:eastAsia="仿宋_GB2312"/>
          <w:sz w:val="24"/>
          <w:highlight w:val="none"/>
        </w:rPr>
        <w:t>日发布《关于下达2023年第二批中央财政衔接推进乡村振兴补助资金项目安排计划的通知》（铜委农办〔2023〕9号），区财政局下达资金文件时间到区级业务主管部门下达项目及资金计划文件时间间隔</w:t>
      </w:r>
      <w:r>
        <w:rPr>
          <w:rFonts w:hint="eastAsia" w:ascii="Arial Narrow" w:hAnsi="Arial Narrow" w:eastAsia="仿宋_GB2312"/>
          <w:sz w:val="24"/>
          <w:highlight w:val="none"/>
          <w:lang w:val="en-US" w:eastAsia="zh-CN"/>
        </w:rPr>
        <w:t>小于</w:t>
      </w:r>
      <w:r>
        <w:rPr>
          <w:rFonts w:hint="eastAsia" w:ascii="Arial Narrow" w:hAnsi="Arial Narrow" w:eastAsia="仿宋_GB2312"/>
          <w:sz w:val="24"/>
          <w:highlight w:val="none"/>
        </w:rPr>
        <w:t>30日。</w:t>
      </w:r>
      <w:r>
        <w:rPr>
          <w:rFonts w:hint="eastAsia" w:ascii="Arial Narrow" w:hAnsi="Arial Narrow" w:eastAsia="仿宋_GB2312" w:cs="宋体"/>
          <w:kern w:val="0"/>
          <w:sz w:val="24"/>
          <w:highlight w:val="none"/>
          <w:lang w:val="en-US" w:eastAsia="zh-CN"/>
        </w:rPr>
        <w:t>连栋温室育秧大棚建设项目</w:t>
      </w:r>
      <w:r>
        <w:rPr>
          <w:rFonts w:hint="eastAsia" w:ascii="Arial Narrow" w:hAnsi="Arial Narrow" w:eastAsia="仿宋_GB2312"/>
          <w:sz w:val="24"/>
          <w:highlight w:val="none"/>
        </w:rPr>
        <w:t>区财政局于20</w:t>
      </w:r>
      <w:r>
        <w:rPr>
          <w:rFonts w:hint="eastAsia" w:ascii="Arial Narrow" w:hAnsi="Arial Narrow" w:eastAsia="仿宋_GB2312"/>
          <w:sz w:val="24"/>
          <w:highlight w:val="none"/>
          <w:lang w:val="en-US" w:eastAsia="zh-CN"/>
        </w:rPr>
        <w:t>22</w:t>
      </w:r>
      <w:r>
        <w:rPr>
          <w:rFonts w:hint="eastAsia" w:ascii="Arial Narrow" w:hAnsi="Arial Narrow" w:eastAsia="仿宋_GB2312"/>
          <w:sz w:val="24"/>
          <w:highlight w:val="none"/>
        </w:rPr>
        <w:t>年</w:t>
      </w:r>
      <w:r>
        <w:rPr>
          <w:rFonts w:hint="eastAsia" w:ascii="Arial Narrow" w:hAnsi="Arial Narrow" w:eastAsia="仿宋_GB2312"/>
          <w:sz w:val="24"/>
          <w:highlight w:val="none"/>
          <w:lang w:val="en-US" w:eastAsia="zh-CN"/>
        </w:rPr>
        <w:t>12</w:t>
      </w:r>
      <w:r>
        <w:rPr>
          <w:rFonts w:hint="eastAsia" w:ascii="Arial Narrow" w:hAnsi="Arial Narrow" w:eastAsia="仿宋_GB2312"/>
          <w:sz w:val="24"/>
          <w:highlight w:val="none"/>
        </w:rPr>
        <w:t>月</w:t>
      </w:r>
      <w:r>
        <w:rPr>
          <w:rFonts w:hint="eastAsia" w:ascii="Arial Narrow" w:hAnsi="Arial Narrow" w:eastAsia="仿宋_GB2312"/>
          <w:sz w:val="24"/>
          <w:highlight w:val="none"/>
          <w:lang w:val="en-US" w:eastAsia="zh-CN"/>
        </w:rPr>
        <w:t>7</w:t>
      </w:r>
      <w:r>
        <w:rPr>
          <w:rFonts w:hint="eastAsia" w:ascii="Arial Narrow" w:hAnsi="Arial Narrow" w:eastAsia="仿宋_GB2312"/>
          <w:sz w:val="24"/>
          <w:highlight w:val="none"/>
        </w:rPr>
        <w:t>日发布《关于提前下达2023年市财政衔接推进乡村振兴补助资金预算的通知》</w:t>
      </w:r>
      <w:r>
        <w:rPr>
          <w:rFonts w:hint="eastAsia" w:ascii="Arial Narrow" w:hAnsi="Arial Narrow" w:eastAsia="仿宋_GB2312"/>
          <w:sz w:val="24"/>
          <w:highlight w:val="none"/>
          <w:lang w:eastAsia="zh-CN"/>
        </w:rPr>
        <w:t>（</w:t>
      </w:r>
      <w:r>
        <w:rPr>
          <w:rFonts w:hint="eastAsia" w:ascii="Arial Narrow" w:hAnsi="Arial Narrow" w:eastAsia="仿宋_GB2312"/>
          <w:sz w:val="24"/>
          <w:highlight w:val="none"/>
        </w:rPr>
        <w:t>铜财〔2022〕561号</w:t>
      </w:r>
      <w:r>
        <w:rPr>
          <w:rFonts w:hint="eastAsia" w:ascii="Arial Narrow" w:hAnsi="Arial Narrow" w:eastAsia="仿宋_GB2312"/>
          <w:sz w:val="24"/>
          <w:highlight w:val="none"/>
          <w:lang w:eastAsia="zh-CN"/>
        </w:rPr>
        <w:t>）</w:t>
      </w:r>
      <w:r>
        <w:rPr>
          <w:rFonts w:hint="eastAsia" w:ascii="Arial Narrow" w:hAnsi="Arial Narrow" w:eastAsia="仿宋_GB2312"/>
          <w:sz w:val="24"/>
          <w:highlight w:val="none"/>
        </w:rPr>
        <w:t>，业务主管部门于20</w:t>
      </w:r>
      <w:r>
        <w:rPr>
          <w:rFonts w:hint="eastAsia" w:ascii="Arial Narrow" w:hAnsi="Arial Narrow" w:eastAsia="仿宋_GB2312"/>
          <w:sz w:val="24"/>
          <w:highlight w:val="none"/>
          <w:lang w:val="en-US" w:eastAsia="zh-CN"/>
        </w:rPr>
        <w:t>23</w:t>
      </w:r>
      <w:r>
        <w:rPr>
          <w:rFonts w:hint="eastAsia" w:ascii="Arial Narrow" w:hAnsi="Arial Narrow" w:eastAsia="仿宋_GB2312"/>
          <w:sz w:val="24"/>
          <w:highlight w:val="none"/>
        </w:rPr>
        <w:t>年</w:t>
      </w:r>
      <w:r>
        <w:rPr>
          <w:rFonts w:hint="eastAsia" w:ascii="Arial Narrow" w:hAnsi="Arial Narrow" w:eastAsia="仿宋_GB2312"/>
          <w:sz w:val="24"/>
          <w:highlight w:val="none"/>
          <w:lang w:val="en-US" w:eastAsia="zh-CN"/>
        </w:rPr>
        <w:t>1</w:t>
      </w:r>
      <w:r>
        <w:rPr>
          <w:rFonts w:hint="eastAsia" w:ascii="Arial Narrow" w:hAnsi="Arial Narrow" w:eastAsia="仿宋_GB2312"/>
          <w:sz w:val="24"/>
          <w:highlight w:val="none"/>
        </w:rPr>
        <w:t>月</w:t>
      </w:r>
      <w:r>
        <w:rPr>
          <w:rFonts w:hint="eastAsia" w:ascii="Arial Narrow" w:hAnsi="Arial Narrow" w:eastAsia="仿宋_GB2312"/>
          <w:sz w:val="24"/>
          <w:highlight w:val="none"/>
          <w:lang w:val="en-US" w:eastAsia="zh-CN"/>
        </w:rPr>
        <w:t>6</w:t>
      </w:r>
      <w:r>
        <w:rPr>
          <w:rFonts w:hint="eastAsia" w:ascii="Arial Narrow" w:hAnsi="Arial Narrow" w:eastAsia="仿宋_GB2312"/>
          <w:sz w:val="24"/>
          <w:highlight w:val="none"/>
        </w:rPr>
        <w:t>日发布《关于下达2023年市级财政衔接推进乡村振兴补助资金项目安排计划的通知》（铜委农办〔2023〕</w:t>
      </w:r>
      <w:r>
        <w:rPr>
          <w:rFonts w:hint="eastAsia" w:ascii="Arial Narrow" w:hAnsi="Arial Narrow" w:eastAsia="仿宋_GB2312"/>
          <w:sz w:val="24"/>
          <w:highlight w:val="none"/>
          <w:lang w:val="en-US" w:eastAsia="zh-CN"/>
        </w:rPr>
        <w:t>2</w:t>
      </w:r>
      <w:r>
        <w:rPr>
          <w:rFonts w:hint="eastAsia" w:ascii="Arial Narrow" w:hAnsi="Arial Narrow" w:eastAsia="仿宋_GB2312"/>
          <w:sz w:val="24"/>
          <w:highlight w:val="none"/>
        </w:rPr>
        <w:t>号），区财政局下达资金文件时间到区级业务主管部门下达项目及资金计划文件时间间隔</w:t>
      </w:r>
      <w:r>
        <w:rPr>
          <w:rFonts w:hint="eastAsia" w:ascii="Arial Narrow" w:hAnsi="Arial Narrow" w:eastAsia="仿宋_GB2312"/>
          <w:sz w:val="24"/>
          <w:highlight w:val="none"/>
          <w:lang w:val="en-US" w:eastAsia="zh-CN"/>
        </w:rPr>
        <w:t>均小于</w:t>
      </w:r>
      <w:r>
        <w:rPr>
          <w:rFonts w:hint="eastAsia" w:ascii="Arial Narrow" w:hAnsi="Arial Narrow" w:eastAsia="仿宋_GB2312"/>
          <w:sz w:val="24"/>
          <w:highlight w:val="none"/>
        </w:rPr>
        <w:t>30日。</w:t>
      </w:r>
    </w:p>
    <w:p w14:paraId="6A74992D">
      <w:pPr>
        <w:spacing w:line="360" w:lineRule="auto"/>
        <w:ind w:firstLine="482" w:firstLineChars="200"/>
        <w:jc w:val="left"/>
        <w:outlineLvl w:val="0"/>
        <w:rPr>
          <w:rFonts w:ascii="仿宋_GB2312" w:eastAsia="仿宋_GB2312"/>
          <w:b/>
          <w:sz w:val="24"/>
        </w:rPr>
      </w:pPr>
      <w:bookmarkStart w:id="38" w:name="_Toc10654"/>
      <w:r>
        <w:rPr>
          <w:rFonts w:hint="eastAsia" w:ascii="仿宋_GB2312" w:eastAsia="仿宋_GB2312"/>
          <w:b/>
          <w:sz w:val="24"/>
        </w:rPr>
        <w:t>（二）项目管理</w:t>
      </w:r>
      <w:bookmarkEnd w:id="38"/>
    </w:p>
    <w:p w14:paraId="6C2E39F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1.项目库建设管理情况</w:t>
      </w:r>
    </w:p>
    <w:p w14:paraId="20047A5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项目入库及时充分、程序规范、内容完整，制定和切合实际的实施方案，具备实施条件，衔接资金未用于项目库之外的项目。</w:t>
      </w:r>
    </w:p>
    <w:p w14:paraId="099F0E5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2.项目绩效管理情况</w:t>
      </w:r>
    </w:p>
    <w:p w14:paraId="7366FB2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项目及时制定了明确的绩效目标，实施过程中对绩效目标进行监控，对绩效目标偏离项目采取纠偏措施，在项目实施完毕后开展了绩效自评，并形成</w:t>
      </w:r>
      <w:r>
        <w:rPr>
          <w:rFonts w:hint="eastAsia" w:ascii="Arial Narrow" w:hAnsi="Arial Narrow" w:eastAsia="仿宋_GB2312"/>
          <w:sz w:val="24"/>
          <w:lang w:eastAsia="zh-CN"/>
        </w:rPr>
        <w:t>绩效</w:t>
      </w:r>
      <w:r>
        <w:rPr>
          <w:rFonts w:hint="eastAsia" w:ascii="Arial Narrow" w:hAnsi="Arial Narrow" w:eastAsia="仿宋_GB2312"/>
          <w:sz w:val="24"/>
        </w:rPr>
        <w:t>自评表、自评报告。</w:t>
      </w:r>
    </w:p>
    <w:p w14:paraId="5C459E3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3.项目建设管理情况</w:t>
      </w:r>
    </w:p>
    <w:p w14:paraId="1260476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w:t>
      </w:r>
      <w:r>
        <w:rPr>
          <w:rFonts w:hint="eastAsia" w:ascii="Arial Narrow" w:hAnsi="Arial Narrow" w:eastAsia="仿宋_GB2312" w:cs="宋体"/>
          <w:kern w:val="0"/>
          <w:sz w:val="24"/>
        </w:rPr>
        <w:t>铜梁区</w:t>
      </w:r>
      <w:r>
        <w:rPr>
          <w:rFonts w:hint="eastAsia" w:ascii="Arial Narrow" w:hAnsi="Arial Narrow" w:eastAsia="仿宋_GB2312" w:cs="宋体"/>
          <w:kern w:val="0"/>
          <w:sz w:val="24"/>
          <w:lang w:val="en-US" w:eastAsia="zh-CN"/>
        </w:rPr>
        <w:t>庆隆镇庆新村股份经济合作联合社</w:t>
      </w:r>
      <w:r>
        <w:rPr>
          <w:rFonts w:hint="eastAsia" w:ascii="Arial Narrow" w:hAnsi="Arial Narrow" w:eastAsia="仿宋_GB2312"/>
          <w:sz w:val="24"/>
        </w:rPr>
        <w:t>进行监督检查，检查中未发现重大问题，项目按照实施节点按时提交项目报账资料。</w:t>
      </w:r>
    </w:p>
    <w:p w14:paraId="4289A833">
      <w:pPr>
        <w:adjustRightInd w:val="0"/>
        <w:snapToGrid w:val="0"/>
        <w:spacing w:line="360" w:lineRule="auto"/>
        <w:ind w:firstLine="480" w:firstLineChars="200"/>
        <w:rPr>
          <w:rFonts w:ascii="Arial Narrow" w:hAnsi="Arial Narrow" w:eastAsia="仿宋_GB2312"/>
          <w:sz w:val="24"/>
          <w:highlight w:val="yellow"/>
        </w:rPr>
      </w:pPr>
      <w:r>
        <w:rPr>
          <w:rFonts w:hint="eastAsia" w:ascii="Arial Narrow" w:hAnsi="Arial Narrow" w:eastAsia="仿宋_GB2312"/>
          <w:sz w:val="24"/>
          <w:highlight w:val="none"/>
        </w:rPr>
        <w:t>4.预算执行率情况</w:t>
      </w:r>
    </w:p>
    <w:p w14:paraId="4A1281BD">
      <w:pPr>
        <w:adjustRightInd w:val="0"/>
        <w:snapToGrid w:val="0"/>
        <w:spacing w:line="360" w:lineRule="auto"/>
        <w:ind w:firstLine="480" w:firstLineChars="200"/>
        <w:rPr>
          <w:rFonts w:hint="default" w:ascii="Arial Narrow" w:hAnsi="Arial Narrow" w:eastAsia="仿宋_GB2312"/>
          <w:sz w:val="24"/>
          <w:highlight w:val="none"/>
          <w:lang w:val="en-US" w:eastAsia="zh-CN"/>
        </w:rPr>
      </w:pPr>
      <w:r>
        <w:rPr>
          <w:rFonts w:hint="eastAsia" w:ascii="Arial Narrow" w:hAnsi="Arial Narrow" w:eastAsia="仿宋_GB2312" w:cs="宋体"/>
          <w:kern w:val="0"/>
          <w:sz w:val="24"/>
          <w:highlight w:val="none"/>
          <w:lang w:val="en-US" w:eastAsia="zh-CN"/>
        </w:rPr>
        <w:t>连栋温室育秧大棚建设项目</w:t>
      </w:r>
      <w:r>
        <w:rPr>
          <w:rFonts w:hint="eastAsia" w:ascii="Arial Narrow" w:hAnsi="Arial Narrow" w:eastAsia="仿宋_GB2312"/>
          <w:sz w:val="24"/>
          <w:highlight w:val="none"/>
        </w:rPr>
        <w:t>最后一笔款项拨付于2023年</w:t>
      </w:r>
      <w:r>
        <w:rPr>
          <w:rFonts w:hint="eastAsia" w:ascii="Arial Narrow" w:hAnsi="Arial Narrow" w:eastAsia="仿宋_GB2312"/>
          <w:sz w:val="24"/>
          <w:highlight w:val="none"/>
          <w:lang w:val="en-US" w:eastAsia="zh-CN"/>
        </w:rPr>
        <w:t>10</w:t>
      </w:r>
      <w:r>
        <w:rPr>
          <w:rFonts w:hint="eastAsia" w:ascii="Arial Narrow" w:hAnsi="Arial Narrow" w:eastAsia="仿宋_GB2312"/>
          <w:sz w:val="24"/>
          <w:highlight w:val="none"/>
        </w:rPr>
        <w:t>月</w:t>
      </w:r>
      <w:r>
        <w:rPr>
          <w:rFonts w:hint="eastAsia" w:ascii="Arial Narrow" w:hAnsi="Arial Narrow" w:eastAsia="仿宋_GB2312"/>
          <w:sz w:val="24"/>
          <w:highlight w:val="none"/>
          <w:lang w:val="en-US" w:eastAsia="zh-CN"/>
        </w:rPr>
        <w:t>13</w:t>
      </w:r>
      <w:r>
        <w:rPr>
          <w:rFonts w:hint="eastAsia" w:ascii="Arial Narrow" w:hAnsi="Arial Narrow" w:eastAsia="仿宋_GB2312"/>
          <w:sz w:val="24"/>
          <w:highlight w:val="none"/>
        </w:rPr>
        <w:t>日</w:t>
      </w:r>
      <w:r>
        <w:rPr>
          <w:rFonts w:hint="eastAsia" w:ascii="Arial Narrow" w:hAnsi="Arial Narrow" w:eastAsia="仿宋_GB2312"/>
          <w:sz w:val="24"/>
          <w:highlight w:val="none"/>
          <w:lang w:eastAsia="zh-CN"/>
        </w:rPr>
        <w:t>，</w:t>
      </w:r>
      <w:r>
        <w:rPr>
          <w:rFonts w:hint="eastAsia" w:ascii="Arial Narrow" w:hAnsi="Arial Narrow" w:eastAsia="仿宋_GB2312"/>
          <w:sz w:val="24"/>
          <w:highlight w:val="none"/>
          <w:lang w:val="en-US" w:eastAsia="zh-CN"/>
        </w:rPr>
        <w:t>于</w:t>
      </w:r>
      <w:r>
        <w:rPr>
          <w:rFonts w:hint="eastAsia" w:ascii="Arial Narrow" w:hAnsi="Arial Narrow" w:eastAsia="仿宋_GB2312"/>
          <w:sz w:val="24"/>
          <w:highlight w:val="none"/>
        </w:rPr>
        <w:t>202</w:t>
      </w:r>
      <w:r>
        <w:rPr>
          <w:rFonts w:hint="eastAsia" w:ascii="Arial Narrow" w:hAnsi="Arial Narrow" w:eastAsia="仿宋_GB2312"/>
          <w:sz w:val="24"/>
          <w:highlight w:val="none"/>
          <w:lang w:val="en-US" w:eastAsia="zh-CN"/>
        </w:rPr>
        <w:t>3</w:t>
      </w:r>
      <w:r>
        <w:rPr>
          <w:rFonts w:hint="eastAsia" w:ascii="Arial Narrow" w:hAnsi="Arial Narrow" w:eastAsia="仿宋_GB2312"/>
          <w:sz w:val="24"/>
          <w:highlight w:val="none"/>
        </w:rPr>
        <w:t>年1</w:t>
      </w:r>
      <w:r>
        <w:rPr>
          <w:rFonts w:hint="eastAsia" w:ascii="Arial Narrow" w:hAnsi="Arial Narrow" w:eastAsia="仿宋_GB2312"/>
          <w:sz w:val="24"/>
          <w:highlight w:val="none"/>
          <w:lang w:val="en-US" w:eastAsia="zh-CN"/>
        </w:rPr>
        <w:t>1</w:t>
      </w:r>
      <w:r>
        <w:rPr>
          <w:rFonts w:hint="eastAsia" w:ascii="Arial Narrow" w:hAnsi="Arial Narrow" w:eastAsia="仿宋_GB2312"/>
          <w:sz w:val="24"/>
          <w:highlight w:val="none"/>
        </w:rPr>
        <w:t>月</w:t>
      </w:r>
      <w:r>
        <w:rPr>
          <w:rFonts w:hint="eastAsia" w:ascii="Arial Narrow" w:hAnsi="Arial Narrow" w:eastAsia="仿宋_GB2312"/>
          <w:sz w:val="24"/>
          <w:highlight w:val="none"/>
          <w:lang w:val="en-US" w:eastAsia="zh-CN"/>
        </w:rPr>
        <w:t>7日完成最后一笔款项支付</w:t>
      </w:r>
      <w:r>
        <w:rPr>
          <w:rFonts w:hint="eastAsia" w:ascii="Arial Narrow" w:hAnsi="Arial Narrow" w:eastAsia="仿宋_GB2312"/>
          <w:sz w:val="24"/>
          <w:highlight w:val="none"/>
        </w:rPr>
        <w:t>，</w:t>
      </w:r>
      <w:r>
        <w:rPr>
          <w:rFonts w:hint="eastAsia" w:ascii="Arial Narrow" w:hAnsi="Arial Narrow" w:eastAsia="仿宋_GB2312"/>
          <w:sz w:val="24"/>
          <w:highlight w:val="none"/>
          <w:lang w:val="en-US" w:eastAsia="zh-CN"/>
        </w:rPr>
        <w:t>支付进度较晚。预算执行率均达到100%。</w:t>
      </w:r>
    </w:p>
    <w:p w14:paraId="7E90DB61">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5.跟踪督促及发现问题整改情况</w:t>
      </w:r>
    </w:p>
    <w:p w14:paraId="0B82BAA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6D63580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470C20FF">
      <w:pPr>
        <w:adjustRightInd w:val="0"/>
        <w:snapToGrid w:val="0"/>
        <w:spacing w:line="360" w:lineRule="auto"/>
        <w:ind w:firstLine="480" w:firstLineChars="200"/>
        <w:rPr>
          <w:rFonts w:ascii="Arial Narrow" w:hAnsi="Arial Narrow" w:eastAsia="仿宋_GB2312"/>
          <w:sz w:val="24"/>
        </w:rPr>
      </w:pPr>
      <w:bookmarkStart w:id="39" w:name="OLE_LINK18"/>
      <w:r>
        <w:rPr>
          <w:rFonts w:hint="eastAsia" w:ascii="Arial Narrow" w:hAnsi="Arial Narrow" w:eastAsia="仿宋_GB2312" w:cs="宋体"/>
          <w:kern w:val="0"/>
          <w:sz w:val="24"/>
          <w:highlight w:val="none"/>
          <w:lang w:val="en-US" w:eastAsia="zh-CN"/>
        </w:rPr>
        <w:t>连栋温室育秧大棚建设项目</w:t>
      </w:r>
      <w:bookmarkEnd w:id="39"/>
      <w:r>
        <w:rPr>
          <w:rFonts w:hint="eastAsia" w:ascii="Arial Narrow" w:hAnsi="Arial Narrow" w:eastAsia="仿宋_GB2312"/>
          <w:sz w:val="24"/>
        </w:rPr>
        <w:t>实施单位对该项目账务处理规范，日常档案管理资料整理</w:t>
      </w:r>
      <w:r>
        <w:rPr>
          <w:rFonts w:hint="eastAsia" w:ascii="Arial Narrow" w:hAnsi="Arial Narrow" w:eastAsia="仿宋_GB2312"/>
          <w:sz w:val="24"/>
          <w:lang w:val="en-US" w:eastAsia="zh-CN"/>
        </w:rPr>
        <w:t>稍有欠缺</w:t>
      </w:r>
      <w:r>
        <w:rPr>
          <w:rFonts w:hint="eastAsia" w:ascii="Arial Narrow" w:hAnsi="Arial Narrow" w:eastAsia="仿宋_GB2312"/>
          <w:sz w:val="24"/>
        </w:rPr>
        <w:t>。</w:t>
      </w:r>
    </w:p>
    <w:p w14:paraId="62588B4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7.信息公开和公告公示制度落实情况</w:t>
      </w:r>
    </w:p>
    <w:p w14:paraId="55B34E5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lang w:val="en-US" w:eastAsia="zh-CN"/>
        </w:rPr>
        <w:t>对</w:t>
      </w:r>
      <w:r>
        <w:rPr>
          <w:rFonts w:hint="eastAsia" w:ascii="Arial Narrow" w:hAnsi="Arial Narrow" w:eastAsia="仿宋_GB2312"/>
          <w:sz w:val="24"/>
        </w:rPr>
        <w:t>项目入库情况、</w:t>
      </w:r>
      <w:r>
        <w:rPr>
          <w:rFonts w:hint="eastAsia" w:ascii="Arial Narrow" w:hAnsi="Arial Narrow" w:eastAsia="仿宋_GB2312"/>
          <w:sz w:val="24"/>
          <w:lang w:val="en-US" w:eastAsia="zh-CN"/>
        </w:rPr>
        <w:t>实施方案、资金计划、</w:t>
      </w:r>
      <w:r>
        <w:rPr>
          <w:rFonts w:hint="eastAsia" w:ascii="Arial Narrow" w:hAnsi="Arial Narrow" w:eastAsia="仿宋_GB2312"/>
          <w:sz w:val="24"/>
        </w:rPr>
        <w:t>资金计划完成情况等进行了公告公示。</w:t>
      </w:r>
    </w:p>
    <w:p w14:paraId="0BD215C9">
      <w:pPr>
        <w:spacing w:line="360" w:lineRule="auto"/>
        <w:ind w:firstLine="482" w:firstLineChars="200"/>
        <w:jc w:val="left"/>
        <w:outlineLvl w:val="0"/>
        <w:rPr>
          <w:rFonts w:ascii="仿宋_GB2312" w:eastAsia="仿宋_GB2312"/>
          <w:b/>
          <w:sz w:val="24"/>
        </w:rPr>
      </w:pPr>
      <w:bookmarkStart w:id="40" w:name="_Toc21778"/>
      <w:r>
        <w:rPr>
          <w:rFonts w:hint="eastAsia" w:ascii="仿宋_GB2312" w:eastAsia="仿宋_GB2312"/>
          <w:b/>
          <w:sz w:val="24"/>
        </w:rPr>
        <w:t>（三）使用成效及通报情况</w:t>
      </w:r>
      <w:bookmarkEnd w:id="40"/>
    </w:p>
    <w:p w14:paraId="23BF07C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1.资金使用效益</w:t>
      </w:r>
    </w:p>
    <w:p w14:paraId="5CD72EFD">
      <w:pPr>
        <w:adjustRightInd w:val="0"/>
        <w:snapToGrid w:val="0"/>
        <w:spacing w:line="360" w:lineRule="auto"/>
        <w:ind w:firstLine="480" w:firstLineChars="200"/>
        <w:rPr>
          <w:rFonts w:hint="default" w:ascii="Arial Narrow" w:hAnsi="Arial Narrow" w:eastAsia="仿宋_GB2312"/>
          <w:sz w:val="24"/>
          <w:lang w:val="en-US" w:eastAsia="zh-CN"/>
        </w:rPr>
      </w:pPr>
      <w:r>
        <w:rPr>
          <w:rFonts w:hint="eastAsia" w:ascii="Arial Narrow" w:hAnsi="Arial Narrow" w:eastAsia="仿宋_GB2312"/>
          <w:sz w:val="24"/>
        </w:rPr>
        <w:t>项目总体资金均专款专用，完成项目的质量能够达标，完成进行了自评、项目资金完整。</w:t>
      </w:r>
      <w:r>
        <w:rPr>
          <w:rFonts w:hint="eastAsia" w:ascii="Arial Narrow" w:hAnsi="Arial Narrow" w:eastAsia="仿宋_GB2312"/>
          <w:sz w:val="24"/>
          <w:lang w:val="en-US" w:eastAsia="zh-CN"/>
        </w:rPr>
        <w:t>建立了后期管护制度，并执行到位。</w:t>
      </w:r>
    </w:p>
    <w:p w14:paraId="34C0AB6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104F47BB">
      <w:pPr>
        <w:adjustRightInd w:val="0"/>
        <w:snapToGrid w:val="0"/>
        <w:spacing w:line="360" w:lineRule="auto"/>
        <w:ind w:firstLine="480" w:firstLineChars="200"/>
        <w:rPr>
          <w:rFonts w:hint="default" w:ascii="Arial Narrow" w:hAnsi="Arial Narrow" w:eastAsia="仿宋_GB2312"/>
          <w:sz w:val="24"/>
          <w:lang w:val="en-US"/>
        </w:rPr>
      </w:pPr>
      <w:r>
        <w:rPr>
          <w:rFonts w:hint="eastAsia" w:ascii="Arial Narrow" w:hAnsi="Arial Narrow" w:eastAsia="仿宋_GB2312"/>
          <w:sz w:val="24"/>
          <w:lang w:eastAsia="zh-CN"/>
        </w:rPr>
        <w:t>《</w:t>
      </w:r>
      <w:r>
        <w:rPr>
          <w:rFonts w:hint="eastAsia" w:ascii="Arial Narrow" w:hAnsi="Arial Narrow" w:eastAsia="仿宋_GB2312"/>
          <w:sz w:val="24"/>
        </w:rPr>
        <w:t>重庆市铜梁区财政局关于截至8月15日衔接资金支出进度情况的</w:t>
      </w:r>
      <w:r>
        <w:rPr>
          <w:rFonts w:hint="eastAsia" w:ascii="Arial Narrow" w:hAnsi="Arial Narrow" w:eastAsia="仿宋_GB2312"/>
          <w:sz w:val="24"/>
          <w:lang w:val="en-US" w:eastAsia="zh-CN"/>
        </w:rPr>
        <w:t>通报</w:t>
      </w:r>
      <w:r>
        <w:rPr>
          <w:rFonts w:hint="eastAsia" w:ascii="Arial Narrow" w:hAnsi="Arial Narrow" w:eastAsia="仿宋_GB2312"/>
          <w:sz w:val="24"/>
          <w:lang w:eastAsia="zh-CN"/>
        </w:rPr>
        <w:t>》（</w:t>
      </w:r>
      <w:r>
        <w:rPr>
          <w:rFonts w:hint="eastAsia" w:ascii="Arial Narrow" w:hAnsi="Arial Narrow" w:eastAsia="仿宋_GB2312"/>
          <w:sz w:val="24"/>
        </w:rPr>
        <w:t>铜财〔2023〕347号</w:t>
      </w:r>
      <w:r>
        <w:rPr>
          <w:rFonts w:hint="eastAsia" w:ascii="Arial Narrow" w:hAnsi="Arial Narrow" w:eastAsia="仿宋_GB2312"/>
          <w:sz w:val="24"/>
          <w:lang w:eastAsia="zh-CN"/>
        </w:rPr>
        <w:t>），</w:t>
      </w:r>
      <w:r>
        <w:rPr>
          <w:rFonts w:hint="eastAsia" w:ascii="Arial Narrow" w:hAnsi="Arial Narrow" w:eastAsia="仿宋_GB2312"/>
          <w:sz w:val="24"/>
          <w:lang w:val="en-US" w:eastAsia="zh-CN"/>
        </w:rPr>
        <w:t>对</w:t>
      </w:r>
      <w:r>
        <w:rPr>
          <w:rFonts w:hint="eastAsia" w:ascii="Arial Narrow" w:hAnsi="Arial Narrow" w:eastAsia="仿宋_GB2312"/>
          <w:sz w:val="24"/>
          <w:lang w:eastAsia="zh-CN"/>
        </w:rPr>
        <w:t>土桥镇</w:t>
      </w:r>
      <w:r>
        <w:rPr>
          <w:rFonts w:hint="eastAsia" w:ascii="Arial Narrow" w:hAnsi="Arial Narrow" w:eastAsia="仿宋_GB2312"/>
          <w:sz w:val="24"/>
          <w:lang w:val="en-US" w:eastAsia="zh-CN"/>
        </w:rPr>
        <w:t>进行了一次支付进度滞后情况的通报。</w:t>
      </w:r>
    </w:p>
    <w:p w14:paraId="2C3362C5">
      <w:pPr>
        <w:adjustRightInd w:val="0"/>
        <w:snapToGrid w:val="0"/>
        <w:spacing w:line="360" w:lineRule="auto"/>
        <w:ind w:firstLine="482" w:firstLineChars="200"/>
        <w:outlineLvl w:val="0"/>
        <w:rPr>
          <w:rFonts w:ascii="Arial Narrow" w:hAnsi="Arial Narrow" w:eastAsia="仿宋_GB2312"/>
          <w:b/>
          <w:sz w:val="24"/>
        </w:rPr>
      </w:pPr>
      <w:bookmarkStart w:id="41" w:name="_Toc21628"/>
      <w:r>
        <w:rPr>
          <w:rFonts w:hint="eastAsia" w:ascii="Arial Narrow" w:hAnsi="Arial Narrow" w:eastAsia="仿宋_GB2312"/>
          <w:b/>
          <w:sz w:val="24"/>
        </w:rPr>
        <w:t>五</w:t>
      </w:r>
      <w:r>
        <w:rPr>
          <w:rFonts w:ascii="Arial Narrow" w:hAnsi="Arial Narrow" w:eastAsia="仿宋_GB2312"/>
          <w:b/>
          <w:sz w:val="24"/>
        </w:rPr>
        <w:t>、存在的问题和建议</w:t>
      </w:r>
      <w:bookmarkEnd w:id="41"/>
    </w:p>
    <w:p w14:paraId="75DA88C4">
      <w:pPr>
        <w:spacing w:line="360" w:lineRule="auto"/>
        <w:ind w:firstLine="482" w:firstLineChars="200"/>
        <w:jc w:val="left"/>
        <w:outlineLvl w:val="0"/>
        <w:rPr>
          <w:rFonts w:ascii="仿宋_GB2312" w:eastAsia="仿宋_GB2312"/>
          <w:b/>
          <w:sz w:val="24"/>
        </w:rPr>
      </w:pPr>
      <w:bookmarkStart w:id="42" w:name="_Toc20829"/>
      <w:r>
        <w:rPr>
          <w:rFonts w:hint="eastAsia" w:ascii="仿宋_GB2312" w:eastAsia="仿宋_GB2312"/>
          <w:b/>
          <w:sz w:val="24"/>
        </w:rPr>
        <w:t>（一）存在问题</w:t>
      </w:r>
      <w:bookmarkEnd w:id="42"/>
    </w:p>
    <w:p w14:paraId="017F066F">
      <w:pPr>
        <w:adjustRightInd w:val="0"/>
        <w:snapToGrid w:val="0"/>
        <w:spacing w:line="360" w:lineRule="auto"/>
        <w:ind w:firstLine="480" w:firstLineChars="200"/>
        <w:rPr>
          <w:rFonts w:hint="eastAsia" w:ascii="Arial Narrow" w:hAnsi="Arial Narrow" w:eastAsia="仿宋_GB2312"/>
          <w:sz w:val="24"/>
        </w:rPr>
      </w:pPr>
      <w:bookmarkStart w:id="43" w:name="OLE_LINK11"/>
      <w:r>
        <w:rPr>
          <w:rFonts w:hint="eastAsia" w:ascii="Arial Narrow" w:hAnsi="Arial Narrow" w:eastAsia="仿宋_GB2312"/>
          <w:sz w:val="24"/>
          <w:lang w:val="en-US" w:eastAsia="zh-CN"/>
        </w:rPr>
        <w:t>1</w:t>
      </w:r>
      <w:r>
        <w:rPr>
          <w:rFonts w:hint="eastAsia" w:ascii="Arial Narrow" w:hAnsi="Arial Narrow" w:eastAsia="仿宋_GB2312"/>
          <w:sz w:val="24"/>
        </w:rPr>
        <w:t>.日常档案管理资料</w:t>
      </w:r>
      <w:bookmarkStart w:id="44" w:name="OLE_LINK10"/>
      <w:r>
        <w:rPr>
          <w:rFonts w:hint="eastAsia" w:ascii="Arial Narrow" w:hAnsi="Arial Narrow" w:eastAsia="仿宋_GB2312"/>
          <w:sz w:val="24"/>
        </w:rPr>
        <w:t>整理</w:t>
      </w:r>
      <w:bookmarkEnd w:id="43"/>
      <w:bookmarkEnd w:id="44"/>
      <w:r>
        <w:rPr>
          <w:rFonts w:hint="eastAsia" w:ascii="Arial Narrow" w:hAnsi="Arial Narrow" w:eastAsia="仿宋_GB2312"/>
          <w:sz w:val="24"/>
          <w:lang w:val="en-US" w:eastAsia="zh-CN"/>
        </w:rPr>
        <w:t>稍有欠缺</w:t>
      </w:r>
      <w:r>
        <w:rPr>
          <w:rFonts w:hint="eastAsia" w:ascii="Arial Narrow" w:hAnsi="Arial Narrow" w:eastAsia="仿宋_GB2312"/>
          <w:sz w:val="24"/>
        </w:rPr>
        <w:t>。</w:t>
      </w:r>
    </w:p>
    <w:p w14:paraId="12A85DE6">
      <w:pPr>
        <w:adjustRightInd w:val="0"/>
        <w:snapToGrid w:val="0"/>
        <w:spacing w:line="360" w:lineRule="auto"/>
        <w:ind w:firstLine="480" w:firstLineChars="200"/>
        <w:rPr>
          <w:rFonts w:hint="eastAsia" w:ascii="Arial Narrow" w:hAnsi="Arial Narrow" w:eastAsia="仿宋_GB2312"/>
          <w:sz w:val="24"/>
        </w:rPr>
      </w:pPr>
      <w:bookmarkStart w:id="45" w:name="OLE_LINK12"/>
      <w:r>
        <w:rPr>
          <w:rStyle w:val="10"/>
          <w:rFonts w:hint="eastAsia" w:ascii="Arial Narrow" w:hAnsi="Arial Narrow" w:eastAsia="仿宋_GB2312"/>
          <w:color w:val="auto"/>
          <w:sz w:val="24"/>
          <w:u w:val="none"/>
        </w:rPr>
        <w:t>2.</w:t>
      </w:r>
      <w:r>
        <w:rPr>
          <w:rFonts w:hint="eastAsia" w:ascii="Arial Narrow" w:hAnsi="Arial Narrow" w:eastAsia="仿宋_GB2312"/>
          <w:sz w:val="24"/>
        </w:rPr>
        <w:t>部分项目资金</w:t>
      </w:r>
      <w:r>
        <w:rPr>
          <w:rFonts w:hint="eastAsia" w:ascii="Arial Narrow" w:hAnsi="Arial Narrow" w:eastAsia="仿宋_GB2312"/>
          <w:sz w:val="24"/>
          <w:lang w:val="en-US" w:eastAsia="zh-CN"/>
        </w:rPr>
        <w:t>支付</w:t>
      </w:r>
      <w:r>
        <w:rPr>
          <w:rFonts w:hint="eastAsia" w:ascii="Arial Narrow" w:hAnsi="Arial Narrow" w:eastAsia="仿宋_GB2312"/>
          <w:sz w:val="24"/>
        </w:rPr>
        <w:t>进度较晚。</w:t>
      </w:r>
    </w:p>
    <w:bookmarkEnd w:id="45"/>
    <w:p w14:paraId="5B4E48E7">
      <w:pPr>
        <w:spacing w:line="360" w:lineRule="auto"/>
        <w:ind w:firstLine="482" w:firstLineChars="200"/>
        <w:jc w:val="left"/>
        <w:outlineLvl w:val="0"/>
        <w:rPr>
          <w:rFonts w:ascii="仿宋_GB2312" w:eastAsia="仿宋_GB2312"/>
          <w:b/>
          <w:sz w:val="24"/>
        </w:rPr>
      </w:pPr>
      <w:bookmarkStart w:id="46" w:name="_Toc10252"/>
      <w:r>
        <w:rPr>
          <w:rFonts w:hint="eastAsia" w:ascii="仿宋_GB2312" w:eastAsia="仿宋_GB2312"/>
          <w:b/>
          <w:sz w:val="24"/>
        </w:rPr>
        <w:t>（二）建议</w:t>
      </w:r>
      <w:bookmarkEnd w:id="46"/>
    </w:p>
    <w:p w14:paraId="25E91AE0">
      <w:pPr>
        <w:adjustRightInd w:val="0"/>
        <w:snapToGrid w:val="0"/>
        <w:spacing w:line="360" w:lineRule="auto"/>
        <w:ind w:firstLine="480" w:firstLineChars="200"/>
        <w:rPr>
          <w:rStyle w:val="10"/>
          <w:rFonts w:hint="eastAsia" w:ascii="Arial Narrow" w:hAnsi="Arial Narrow" w:eastAsia="仿宋_GB2312"/>
          <w:color w:val="auto"/>
          <w:sz w:val="24"/>
          <w:u w:val="none"/>
        </w:rPr>
      </w:pPr>
      <w:r>
        <w:rPr>
          <w:rStyle w:val="10"/>
          <w:rFonts w:hint="eastAsia" w:ascii="Arial Narrow" w:hAnsi="Arial Narrow" w:eastAsia="仿宋_GB2312"/>
          <w:color w:val="auto"/>
          <w:sz w:val="24"/>
          <w:u w:val="none"/>
          <w:lang w:val="en-US" w:eastAsia="zh-CN"/>
        </w:rPr>
        <w:t>1</w:t>
      </w:r>
      <w:r>
        <w:rPr>
          <w:rStyle w:val="10"/>
          <w:rFonts w:hint="eastAsia" w:ascii="Arial Narrow" w:hAnsi="Arial Narrow" w:eastAsia="仿宋_GB2312"/>
          <w:color w:val="auto"/>
          <w:sz w:val="24"/>
          <w:u w:val="none"/>
        </w:rPr>
        <w:t>.对项目日常管理资料及时归档整理装订成册或装订成盒。</w:t>
      </w:r>
    </w:p>
    <w:p w14:paraId="560EEBC2">
      <w:pPr>
        <w:adjustRightInd w:val="0"/>
        <w:snapToGrid w:val="0"/>
        <w:spacing w:line="360" w:lineRule="auto"/>
        <w:ind w:firstLine="480" w:firstLineChars="200"/>
        <w:rPr>
          <w:rStyle w:val="10"/>
          <w:rFonts w:hint="eastAsia" w:ascii="Arial Narrow" w:hAnsi="Arial Narrow" w:eastAsia="仿宋_GB2312"/>
          <w:color w:val="auto"/>
          <w:sz w:val="24"/>
          <w:u w:val="none"/>
        </w:rPr>
      </w:pPr>
      <w:r>
        <w:rPr>
          <w:rStyle w:val="10"/>
          <w:rFonts w:hint="eastAsia" w:ascii="Arial Narrow" w:hAnsi="Arial Narrow" w:eastAsia="仿宋_GB2312"/>
          <w:color w:val="auto"/>
          <w:sz w:val="24"/>
          <w:u w:val="none"/>
        </w:rPr>
        <w:t>2.严格按照财政资金预算执行，及时</w:t>
      </w:r>
      <w:r>
        <w:rPr>
          <w:rStyle w:val="10"/>
          <w:rFonts w:hint="eastAsia" w:ascii="Arial Narrow" w:hAnsi="Arial Narrow" w:eastAsia="仿宋_GB2312"/>
          <w:color w:val="auto"/>
          <w:sz w:val="24"/>
          <w:u w:val="none"/>
          <w:lang w:val="en-US" w:eastAsia="zh-CN"/>
        </w:rPr>
        <w:t>支付</w:t>
      </w:r>
      <w:r>
        <w:rPr>
          <w:rStyle w:val="10"/>
          <w:rFonts w:hint="eastAsia" w:ascii="Arial Narrow" w:hAnsi="Arial Narrow" w:eastAsia="仿宋_GB2312"/>
          <w:color w:val="auto"/>
          <w:sz w:val="24"/>
          <w:u w:val="none"/>
        </w:rPr>
        <w:t>项目资金。</w:t>
      </w:r>
    </w:p>
    <w:p w14:paraId="09D4A52B">
      <w:pPr>
        <w:adjustRightInd w:val="0"/>
        <w:snapToGrid w:val="0"/>
        <w:spacing w:line="360" w:lineRule="auto"/>
        <w:rPr>
          <w:rStyle w:val="10"/>
          <w:rFonts w:ascii="Arial Narrow" w:hAnsi="Arial Narrow" w:eastAsia="仿宋_GB2312"/>
          <w:color w:val="auto"/>
          <w:sz w:val="24"/>
          <w:u w:val="none"/>
        </w:rPr>
      </w:pPr>
    </w:p>
    <w:p w14:paraId="78798339">
      <w:pPr>
        <w:adjustRightInd w:val="0"/>
        <w:snapToGrid w:val="0"/>
        <w:spacing w:line="360" w:lineRule="auto"/>
        <w:rPr>
          <w:rStyle w:val="10"/>
          <w:rFonts w:ascii="Arial Narrow" w:hAnsi="Arial Narrow" w:eastAsia="仿宋_GB2312"/>
          <w:color w:val="auto"/>
          <w:sz w:val="24"/>
          <w:u w:val="none"/>
        </w:rPr>
      </w:pPr>
    </w:p>
    <w:p w14:paraId="2FF93405">
      <w:pPr>
        <w:adjustRightInd w:val="0"/>
        <w:snapToGrid w:val="0"/>
        <w:spacing w:line="360" w:lineRule="auto"/>
        <w:rPr>
          <w:rStyle w:val="10"/>
          <w:rFonts w:hint="eastAsia" w:ascii="Arial Narrow" w:hAnsi="Arial Narrow" w:eastAsia="仿宋_GB2312"/>
          <w:color w:val="auto"/>
          <w:sz w:val="24"/>
          <w:u w:val="none"/>
          <w:lang w:val="en-US" w:eastAsia="zh-CN"/>
        </w:rPr>
      </w:pPr>
    </w:p>
    <w:p w14:paraId="360180E5">
      <w:pPr>
        <w:adjustRightInd w:val="0"/>
        <w:snapToGrid w:val="0"/>
        <w:spacing w:line="360" w:lineRule="auto"/>
        <w:rPr>
          <w:rStyle w:val="10"/>
          <w:rFonts w:hint="eastAsia" w:ascii="Arial Narrow" w:hAnsi="Arial Narrow" w:eastAsia="仿宋_GB2312"/>
          <w:color w:val="auto"/>
          <w:sz w:val="24"/>
          <w:u w:val="none"/>
          <w:lang w:val="en-US" w:eastAsia="zh-CN"/>
        </w:rPr>
      </w:pPr>
    </w:p>
    <w:p w14:paraId="237E39DA">
      <w:pPr>
        <w:adjustRightInd w:val="0"/>
        <w:snapToGrid w:val="0"/>
        <w:spacing w:line="360" w:lineRule="auto"/>
        <w:rPr>
          <w:rStyle w:val="10"/>
          <w:rFonts w:hint="default" w:ascii="Arial Narrow" w:hAnsi="Arial Narrow" w:eastAsia="仿宋_GB2312"/>
          <w:color w:val="auto"/>
          <w:sz w:val="24"/>
          <w:u w:val="none"/>
          <w:lang w:val="en-US" w:eastAsia="zh-CN"/>
        </w:rPr>
      </w:pPr>
    </w:p>
    <w:p w14:paraId="0610D33A">
      <w:pPr>
        <w:adjustRightInd w:val="0"/>
        <w:snapToGrid w:val="0"/>
        <w:spacing w:line="360" w:lineRule="auto"/>
        <w:ind w:firstLine="420" w:firstLineChars="200"/>
        <w:rPr>
          <w:rStyle w:val="10"/>
          <w:color w:val="auto"/>
          <w:u w:val="none"/>
        </w:rPr>
      </w:pPr>
    </w:p>
    <w:p w14:paraId="3303E9E2">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绩效评价指标体系及评分结果表；</w:t>
      </w:r>
    </w:p>
    <w:p w14:paraId="4437B0E7">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会计师事务所营业执照和资质复印件。</w:t>
      </w:r>
    </w:p>
    <w:p w14:paraId="309163DE">
      <w:pPr>
        <w:adjustRightInd w:val="0"/>
        <w:snapToGrid w:val="0"/>
        <w:spacing w:line="360" w:lineRule="auto"/>
        <w:ind w:firstLine="720" w:firstLineChars="300"/>
        <w:rPr>
          <w:rStyle w:val="10"/>
          <w:rFonts w:ascii="Arial Narrow" w:hAnsi="Arial Narrow" w:eastAsia="仿宋_GB2312"/>
          <w:color w:val="auto"/>
          <w:sz w:val="24"/>
          <w:u w:val="none"/>
        </w:rPr>
      </w:pPr>
    </w:p>
    <w:p w14:paraId="637E7022">
      <w:pPr>
        <w:adjustRightInd w:val="0"/>
        <w:snapToGrid w:val="0"/>
        <w:spacing w:line="360" w:lineRule="auto"/>
        <w:ind w:firstLine="720" w:firstLineChars="300"/>
        <w:rPr>
          <w:rStyle w:val="10"/>
          <w:rFonts w:ascii="Arial Narrow" w:hAnsi="Arial Narrow" w:eastAsia="仿宋_GB2312"/>
          <w:color w:val="auto"/>
          <w:sz w:val="24"/>
          <w:u w:val="none"/>
        </w:rPr>
      </w:pPr>
    </w:p>
    <w:p w14:paraId="3187CC0E">
      <w:pPr>
        <w:adjustRightInd w:val="0"/>
        <w:snapToGrid w:val="0"/>
        <w:spacing w:line="360" w:lineRule="auto"/>
        <w:ind w:firstLine="720" w:firstLineChars="300"/>
        <w:rPr>
          <w:rStyle w:val="10"/>
          <w:rFonts w:ascii="Arial Narrow" w:hAnsi="Arial Narrow" w:eastAsia="仿宋_GB2312"/>
          <w:color w:val="auto"/>
          <w:sz w:val="24"/>
          <w:u w:val="none"/>
        </w:rPr>
      </w:pPr>
    </w:p>
    <w:p w14:paraId="3D75CAE9">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重庆铭鸿金全会计师事务所有限责任公司</w:t>
      </w:r>
    </w:p>
    <w:p w14:paraId="69605A9B">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47" w:name="_GoBack"/>
      <w:bookmarkEnd w:id="47"/>
      <w:r>
        <w:rPr>
          <w:rStyle w:val="10"/>
          <w:rFonts w:hint="eastAsia" w:ascii="Arial Narrow" w:hAnsi="Arial Narrow" w:eastAsia="仿宋_GB2312"/>
          <w:color w:val="auto"/>
          <w:sz w:val="24"/>
          <w:u w:val="none"/>
        </w:rPr>
        <w:t>二四年六月</w:t>
      </w:r>
      <w:r>
        <w:rPr>
          <w:rStyle w:val="10"/>
          <w:rFonts w:hint="eastAsia" w:ascii="Arial Narrow" w:hAnsi="Arial Narrow" w:eastAsia="仿宋_GB2312"/>
          <w:color w:val="auto"/>
          <w:sz w:val="24"/>
          <w:u w:val="none"/>
          <w:lang w:val="en-US" w:eastAsia="zh-CN"/>
        </w:rPr>
        <w:t>二十八</w:t>
      </w:r>
      <w:r>
        <w:rPr>
          <w:rStyle w:val="10"/>
          <w:rFonts w:hint="eastAsia" w:ascii="Arial Narrow" w:hAnsi="Arial Narrow" w:eastAsia="仿宋_GB2312"/>
          <w:color w:val="auto"/>
          <w:sz w:val="24"/>
          <w:u w:val="none"/>
        </w:rPr>
        <w:t>日</w:t>
      </w:r>
    </w:p>
    <w:sectPr>
      <w:headerReference r:id="rId4" w:type="default"/>
      <w:footerReference r:id="rId5" w:type="default"/>
      <w:pgSz w:w="11907" w:h="16840" w:orient="landscape"/>
      <w:pgMar w:top="1418" w:right="1418" w:bottom="1134" w:left="1134" w:header="851" w:footer="851" w:gutter="0"/>
      <w:pgNumType w:fmt="decimal"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方正黑体简体">
    <w:altName w:val="微软雅黑"/>
    <w:panose1 w:val="02010601030101010101"/>
    <w:charset w:val="86"/>
    <w:family w:val="roma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7294E">
    <w:pPr>
      <w:pStyle w:val="4"/>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75980">
    <w:pPr>
      <w:pStyle w:val="4"/>
      <w:jc w:val="center"/>
      <w:rPr>
        <w:rFonts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5557ED">
                          <w:pPr>
                            <w:pStyle w:val="4"/>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5557ED">
                    <w:pPr>
                      <w:pStyle w:val="4"/>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D3A9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60BD2"/>
    <w:rsid w:val="00063E0B"/>
    <w:rsid w:val="000769EE"/>
    <w:rsid w:val="000D1A3B"/>
    <w:rsid w:val="000E4529"/>
    <w:rsid w:val="000E6A52"/>
    <w:rsid w:val="0010003E"/>
    <w:rsid w:val="00104568"/>
    <w:rsid w:val="00143A99"/>
    <w:rsid w:val="00152152"/>
    <w:rsid w:val="00164C87"/>
    <w:rsid w:val="001A42EB"/>
    <w:rsid w:val="001C6F32"/>
    <w:rsid w:val="001E0132"/>
    <w:rsid w:val="001F3624"/>
    <w:rsid w:val="001F43AE"/>
    <w:rsid w:val="00216472"/>
    <w:rsid w:val="00224D96"/>
    <w:rsid w:val="00226E7E"/>
    <w:rsid w:val="00276D1C"/>
    <w:rsid w:val="00282997"/>
    <w:rsid w:val="002C083D"/>
    <w:rsid w:val="002C36AE"/>
    <w:rsid w:val="002C5020"/>
    <w:rsid w:val="002C7EFA"/>
    <w:rsid w:val="00324E2F"/>
    <w:rsid w:val="00331DC5"/>
    <w:rsid w:val="0037066E"/>
    <w:rsid w:val="00384C3C"/>
    <w:rsid w:val="003879CE"/>
    <w:rsid w:val="003A00D8"/>
    <w:rsid w:val="003B42BF"/>
    <w:rsid w:val="00414A58"/>
    <w:rsid w:val="004200C2"/>
    <w:rsid w:val="00420AA7"/>
    <w:rsid w:val="00421C71"/>
    <w:rsid w:val="00470930"/>
    <w:rsid w:val="004C1F3A"/>
    <w:rsid w:val="004C38B4"/>
    <w:rsid w:val="004D1145"/>
    <w:rsid w:val="004D2A6E"/>
    <w:rsid w:val="004E6833"/>
    <w:rsid w:val="004F7A0F"/>
    <w:rsid w:val="00501A64"/>
    <w:rsid w:val="00536985"/>
    <w:rsid w:val="00572DD6"/>
    <w:rsid w:val="005E133F"/>
    <w:rsid w:val="005F01BA"/>
    <w:rsid w:val="0061001E"/>
    <w:rsid w:val="0061417A"/>
    <w:rsid w:val="00655510"/>
    <w:rsid w:val="0069678B"/>
    <w:rsid w:val="006A58E0"/>
    <w:rsid w:val="006D14F7"/>
    <w:rsid w:val="006E75D6"/>
    <w:rsid w:val="006E7DA1"/>
    <w:rsid w:val="006F7CBD"/>
    <w:rsid w:val="0073019B"/>
    <w:rsid w:val="00730A8E"/>
    <w:rsid w:val="00740E9D"/>
    <w:rsid w:val="00741402"/>
    <w:rsid w:val="007A6BE6"/>
    <w:rsid w:val="00827385"/>
    <w:rsid w:val="00842151"/>
    <w:rsid w:val="00856815"/>
    <w:rsid w:val="008952B1"/>
    <w:rsid w:val="008D4F7C"/>
    <w:rsid w:val="008E609D"/>
    <w:rsid w:val="0090729E"/>
    <w:rsid w:val="009309C0"/>
    <w:rsid w:val="0093667D"/>
    <w:rsid w:val="00983CB7"/>
    <w:rsid w:val="009957B8"/>
    <w:rsid w:val="0099666C"/>
    <w:rsid w:val="009F1C42"/>
    <w:rsid w:val="00A066D6"/>
    <w:rsid w:val="00A14650"/>
    <w:rsid w:val="00A352D4"/>
    <w:rsid w:val="00A922C5"/>
    <w:rsid w:val="00A95CA5"/>
    <w:rsid w:val="00AC3880"/>
    <w:rsid w:val="00AD0284"/>
    <w:rsid w:val="00AE470F"/>
    <w:rsid w:val="00AF58DD"/>
    <w:rsid w:val="00B134A6"/>
    <w:rsid w:val="00B25A79"/>
    <w:rsid w:val="00B7289F"/>
    <w:rsid w:val="00BA212E"/>
    <w:rsid w:val="00BB3674"/>
    <w:rsid w:val="00BC2692"/>
    <w:rsid w:val="00BC7BED"/>
    <w:rsid w:val="00BD6FFD"/>
    <w:rsid w:val="00C02FB6"/>
    <w:rsid w:val="00C107C7"/>
    <w:rsid w:val="00C12443"/>
    <w:rsid w:val="00C35442"/>
    <w:rsid w:val="00C36A73"/>
    <w:rsid w:val="00C60A62"/>
    <w:rsid w:val="00CB54FB"/>
    <w:rsid w:val="00CC769D"/>
    <w:rsid w:val="00D1562E"/>
    <w:rsid w:val="00D254D3"/>
    <w:rsid w:val="00D26E16"/>
    <w:rsid w:val="00D415D5"/>
    <w:rsid w:val="00DB55F0"/>
    <w:rsid w:val="00E065AA"/>
    <w:rsid w:val="00E23D6E"/>
    <w:rsid w:val="00E27A95"/>
    <w:rsid w:val="00E66C12"/>
    <w:rsid w:val="00E709E2"/>
    <w:rsid w:val="00E80BDA"/>
    <w:rsid w:val="00EA1C10"/>
    <w:rsid w:val="00EB474C"/>
    <w:rsid w:val="00ED0A8C"/>
    <w:rsid w:val="00F36680"/>
    <w:rsid w:val="00F54C3F"/>
    <w:rsid w:val="00F61D28"/>
    <w:rsid w:val="00F64D50"/>
    <w:rsid w:val="00F6551E"/>
    <w:rsid w:val="00F84DF0"/>
    <w:rsid w:val="00FA6718"/>
    <w:rsid w:val="00FD1A79"/>
    <w:rsid w:val="00FD5F18"/>
    <w:rsid w:val="00FE1E65"/>
    <w:rsid w:val="00FE5705"/>
    <w:rsid w:val="00FF5AA5"/>
    <w:rsid w:val="02717C9D"/>
    <w:rsid w:val="0AAF7C48"/>
    <w:rsid w:val="0C955D75"/>
    <w:rsid w:val="10FD0312"/>
    <w:rsid w:val="111E2978"/>
    <w:rsid w:val="120E6874"/>
    <w:rsid w:val="12141638"/>
    <w:rsid w:val="17714AA6"/>
    <w:rsid w:val="1CCD378D"/>
    <w:rsid w:val="1E1719BE"/>
    <w:rsid w:val="23197A7B"/>
    <w:rsid w:val="2527505B"/>
    <w:rsid w:val="270731DD"/>
    <w:rsid w:val="2FF77F3F"/>
    <w:rsid w:val="357129F4"/>
    <w:rsid w:val="371050B8"/>
    <w:rsid w:val="4142704D"/>
    <w:rsid w:val="436413F9"/>
    <w:rsid w:val="43DA268C"/>
    <w:rsid w:val="45947F31"/>
    <w:rsid w:val="4DF1278B"/>
    <w:rsid w:val="4FF35F21"/>
    <w:rsid w:val="55795683"/>
    <w:rsid w:val="57AC2862"/>
    <w:rsid w:val="5D922B81"/>
    <w:rsid w:val="60087B46"/>
    <w:rsid w:val="602B6EB2"/>
    <w:rsid w:val="629B4EDD"/>
    <w:rsid w:val="676959AE"/>
    <w:rsid w:val="690409A3"/>
    <w:rsid w:val="69344C1E"/>
    <w:rsid w:val="6C0B491D"/>
    <w:rsid w:val="6E1D3ED3"/>
    <w:rsid w:val="78CC4E73"/>
    <w:rsid w:val="79994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10</Pages>
  <Words>5967</Words>
  <Characters>6378</Characters>
  <Lines>61</Lines>
  <Paragraphs>17</Paragraphs>
  <TotalTime>4</TotalTime>
  <ScaleCrop>false</ScaleCrop>
  <LinksUpToDate>false</LinksUpToDate>
  <CharactersWithSpaces>6402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2024-11-20T01:20:09Z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50D7E9D454694413962AE1E665EC0FC3_13</vt:lpwstr>
  </property>
</Properties>
</file>