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FDBEBF3">
      <w:pPr>
        <w:spacing w:line="360" w:lineRule="auto"/>
        <w:jc w:val="center"/>
        <w:rPr>
          <w:rFonts w:ascii="Arial Narrow" w:hAnsi="Arial Narrow"/>
          <w:b/>
          <w:bCs/>
          <w:sz w:val="36"/>
          <w:szCs w:val="36"/>
        </w:rPr>
      </w:pPr>
    </w:p>
    <w:p w14:paraId="4F9EB9FC">
      <w:pPr>
        <w:spacing w:line="360" w:lineRule="auto"/>
        <w:jc w:val="center"/>
        <w:rPr>
          <w:rFonts w:ascii="Arial Narrow" w:hAnsi="Arial Narrow"/>
          <w:b/>
          <w:bCs/>
          <w:sz w:val="36"/>
          <w:szCs w:val="36"/>
        </w:rPr>
      </w:pPr>
    </w:p>
    <w:p w14:paraId="7C7DE80D">
      <w:pPr>
        <w:spacing w:line="360" w:lineRule="auto"/>
        <w:jc w:val="center"/>
        <w:rPr>
          <w:rFonts w:ascii="Arial Narrow" w:hAnsi="Arial Narrow"/>
          <w:b/>
          <w:bCs/>
          <w:sz w:val="36"/>
          <w:szCs w:val="36"/>
        </w:rPr>
      </w:pPr>
    </w:p>
    <w:p w14:paraId="3F890CCE">
      <w:pPr>
        <w:spacing w:line="360" w:lineRule="auto"/>
        <w:jc w:val="center"/>
        <w:rPr>
          <w:rFonts w:ascii="Arial Narrow" w:hAnsi="Arial Narrow"/>
          <w:b/>
          <w:bCs/>
          <w:sz w:val="36"/>
          <w:szCs w:val="36"/>
        </w:rPr>
      </w:pPr>
    </w:p>
    <w:p w14:paraId="63C4E8C2">
      <w:pPr>
        <w:adjustRightInd w:val="0"/>
        <w:snapToGrid w:val="0"/>
        <w:spacing w:line="360" w:lineRule="auto"/>
        <w:jc w:val="center"/>
        <w:rPr>
          <w:rFonts w:ascii="Arial Narrow" w:hAnsi="Arial Narrow" w:eastAsia="仿宋"/>
          <w:b/>
          <w:sz w:val="36"/>
          <w:szCs w:val="36"/>
        </w:rPr>
      </w:pPr>
      <w:bookmarkStart w:id="0" w:name="_Hlk171583750"/>
      <w:r>
        <w:rPr>
          <w:rFonts w:hint="eastAsia" w:ascii="Arial Narrow" w:hAnsi="Arial Narrow" w:eastAsia="仿宋"/>
          <w:b/>
          <w:sz w:val="36"/>
          <w:szCs w:val="36"/>
        </w:rPr>
        <w:t>重庆市铜梁区平滩镇玉龙村水稻种植设施建设项目</w:t>
      </w:r>
    </w:p>
    <w:p w14:paraId="1BFD0D5C">
      <w:pPr>
        <w:adjustRightInd w:val="0"/>
        <w:snapToGrid w:val="0"/>
        <w:spacing w:line="360" w:lineRule="auto"/>
        <w:jc w:val="center"/>
        <w:rPr>
          <w:rFonts w:ascii="Arial Narrow" w:hAnsi="Arial Narrow" w:eastAsia="仿宋"/>
          <w:b/>
          <w:sz w:val="36"/>
          <w:szCs w:val="36"/>
        </w:rPr>
      </w:pPr>
      <w:r>
        <w:rPr>
          <w:rFonts w:hint="eastAsia" w:ascii="Arial Narrow" w:hAnsi="Arial Narrow" w:eastAsia="仿宋"/>
          <w:b/>
          <w:sz w:val="36"/>
          <w:szCs w:val="36"/>
        </w:rPr>
        <w:t>等5个项目财政专项衔接资金</w:t>
      </w:r>
    </w:p>
    <w:bookmarkEnd w:id="0"/>
    <w:p w14:paraId="32E04998">
      <w:pPr>
        <w:adjustRightInd w:val="0"/>
        <w:snapToGrid w:val="0"/>
        <w:spacing w:line="360" w:lineRule="auto"/>
        <w:jc w:val="center"/>
        <w:rPr>
          <w:rFonts w:ascii="Arial Narrow" w:hAnsi="Arial Narrow"/>
          <w:b/>
          <w:sz w:val="36"/>
          <w:szCs w:val="36"/>
        </w:rPr>
      </w:pPr>
    </w:p>
    <w:p w14:paraId="7EF43AC1">
      <w:pPr>
        <w:adjustRightInd w:val="0"/>
        <w:snapToGrid w:val="0"/>
        <w:spacing w:line="360" w:lineRule="auto"/>
        <w:jc w:val="center"/>
        <w:rPr>
          <w:rFonts w:ascii="Arial Narrow" w:hAnsi="Arial Narrow"/>
          <w:b/>
          <w:spacing w:val="100"/>
          <w:sz w:val="32"/>
          <w:szCs w:val="32"/>
        </w:rPr>
      </w:pPr>
    </w:p>
    <w:p w14:paraId="6B279EDE">
      <w:pPr>
        <w:adjustRightInd w:val="0"/>
        <w:snapToGrid w:val="0"/>
        <w:spacing w:line="360" w:lineRule="auto"/>
        <w:jc w:val="center"/>
        <w:rPr>
          <w:rFonts w:ascii="Arial Narrow" w:hAnsi="Arial Narrow"/>
          <w:b/>
          <w:spacing w:val="100"/>
          <w:sz w:val="32"/>
          <w:szCs w:val="32"/>
        </w:rPr>
      </w:pPr>
    </w:p>
    <w:p w14:paraId="62A45CC3">
      <w:pPr>
        <w:tabs>
          <w:tab w:val="center" w:pos="4393"/>
          <w:tab w:val="left" w:pos="7258"/>
        </w:tabs>
        <w:adjustRightInd w:val="0"/>
        <w:snapToGrid w:val="0"/>
        <w:spacing w:line="360" w:lineRule="auto"/>
        <w:jc w:val="center"/>
        <w:rPr>
          <w:rFonts w:ascii="Arial Narrow" w:hAnsi="Arial Narrow" w:eastAsia="仿宋"/>
          <w:b/>
          <w:w w:val="102"/>
          <w:sz w:val="44"/>
          <w:szCs w:val="44"/>
        </w:rPr>
      </w:pPr>
      <w:r>
        <w:rPr>
          <w:rFonts w:ascii="Arial Narrow" w:hAnsi="Arial Narrow" w:eastAsia="仿宋"/>
          <w:b/>
          <w:w w:val="102"/>
          <w:sz w:val="44"/>
          <w:szCs w:val="44"/>
        </w:rPr>
        <w:t>绩效评价</w:t>
      </w:r>
      <w:bookmarkStart w:id="1" w:name="_Toc488637980"/>
      <w:bookmarkStart w:id="2" w:name="_Toc488804777"/>
      <w:r>
        <w:rPr>
          <w:rFonts w:ascii="Arial Narrow" w:hAnsi="Arial Narrow" w:eastAsia="仿宋"/>
          <w:b/>
          <w:w w:val="102"/>
          <w:sz w:val="44"/>
          <w:szCs w:val="44"/>
        </w:rPr>
        <w:t>报告</w:t>
      </w:r>
    </w:p>
    <w:p w14:paraId="56C72D5B">
      <w:pPr>
        <w:spacing w:line="360" w:lineRule="auto"/>
        <w:jc w:val="center"/>
        <w:rPr>
          <w:rFonts w:ascii="Arial Narrow" w:hAnsi="Arial Narrow" w:eastAsia="仿宋"/>
          <w:bCs/>
          <w:sz w:val="32"/>
          <w:szCs w:val="32"/>
        </w:rPr>
      </w:pPr>
      <w:r>
        <w:rPr>
          <w:rFonts w:ascii="Arial Narrow" w:hAnsi="Arial Narrow" w:eastAsia="仿宋"/>
          <w:bCs/>
          <w:sz w:val="32"/>
          <w:szCs w:val="32"/>
        </w:rPr>
        <w:t>铭鸿</w:t>
      </w:r>
      <w:r>
        <w:rPr>
          <w:rFonts w:hint="eastAsia" w:ascii="Arial Narrow" w:hAnsi="Arial Narrow" w:eastAsia="仿宋"/>
          <w:bCs/>
          <w:sz w:val="32"/>
          <w:szCs w:val="32"/>
        </w:rPr>
        <w:t>咨字</w:t>
      </w:r>
      <w:r>
        <w:rPr>
          <w:rFonts w:ascii="Arial Narrow" w:hAnsi="Arial Narrow" w:eastAsia="仿宋"/>
          <w:bCs/>
          <w:sz w:val="32"/>
          <w:szCs w:val="32"/>
        </w:rPr>
        <w:t>【2024】第</w:t>
      </w:r>
      <w:r>
        <w:rPr>
          <w:rFonts w:hint="eastAsia" w:ascii="Arial Narrow" w:hAnsi="Arial Narrow" w:eastAsia="仿宋"/>
          <w:bCs/>
          <w:sz w:val="32"/>
          <w:szCs w:val="32"/>
        </w:rPr>
        <w:t>0066</w:t>
      </w:r>
      <w:r>
        <w:rPr>
          <w:rFonts w:ascii="Arial Narrow" w:hAnsi="Arial Narrow" w:eastAsia="仿宋"/>
          <w:bCs/>
          <w:sz w:val="32"/>
          <w:szCs w:val="32"/>
        </w:rPr>
        <w:t>号</w:t>
      </w:r>
    </w:p>
    <w:p w14:paraId="04D111BE">
      <w:pPr>
        <w:adjustRightInd w:val="0"/>
        <w:snapToGrid w:val="0"/>
        <w:spacing w:line="360" w:lineRule="auto"/>
        <w:jc w:val="center"/>
        <w:rPr>
          <w:rFonts w:ascii="Arial Narrow" w:hAnsi="Arial Narrow"/>
          <w:b/>
          <w:spacing w:val="100"/>
          <w:sz w:val="32"/>
          <w:szCs w:val="32"/>
        </w:rPr>
      </w:pPr>
    </w:p>
    <w:p w14:paraId="4225F96F">
      <w:pPr>
        <w:adjustRightInd w:val="0"/>
        <w:snapToGrid w:val="0"/>
        <w:spacing w:line="360" w:lineRule="auto"/>
        <w:jc w:val="center"/>
        <w:rPr>
          <w:rFonts w:ascii="Arial Narrow" w:hAnsi="Arial Narrow"/>
          <w:b/>
          <w:spacing w:val="100"/>
          <w:sz w:val="32"/>
          <w:szCs w:val="32"/>
        </w:rPr>
      </w:pPr>
    </w:p>
    <w:p w14:paraId="5A842F04">
      <w:pPr>
        <w:adjustRightInd w:val="0"/>
        <w:snapToGrid w:val="0"/>
        <w:spacing w:line="360" w:lineRule="auto"/>
        <w:jc w:val="center"/>
        <w:rPr>
          <w:rFonts w:ascii="Arial Narrow" w:hAnsi="Arial Narrow"/>
          <w:b/>
          <w:spacing w:val="100"/>
          <w:sz w:val="32"/>
          <w:szCs w:val="32"/>
        </w:rPr>
      </w:pPr>
    </w:p>
    <w:p w14:paraId="7760CE11">
      <w:pPr>
        <w:adjustRightInd w:val="0"/>
        <w:snapToGrid w:val="0"/>
        <w:spacing w:line="360" w:lineRule="auto"/>
        <w:jc w:val="center"/>
        <w:rPr>
          <w:rFonts w:ascii="Arial Narrow" w:hAnsi="Arial Narrow"/>
          <w:b/>
          <w:spacing w:val="100"/>
          <w:sz w:val="32"/>
          <w:szCs w:val="32"/>
        </w:rPr>
      </w:pPr>
    </w:p>
    <w:p w14:paraId="6468439A">
      <w:pPr>
        <w:tabs>
          <w:tab w:val="left" w:pos="5468"/>
        </w:tabs>
        <w:adjustRightInd w:val="0"/>
        <w:snapToGrid w:val="0"/>
        <w:spacing w:line="360" w:lineRule="auto"/>
        <w:jc w:val="left"/>
        <w:rPr>
          <w:rFonts w:ascii="Arial Narrow" w:hAnsi="Arial Narrow"/>
          <w:b/>
          <w:spacing w:val="100"/>
          <w:sz w:val="32"/>
          <w:szCs w:val="32"/>
        </w:rPr>
      </w:pPr>
      <w:r>
        <w:rPr>
          <w:rFonts w:ascii="Arial Narrow" w:hAnsi="Arial Narrow"/>
          <w:b/>
          <w:spacing w:val="100"/>
          <w:sz w:val="32"/>
          <w:szCs w:val="32"/>
        </w:rPr>
        <w:tab/>
      </w:r>
    </w:p>
    <w:p w14:paraId="60D52BEC">
      <w:pPr>
        <w:adjustRightInd w:val="0"/>
        <w:snapToGrid w:val="0"/>
        <w:spacing w:line="360" w:lineRule="auto"/>
        <w:jc w:val="center"/>
        <w:rPr>
          <w:rFonts w:ascii="Arial Narrow" w:hAnsi="Arial Narrow"/>
          <w:b/>
          <w:spacing w:val="100"/>
          <w:sz w:val="32"/>
          <w:szCs w:val="32"/>
        </w:rPr>
      </w:pPr>
    </w:p>
    <w:p w14:paraId="47F04D4A">
      <w:pPr>
        <w:adjustRightInd w:val="0"/>
        <w:snapToGrid w:val="0"/>
        <w:spacing w:line="360" w:lineRule="auto"/>
        <w:jc w:val="center"/>
        <w:rPr>
          <w:rFonts w:ascii="Arial Narrow" w:hAnsi="Arial Narrow"/>
          <w:b/>
          <w:spacing w:val="100"/>
          <w:sz w:val="32"/>
          <w:szCs w:val="32"/>
        </w:rPr>
      </w:pPr>
    </w:p>
    <w:p w14:paraId="48DF1BBF">
      <w:pPr>
        <w:spacing w:line="360" w:lineRule="auto"/>
        <w:jc w:val="center"/>
        <w:rPr>
          <w:rFonts w:ascii="Arial Narrow" w:hAnsi="Arial Narrow" w:eastAsia="仿宋"/>
          <w:sz w:val="32"/>
          <w:szCs w:val="32"/>
        </w:rPr>
      </w:pPr>
    </w:p>
    <w:p w14:paraId="06FD63FE">
      <w:pPr>
        <w:spacing w:line="360" w:lineRule="auto"/>
        <w:jc w:val="center"/>
        <w:rPr>
          <w:rFonts w:ascii="Arial Narrow" w:hAnsi="Arial Narrow" w:eastAsia="仿宋"/>
          <w:sz w:val="32"/>
          <w:szCs w:val="32"/>
        </w:rPr>
      </w:pPr>
    </w:p>
    <w:p w14:paraId="21F600FD">
      <w:pPr>
        <w:spacing w:line="360" w:lineRule="auto"/>
        <w:jc w:val="center"/>
        <w:rPr>
          <w:rFonts w:ascii="Arial Narrow" w:hAnsi="Arial Narrow" w:eastAsia="仿宋"/>
          <w:sz w:val="32"/>
          <w:szCs w:val="32"/>
        </w:rPr>
      </w:pPr>
    </w:p>
    <w:p w14:paraId="314D55B6">
      <w:pPr>
        <w:spacing w:line="360" w:lineRule="auto"/>
        <w:jc w:val="center"/>
        <w:rPr>
          <w:rFonts w:ascii="Arial Narrow" w:hAnsi="Arial Narrow" w:eastAsia="仿宋"/>
          <w:sz w:val="32"/>
          <w:szCs w:val="32"/>
        </w:rPr>
      </w:pPr>
      <w:r>
        <w:rPr>
          <w:rFonts w:ascii="Arial Narrow" w:hAnsi="Arial Narrow" w:eastAsia="仿宋"/>
          <w:sz w:val="32"/>
          <w:szCs w:val="32"/>
        </w:rPr>
        <w:t>重庆铭鸿金全会计师事务所有限</w:t>
      </w:r>
      <w:r>
        <w:rPr>
          <w:rFonts w:hint="eastAsia" w:ascii="Arial Narrow" w:hAnsi="Arial Narrow" w:eastAsia="仿宋"/>
          <w:sz w:val="32"/>
          <w:szCs w:val="32"/>
        </w:rPr>
        <w:t>责任</w:t>
      </w:r>
      <w:r>
        <w:rPr>
          <w:rFonts w:ascii="Arial Narrow" w:hAnsi="Arial Narrow" w:eastAsia="仿宋"/>
          <w:sz w:val="32"/>
          <w:szCs w:val="32"/>
        </w:rPr>
        <w:t>公司</w:t>
      </w:r>
    </w:p>
    <w:p w14:paraId="0F14FFE7">
      <w:pPr>
        <w:spacing w:line="360" w:lineRule="auto"/>
        <w:jc w:val="center"/>
        <w:rPr>
          <w:rFonts w:ascii="Arial Narrow" w:hAnsi="Arial Narrow"/>
          <w:sz w:val="44"/>
          <w:szCs w:val="44"/>
        </w:rPr>
      </w:pPr>
      <w:r>
        <w:rPr>
          <w:rFonts w:ascii="Arial Narrow" w:hAnsi="Arial Narrow" w:eastAsia="仿宋"/>
          <w:sz w:val="32"/>
          <w:szCs w:val="32"/>
        </w:rPr>
        <w:t>二</w:t>
      </w:r>
      <w:r>
        <w:rPr>
          <w:rFonts w:hint="eastAsia" w:ascii="Arial Narrow" w:hAnsi="Arial Narrow" w:eastAsia="仿宋"/>
          <w:sz w:val="32"/>
          <w:szCs w:val="32"/>
          <w:lang w:val="en-US" w:eastAsia="zh-CN"/>
        </w:rPr>
        <w:t>〇</w:t>
      </w:r>
      <w:r>
        <w:rPr>
          <w:rFonts w:ascii="Arial Narrow" w:hAnsi="Arial Narrow" w:eastAsia="仿宋"/>
          <w:sz w:val="32"/>
          <w:szCs w:val="32"/>
        </w:rPr>
        <w:t>二</w:t>
      </w:r>
      <w:r>
        <w:rPr>
          <w:rFonts w:hint="eastAsia" w:ascii="Arial Narrow" w:hAnsi="Arial Narrow" w:eastAsia="仿宋"/>
          <w:sz w:val="32"/>
          <w:szCs w:val="32"/>
          <w:lang w:eastAsia="zh-CN"/>
        </w:rPr>
        <w:t>四</w:t>
      </w:r>
      <w:r>
        <w:rPr>
          <w:rFonts w:ascii="Arial Narrow" w:hAnsi="Arial Narrow" w:eastAsia="仿宋"/>
          <w:sz w:val="32"/>
          <w:szCs w:val="32"/>
        </w:rPr>
        <w:t>年</w:t>
      </w:r>
      <w:r>
        <w:rPr>
          <w:rFonts w:hint="eastAsia" w:ascii="Arial Narrow" w:hAnsi="Arial Narrow" w:eastAsia="仿宋"/>
          <w:sz w:val="32"/>
          <w:szCs w:val="32"/>
        </w:rPr>
        <w:t>六</w:t>
      </w:r>
      <w:r>
        <w:rPr>
          <w:rFonts w:ascii="Arial Narrow" w:hAnsi="Arial Narrow" w:eastAsia="仿宋"/>
          <w:sz w:val="32"/>
          <w:szCs w:val="32"/>
        </w:rPr>
        <w:t>月</w:t>
      </w:r>
      <w:r>
        <w:rPr>
          <w:rFonts w:ascii="Arial Narrow" w:hAnsi="Arial Narrow"/>
          <w:b/>
          <w:spacing w:val="100"/>
          <w:sz w:val="52"/>
          <w:szCs w:val="52"/>
        </w:rPr>
        <w:br w:type="page"/>
      </w:r>
      <w:bookmarkEnd w:id="1"/>
      <w:bookmarkEnd w:id="2"/>
      <w:r>
        <w:rPr>
          <w:rFonts w:ascii="Arial Narrow" w:hAnsi="Arial Narrow"/>
          <w:sz w:val="44"/>
          <w:szCs w:val="44"/>
        </w:rPr>
        <w:t>目   录</w:t>
      </w:r>
    </w:p>
    <w:p w14:paraId="7FA95997">
      <w:pPr>
        <w:spacing w:line="360" w:lineRule="auto"/>
        <w:jc w:val="center"/>
        <w:rPr>
          <w:rFonts w:ascii="Arial Narrow" w:hAnsi="Arial Narrow"/>
          <w:sz w:val="24"/>
        </w:rPr>
      </w:pPr>
    </w:p>
    <w:p w14:paraId="5674E464">
      <w:pPr>
        <w:pStyle w:val="6"/>
        <w:rPr>
          <w:rFonts w:asciiTheme="minorHAnsi" w:hAnsiTheme="minorHAnsi" w:eastAsiaTheme="minorEastAsia" w:cstheme="minorBidi"/>
          <w:b w:val="0"/>
          <w:bCs w:val="0"/>
          <w:szCs w:val="22"/>
          <w14:ligatures w14:val="standardContextual"/>
        </w:rPr>
      </w:pPr>
      <w:r>
        <w:rPr>
          <w:rStyle w:val="10"/>
          <w:rFonts w:ascii="仿宋" w:hAnsi="仿宋" w:eastAsia="仿宋"/>
          <w:b w:val="0"/>
          <w:bCs w:val="0"/>
          <w:color w:val="auto"/>
          <w:szCs w:val="21"/>
          <w:u w:val="none"/>
        </w:rPr>
        <w:fldChar w:fldCharType="begin"/>
      </w:r>
      <w:r>
        <w:rPr>
          <w:rStyle w:val="10"/>
          <w:rFonts w:ascii="仿宋" w:hAnsi="仿宋" w:eastAsia="仿宋"/>
          <w:b w:val="0"/>
          <w:bCs w:val="0"/>
          <w:color w:val="auto"/>
          <w:szCs w:val="21"/>
          <w:u w:val="none"/>
        </w:rPr>
        <w:instrText xml:space="preserve"> TOC \o "1-3" \h \z \u </w:instrText>
      </w:r>
      <w:r>
        <w:rPr>
          <w:rStyle w:val="10"/>
          <w:rFonts w:ascii="仿宋" w:hAnsi="仿宋" w:eastAsia="仿宋"/>
          <w:b w:val="0"/>
          <w:bCs w:val="0"/>
          <w:color w:val="auto"/>
          <w:szCs w:val="21"/>
          <w:u w:val="none"/>
        </w:rPr>
        <w:fldChar w:fldCharType="separate"/>
      </w:r>
      <w:r>
        <w:fldChar w:fldCharType="begin"/>
      </w:r>
      <w:r>
        <w:instrText xml:space="preserve"> HYPERLINK \l "_Toc169624358" </w:instrText>
      </w:r>
      <w:r>
        <w:fldChar w:fldCharType="separate"/>
      </w:r>
      <w:r>
        <w:rPr>
          <w:rStyle w:val="10"/>
        </w:rPr>
        <w:t>一、基本情况</w:t>
      </w:r>
      <w:r>
        <w:tab/>
      </w:r>
      <w:r>
        <w:fldChar w:fldCharType="begin"/>
      </w:r>
      <w:r>
        <w:instrText xml:space="preserve"> PAGEREF _Toc169624358 \h </w:instrText>
      </w:r>
      <w:r>
        <w:fldChar w:fldCharType="separate"/>
      </w:r>
      <w:r>
        <w:t>1</w:t>
      </w:r>
      <w:r>
        <w:fldChar w:fldCharType="end"/>
      </w:r>
      <w:r>
        <w:fldChar w:fldCharType="end"/>
      </w:r>
    </w:p>
    <w:p w14:paraId="7BE5760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"_Toc169624359" </w:instrText>
      </w:r>
      <w:r>
        <w:fldChar w:fldCharType="separate"/>
      </w:r>
      <w:r>
        <w:rPr>
          <w:rStyle w:val="10"/>
          <w:rFonts w:eastAsia="仿宋" w:cs="宋体"/>
          <w:kern w:val="0"/>
        </w:rPr>
        <w:t>（一）项目情况</w:t>
      </w:r>
      <w:r>
        <w:tab/>
      </w:r>
      <w:r>
        <w:fldChar w:fldCharType="begin"/>
      </w:r>
      <w:r>
        <w:instrText xml:space="preserve"> PAGEREF _Toc169624359 \h </w:instrText>
      </w:r>
      <w:r>
        <w:fldChar w:fldCharType="separate"/>
      </w:r>
      <w:r>
        <w:t>1</w:t>
      </w:r>
      <w:r>
        <w:fldChar w:fldCharType="end"/>
      </w:r>
      <w:r>
        <w:fldChar w:fldCharType="end"/>
      </w:r>
    </w:p>
    <w:p w14:paraId="1F3CDE9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"_Toc169624360" </w:instrText>
      </w:r>
      <w:r>
        <w:fldChar w:fldCharType="separate"/>
      </w:r>
      <w:r>
        <w:rPr>
          <w:rStyle w:val="10"/>
        </w:rPr>
        <w:t>二、绩效评价工作情况</w:t>
      </w:r>
      <w:r>
        <w:tab/>
      </w:r>
      <w:r>
        <w:fldChar w:fldCharType="begin"/>
      </w:r>
      <w:r>
        <w:instrText xml:space="preserve"> PAGEREF _Toc169624360 \h </w:instrText>
      </w:r>
      <w:r>
        <w:fldChar w:fldCharType="separate"/>
      </w:r>
      <w:r>
        <w:t>2</w:t>
      </w:r>
      <w:r>
        <w:fldChar w:fldCharType="end"/>
      </w:r>
      <w:r>
        <w:fldChar w:fldCharType="end"/>
      </w:r>
    </w:p>
    <w:p w14:paraId="2200E19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"_Toc169624361" </w:instrText>
      </w:r>
      <w:r>
        <w:fldChar w:fldCharType="separate"/>
      </w:r>
      <w:r>
        <w:rPr>
          <w:rStyle w:val="10"/>
        </w:rPr>
        <w:t>（一）绩效评价目的</w:t>
      </w:r>
      <w:r>
        <w:tab/>
      </w:r>
      <w:r>
        <w:fldChar w:fldCharType="begin"/>
      </w:r>
      <w:r>
        <w:instrText xml:space="preserve"> PAGEREF _Toc169624361 \h </w:instrText>
      </w:r>
      <w:r>
        <w:fldChar w:fldCharType="separate"/>
      </w:r>
      <w:r>
        <w:t>2</w:t>
      </w:r>
      <w:r>
        <w:fldChar w:fldCharType="end"/>
      </w:r>
      <w:r>
        <w:fldChar w:fldCharType="end"/>
      </w:r>
    </w:p>
    <w:p w14:paraId="765EB50F">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"_Toc169624362" </w:instrText>
      </w:r>
      <w:r>
        <w:fldChar w:fldCharType="separate"/>
      </w:r>
      <w:r>
        <w:rPr>
          <w:rStyle w:val="10"/>
        </w:rPr>
        <w:t>（二）绩效评价的基本内容</w:t>
      </w:r>
      <w:r>
        <w:tab/>
      </w:r>
      <w:r>
        <w:fldChar w:fldCharType="begin"/>
      </w:r>
      <w:r>
        <w:instrText xml:space="preserve"> PAGEREF _Toc169624362 \h </w:instrText>
      </w:r>
      <w:r>
        <w:fldChar w:fldCharType="separate"/>
      </w:r>
      <w:r>
        <w:t>2</w:t>
      </w:r>
      <w:r>
        <w:fldChar w:fldCharType="end"/>
      </w:r>
      <w:r>
        <w:fldChar w:fldCharType="end"/>
      </w:r>
    </w:p>
    <w:p w14:paraId="2C4F41A6">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"_Toc169624363" </w:instrText>
      </w:r>
      <w:r>
        <w:fldChar w:fldCharType="separate"/>
      </w:r>
      <w:r>
        <w:rPr>
          <w:rStyle w:val="10"/>
        </w:rPr>
        <w:t>（三）绩效评价依据</w:t>
      </w:r>
      <w:r>
        <w:tab/>
      </w:r>
      <w:r>
        <w:rPr>
          <w:rFonts w:hint="eastAsia"/>
        </w:rPr>
        <w:t>3</w:t>
      </w:r>
      <w:r>
        <w:rPr>
          <w:rFonts w:hint="eastAsia"/>
        </w:rPr>
        <w:fldChar w:fldCharType="end"/>
      </w:r>
    </w:p>
    <w:p w14:paraId="000228C9">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"_Toc169624364" </w:instrText>
      </w:r>
      <w:r>
        <w:fldChar w:fldCharType="separate"/>
      </w:r>
      <w:r>
        <w:rPr>
          <w:rStyle w:val="10"/>
        </w:rPr>
        <w:t>（四）绩效评价原则和指标体系</w:t>
      </w:r>
      <w:r>
        <w:tab/>
      </w:r>
      <w:r>
        <w:fldChar w:fldCharType="begin"/>
      </w:r>
      <w:r>
        <w:instrText xml:space="preserve"> PAGEREF _Toc169624364 \h </w:instrText>
      </w:r>
      <w:r>
        <w:fldChar w:fldCharType="separate"/>
      </w:r>
      <w:r>
        <w:t>3</w:t>
      </w:r>
      <w:r>
        <w:fldChar w:fldCharType="end"/>
      </w:r>
      <w:r>
        <w:fldChar w:fldCharType="end"/>
      </w:r>
    </w:p>
    <w:p w14:paraId="3082C433">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"_Toc169624365" </w:instrText>
      </w:r>
      <w:r>
        <w:fldChar w:fldCharType="separate"/>
      </w:r>
      <w:r>
        <w:rPr>
          <w:rStyle w:val="10"/>
        </w:rPr>
        <w:t>（五）绩效评价标准和评价方法</w:t>
      </w:r>
      <w:r>
        <w:tab/>
      </w:r>
      <w:r>
        <w:fldChar w:fldCharType="begin"/>
      </w:r>
      <w:r>
        <w:instrText xml:space="preserve"> PAGEREF _Toc169624365 \h </w:instrText>
      </w:r>
      <w:r>
        <w:fldChar w:fldCharType="separate"/>
      </w:r>
      <w:r>
        <w:t>6</w:t>
      </w:r>
      <w:r>
        <w:fldChar w:fldCharType="end"/>
      </w:r>
      <w:r>
        <w:fldChar w:fldCharType="end"/>
      </w:r>
    </w:p>
    <w:p w14:paraId="7E867F71">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"_Toc169624366" </w:instrText>
      </w:r>
      <w:r>
        <w:fldChar w:fldCharType="separate"/>
      </w:r>
      <w:r>
        <w:rPr>
          <w:rStyle w:val="10"/>
        </w:rPr>
        <w:t>（六）绩效评价工作过程</w:t>
      </w:r>
      <w:r>
        <w:tab/>
      </w:r>
      <w:r>
        <w:rPr>
          <w:rFonts w:hint="eastAsia"/>
        </w:rPr>
        <w:t>6</w:t>
      </w:r>
      <w:r>
        <w:rPr>
          <w:rFonts w:hint="eastAsia"/>
        </w:rPr>
        <w:fldChar w:fldCharType="end"/>
      </w:r>
    </w:p>
    <w:p w14:paraId="73C80D20">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"_Toc169624367" </w:instrText>
      </w:r>
      <w:r>
        <w:fldChar w:fldCharType="separate"/>
      </w:r>
      <w:r>
        <w:rPr>
          <w:rStyle w:val="10"/>
        </w:rPr>
        <w:t>三、项目评价结论</w:t>
      </w:r>
      <w:r>
        <w:tab/>
      </w:r>
      <w:r>
        <w:fldChar w:fldCharType="begin"/>
      </w:r>
      <w:r>
        <w:instrText xml:space="preserve"> PAGEREF _Toc169624367 \h </w:instrText>
      </w:r>
      <w:r>
        <w:fldChar w:fldCharType="separate"/>
      </w:r>
      <w:r>
        <w:t>7</w:t>
      </w:r>
      <w:r>
        <w:fldChar w:fldCharType="end"/>
      </w:r>
      <w:r>
        <w:fldChar w:fldCharType="end"/>
      </w:r>
    </w:p>
    <w:p w14:paraId="3C969525">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Pr>
        <w:t>四、综合评价情况</w:t>
      </w:r>
      <w:r>
        <w:tab/>
      </w:r>
      <w:r>
        <w:fldChar w:fldCharType="begin"/>
      </w:r>
      <w:r>
        <w:instrText xml:space="preserve"> PAGEREF _Toc169624368 \h </w:instrText>
      </w:r>
      <w:r>
        <w:fldChar w:fldCharType="separate"/>
      </w:r>
      <w:r>
        <w:t>7</w:t>
      </w:r>
      <w:r>
        <w:fldChar w:fldCharType="end"/>
      </w:r>
      <w:r>
        <w:fldChar w:fldCharType="end"/>
      </w:r>
    </w:p>
    <w:p w14:paraId="2A1CEB9A">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"_Toc169624369" </w:instrText>
      </w:r>
      <w:r>
        <w:fldChar w:fldCharType="separate"/>
      </w:r>
      <w:r>
        <w:rPr>
          <w:rStyle w:val="10"/>
          <w:rFonts w:ascii="仿宋_GB2312"/>
        </w:rPr>
        <w:t>（一）资金管理</w:t>
      </w:r>
      <w:r>
        <w:tab/>
      </w:r>
      <w:r>
        <w:fldChar w:fldCharType="begin"/>
      </w:r>
      <w:r>
        <w:instrText xml:space="preserve"> PAGEREF _Toc169624369 \h </w:instrText>
      </w:r>
      <w:r>
        <w:fldChar w:fldCharType="separate"/>
      </w:r>
      <w:r>
        <w:t>7</w:t>
      </w:r>
      <w:r>
        <w:fldChar w:fldCharType="end"/>
      </w:r>
      <w:r>
        <w:fldChar w:fldCharType="end"/>
      </w:r>
    </w:p>
    <w:p w14:paraId="36146503">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"_Toc169624370" </w:instrText>
      </w:r>
      <w:r>
        <w:fldChar w:fldCharType="separate"/>
      </w:r>
      <w:r>
        <w:rPr>
          <w:rStyle w:val="10"/>
          <w:rFonts w:ascii="仿宋_GB2312"/>
        </w:rPr>
        <w:t>（二）项目管理</w:t>
      </w:r>
      <w:r>
        <w:tab/>
      </w:r>
      <w:r>
        <w:rPr>
          <w:rFonts w:hint="eastAsia"/>
        </w:rPr>
        <w:t>7</w:t>
      </w:r>
      <w:r>
        <w:rPr>
          <w:rFonts w:hint="eastAsia"/>
        </w:rPr>
        <w:fldChar w:fldCharType="end"/>
      </w:r>
    </w:p>
    <w:p w14:paraId="2C15C28E">
      <w:pPr>
        <w:pStyle w:val="6"/>
      </w:pPr>
      <w:r>
        <w:fldChar w:fldCharType="begin"/>
      </w:r>
      <w:r>
        <w:instrText xml:space="preserve"> HYPERLINK \l "_Toc169624371" </w:instrText>
      </w:r>
      <w:r>
        <w:fldChar w:fldCharType="separate"/>
      </w:r>
      <w:r>
        <w:rPr>
          <w:rStyle w:val="10"/>
          <w:rFonts w:ascii="仿宋_GB2312"/>
        </w:rPr>
        <w:t>（三）</w:t>
      </w:r>
      <w:r>
        <w:rPr>
          <w:rStyle w:val="10"/>
          <w:rFonts w:hint="eastAsia" w:ascii="仿宋_GB2312"/>
        </w:rPr>
        <w:t>使用成效及通报情况</w:t>
      </w:r>
      <w:r>
        <w:tab/>
      </w:r>
      <w:r>
        <w:rPr>
          <w:rFonts w:hint="eastAsia"/>
        </w:rPr>
        <w:t>8</w:t>
      </w:r>
      <w:r>
        <w:rPr>
          <w:rFonts w:hint="eastAsia"/>
        </w:rPr>
        <w:fldChar w:fldCharType="end"/>
      </w:r>
    </w:p>
    <w:p w14:paraId="5E3D701E">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"_Toc169624368" </w:instrText>
      </w:r>
      <w:r>
        <w:fldChar w:fldCharType="separate"/>
      </w:r>
      <w:r>
        <w:rPr>
          <w:rStyle w:val="10"/>
          <w:rFonts w:hint="eastAsia"/>
        </w:rPr>
        <w:t>五</w:t>
      </w:r>
      <w:r>
        <w:rPr>
          <w:rStyle w:val="10"/>
        </w:rPr>
        <w:t>、</w:t>
      </w:r>
      <w:r>
        <w:rPr>
          <w:rStyle w:val="10"/>
          <w:rFonts w:hint="eastAsia"/>
        </w:rPr>
        <w:t>存在的问题及建议</w:t>
      </w:r>
      <w:r>
        <w:tab/>
      </w:r>
      <w:r>
        <w:rPr>
          <w:rFonts w:hint="eastAsia"/>
        </w:rPr>
        <w:t>8</w:t>
      </w:r>
      <w:r>
        <w:rPr>
          <w:rFonts w:hint="eastAsia"/>
        </w:rPr>
        <w:fldChar w:fldCharType="end"/>
      </w:r>
    </w:p>
    <w:p w14:paraId="2F2F971D">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"_Toc169624372" </w:instrText>
      </w:r>
      <w:r>
        <w:fldChar w:fldCharType="separate"/>
      </w:r>
      <w:r>
        <w:rPr>
          <w:rStyle w:val="10"/>
          <w:rFonts w:ascii="仿宋_GB2312"/>
        </w:rPr>
        <w:t>（一）存在问题</w:t>
      </w:r>
      <w:r>
        <w:tab/>
      </w:r>
      <w:r>
        <w:rPr>
          <w:rFonts w:hint="eastAsia"/>
        </w:rPr>
        <w:t>8</w:t>
      </w:r>
      <w:r>
        <w:rPr>
          <w:rFonts w:hint="eastAsia"/>
        </w:rPr>
        <w:fldChar w:fldCharType="end"/>
      </w:r>
    </w:p>
    <w:p w14:paraId="2E8D1542">
      <w:pPr>
        <w:pStyle w:val="6"/>
        <w:rPr>
          <w:rFonts w:asciiTheme="minorHAnsi" w:hAnsiTheme="minorHAnsi" w:eastAsiaTheme="minorEastAsia" w:cstheme="minorBidi"/>
          <w:b w:val="0"/>
          <w:bCs w:val="0"/>
          <w:szCs w:val="22"/>
          <w14:ligatures w14:val="standardContextual"/>
        </w:rPr>
      </w:pPr>
      <w:r>
        <w:fldChar w:fldCharType="begin"/>
      </w:r>
      <w:r>
        <w:instrText xml:space="preserve"> HYPERLINK \l "_Toc169624373" </w:instrText>
      </w:r>
      <w:r>
        <w:fldChar w:fldCharType="separate"/>
      </w:r>
      <w:r>
        <w:rPr>
          <w:rStyle w:val="10"/>
          <w:rFonts w:ascii="仿宋_GB2312"/>
        </w:rPr>
        <w:t>（二）建议</w:t>
      </w:r>
      <w:r>
        <w:tab/>
      </w:r>
      <w:r>
        <w:rPr>
          <w:rFonts w:hint="eastAsia"/>
        </w:rPr>
        <w:t>8</w:t>
      </w:r>
      <w:r>
        <w:rPr>
          <w:rFonts w:hint="eastAsia"/>
        </w:rPr>
        <w:fldChar w:fldCharType="end"/>
      </w:r>
    </w:p>
    <w:p w14:paraId="01FC858C">
      <w:pPr>
        <w:pStyle w:val="12"/>
        <w:spacing w:line="460" w:lineRule="exact"/>
        <w:rPr>
          <w:rFonts w:ascii="Arial Narrow" w:hAnsi="Arial Narrow" w:eastAsia="仿宋_GB2312"/>
          <w:bCs/>
          <w:w w:val="80"/>
        </w:rPr>
        <w:sectPr>
          <w:footerReference r:id="rId6" w:type="first"/>
          <w:footerReference r:id="rId4" w:type="default"/>
          <w:headerReference r:id="rId3" w:type="even"/>
          <w:footerReference r:id="rId5" w:type="even"/>
          <w:pgSz w:w="11907" w:h="16840"/>
          <w:pgMar w:top="1418" w:right="1418" w:bottom="1134" w:left="1701" w:header="851" w:footer="851" w:gutter="0"/>
          <w:pgNumType w:start="1"/>
          <w:cols w:space="425" w:num="1"/>
          <w:docGrid w:linePitch="312" w:charSpace="0"/>
        </w:sectPr>
      </w:pPr>
      <w:r>
        <w:rPr>
          <w:rStyle w:val="10"/>
          <w:color w:val="auto"/>
          <w:sz w:val="21"/>
          <w:szCs w:val="21"/>
          <w:u w:val="none"/>
        </w:rPr>
        <w:fldChar w:fldCharType="end"/>
      </w:r>
    </w:p>
    <w:p w14:paraId="78EBD9A6">
      <w:pPr>
        <w:widowControl/>
        <w:jc w:val="distribute"/>
        <w:rPr>
          <w:rFonts w:ascii="Arial Narrow" w:hAnsi="Arial Narrow" w:eastAsia="仿宋_GB2312" w:cs="楷体"/>
          <w:bCs/>
          <w:kern w:val="0"/>
          <w:sz w:val="28"/>
          <w:szCs w:val="28"/>
        </w:rPr>
      </w:pPr>
      <w:r>
        <w:rPr>
          <w:rFonts w:ascii="Arial Narrow" w:hAnsi="Arial Narrow" w:eastAsia="楷体" w:cs="楷体"/>
          <w:b/>
          <w:kern w:val="0"/>
          <w:sz w:val="72"/>
          <w:szCs w:val="72"/>
        </w:rPr>
        <w:t>重庆铭鸿金全会计师事务所</w:t>
      </w:r>
    </w:p>
    <w:p w14:paraId="0DD9582D">
      <w:pPr>
        <w:widowControl/>
        <w:spacing w:line="360" w:lineRule="auto"/>
        <w:ind w:right="-2"/>
        <w:jc w:val="distribute"/>
        <w:rPr>
          <w:rFonts w:hint="eastAsia" w:ascii="MS Mincho" w:hAnsi="MS Mincho" w:eastAsia="MS Mincho"/>
          <w:kern w:val="0"/>
          <w:sz w:val="28"/>
          <w:szCs w:val="28"/>
          <w:lang w:eastAsia="zh-TW"/>
        </w:rPr>
      </w:pPr>
      <w:r>
        <w:rPr>
          <w:rFonts w:ascii="MS Mincho" w:hAnsi="MS Mincho" w:eastAsia="MS Mincho"/>
          <w:b/>
          <w:kern w:val="0"/>
          <w:sz w:val="32"/>
          <w:szCs w:val="20"/>
          <w:lang w:eastAsia="zh-TW"/>
        </w:rPr>
        <w:t xml:space="preserve">Chongqing </w:t>
      </w:r>
      <w:r>
        <w:rPr>
          <w:rFonts w:ascii="MS Mincho" w:hAnsi="MS Mincho" w:eastAsia="MS Mincho"/>
          <w:b/>
          <w:kern w:val="0"/>
          <w:sz w:val="32"/>
          <w:szCs w:val="20"/>
        </w:rPr>
        <w:t>MingHong</w:t>
      </w:r>
      <w:r>
        <w:rPr>
          <w:rFonts w:ascii="MS Mincho" w:hAnsi="MS Mincho" w:eastAsia="MS Mincho"/>
          <w:b/>
          <w:kern w:val="0"/>
          <w:sz w:val="32"/>
          <w:szCs w:val="20"/>
          <w:lang w:eastAsia="zh-TW"/>
        </w:rPr>
        <w:t xml:space="preserve"> </w:t>
      </w:r>
      <w:r>
        <w:rPr>
          <w:rFonts w:ascii="MS Mincho" w:hAnsi="MS Mincho" w:eastAsia="MS Mincho"/>
          <w:b/>
          <w:kern w:val="0"/>
          <w:sz w:val="32"/>
          <w:szCs w:val="20"/>
        </w:rPr>
        <w:t>JinQuan</w:t>
      </w:r>
      <w:r>
        <w:rPr>
          <w:rFonts w:ascii="MS Mincho" w:hAnsi="MS Mincho" w:eastAsia="MS Mincho"/>
          <w:b/>
          <w:kern w:val="0"/>
          <w:sz w:val="32"/>
          <w:szCs w:val="20"/>
          <w:lang w:eastAsia="zh-TW"/>
        </w:rPr>
        <w:t xml:space="preserve"> Certified Public Accountants</w:t>
      </w:r>
    </w:p>
    <w:p w14:paraId="172EA230">
      <w:pPr>
        <w:spacing w:line="360" w:lineRule="auto"/>
        <w:jc w:val="center"/>
        <w:rPr>
          <w:rFonts w:ascii="Arial Narrow" w:hAnsi="Arial Narrow" w:eastAsia="仿宋_GB2312"/>
          <w:sz w:val="28"/>
          <w:szCs w:val="28"/>
        </w:rPr>
      </w:pPr>
      <w:r>
        <w:rPr>
          <w:rFonts w:ascii="Arial Narrow" w:hAnsi="Arial Narrow" w:eastAsia="仿宋_GB2312"/>
          <w:kern w:val="0"/>
          <w:sz w:val="28"/>
          <w:szCs w:val="28"/>
        </w:rPr>
        <w:t>铭</w:t>
      </w:r>
      <w:r>
        <w:rPr>
          <w:rFonts w:ascii="Arial Narrow" w:hAnsi="Arial Narrow" w:eastAsia="仿宋_GB2312"/>
          <w:sz w:val="28"/>
          <w:szCs w:val="28"/>
        </w:rPr>
        <w:t>鸿</w:t>
      </w:r>
      <w:r>
        <w:rPr>
          <w:rFonts w:hint="eastAsia" w:ascii="Arial Narrow" w:hAnsi="Arial Narrow" w:eastAsia="仿宋_GB2312"/>
          <w:sz w:val="28"/>
          <w:szCs w:val="28"/>
        </w:rPr>
        <w:t>咨字〔2024〕</w:t>
      </w:r>
      <w:r>
        <w:rPr>
          <w:rFonts w:ascii="Arial Narrow" w:hAnsi="Arial Narrow" w:eastAsia="仿宋_GB2312"/>
          <w:sz w:val="28"/>
          <w:szCs w:val="28"/>
        </w:rPr>
        <w:t>第</w:t>
      </w:r>
      <w:r>
        <w:rPr>
          <w:rFonts w:hint="eastAsia" w:ascii="Arial Narrow" w:hAnsi="Arial Narrow" w:eastAsia="仿宋_GB2312"/>
          <w:sz w:val="28"/>
          <w:szCs w:val="28"/>
        </w:rPr>
        <w:t>0066号</w:t>
      </w:r>
    </w:p>
    <w:p w14:paraId="7368628B">
      <w:pPr>
        <w:spacing w:line="360" w:lineRule="auto"/>
        <w:jc w:val="distribute"/>
        <w:rPr>
          <w:rFonts w:ascii="Arial Narrow" w:hAnsi="Arial Narrow"/>
          <w:w w:val="94"/>
        </w:rPr>
      </w:pPr>
      <w:r>
        <w:rPr>
          <w:rFonts w:hint="eastAsia" w:ascii="宋体" w:hAnsi="宋体" w:cs="宋体"/>
          <w:b/>
          <w:bCs/>
          <w:w w:val="94"/>
          <w:sz w:val="36"/>
          <w:szCs w:val="36"/>
        </w:rPr>
        <w:t>━━━━━━━━━━━━</w:t>
      </w:r>
      <w:r>
        <w:rPr>
          <w:rFonts w:ascii="Arial Narrow" w:hAnsi="Arial Narrow"/>
          <w:b/>
          <w:bCs/>
          <w:w w:val="94"/>
          <w:sz w:val="36"/>
          <w:szCs w:val="36"/>
        </w:rPr>
        <w:t xml:space="preserve"> </w:t>
      </w:r>
      <w:r>
        <w:rPr>
          <w:rFonts w:ascii="Segoe UI Symbol" w:hAnsi="Segoe UI Symbol" w:cs="Segoe UI Symbol"/>
          <w:b/>
          <w:bCs/>
          <w:w w:val="94"/>
          <w:sz w:val="36"/>
          <w:szCs w:val="36"/>
        </w:rPr>
        <w:t>★</w:t>
      </w:r>
      <w:r>
        <w:rPr>
          <w:rFonts w:ascii="Arial Narrow" w:hAnsi="Arial Narrow"/>
          <w:b/>
          <w:bCs/>
          <w:w w:val="94"/>
          <w:sz w:val="36"/>
          <w:szCs w:val="36"/>
        </w:rPr>
        <w:t xml:space="preserve"> </w:t>
      </w:r>
      <w:r>
        <w:rPr>
          <w:rFonts w:hint="eastAsia" w:ascii="宋体" w:hAnsi="宋体" w:cs="宋体"/>
          <w:b/>
          <w:bCs/>
          <w:w w:val="94"/>
          <w:sz w:val="36"/>
          <w:szCs w:val="36"/>
        </w:rPr>
        <w:t>━━━━━━━━━━━</w:t>
      </w:r>
      <w:bookmarkStart w:id="3" w:name="_Hlk51614207"/>
      <w:r>
        <w:rPr>
          <w:rFonts w:hint="eastAsia" w:ascii="宋体" w:hAnsi="宋体" w:cs="宋体"/>
          <w:b/>
          <w:bCs/>
          <w:w w:val="94"/>
          <w:sz w:val="36"/>
          <w:szCs w:val="36"/>
        </w:rPr>
        <w:t>━</w:t>
      </w:r>
      <w:bookmarkEnd w:id="3"/>
    </w:p>
    <w:p w14:paraId="142773AF">
      <w:pPr>
        <w:adjustRightInd w:val="0"/>
        <w:snapToGrid w:val="0"/>
        <w:spacing w:line="360" w:lineRule="auto"/>
        <w:jc w:val="center"/>
        <w:rPr>
          <w:rStyle w:val="10"/>
          <w:rFonts w:ascii="Arial Narrow" w:hAnsi="Arial Narrow" w:eastAsia="仿宋_GB2312"/>
          <w:b/>
          <w:color w:val="auto"/>
          <w:sz w:val="36"/>
          <w:szCs w:val="36"/>
          <w:u w:val="none"/>
        </w:rPr>
      </w:pPr>
      <w:r>
        <w:rPr>
          <w:rStyle w:val="10"/>
          <w:rFonts w:hint="eastAsia" w:ascii="Arial Narrow" w:hAnsi="Arial Narrow" w:eastAsia="仿宋_GB2312"/>
          <w:b/>
          <w:color w:val="auto"/>
          <w:sz w:val="36"/>
          <w:szCs w:val="36"/>
          <w:u w:val="none"/>
        </w:rPr>
        <w:t>重庆市铜梁区平滩镇玉龙村水稻种植设施建设项目</w:t>
      </w:r>
    </w:p>
    <w:p w14:paraId="1103412E">
      <w:pPr>
        <w:adjustRightInd w:val="0"/>
        <w:snapToGrid w:val="0"/>
        <w:spacing w:line="360" w:lineRule="auto"/>
        <w:jc w:val="center"/>
        <w:rPr>
          <w:rFonts w:ascii="Arial Narrow" w:hAnsi="Arial Narrow" w:eastAsia="仿宋_GB2312"/>
          <w:b/>
          <w:sz w:val="36"/>
          <w:szCs w:val="36"/>
        </w:rPr>
      </w:pPr>
      <w:r>
        <w:rPr>
          <w:rStyle w:val="10"/>
          <w:rFonts w:hint="eastAsia" w:ascii="Arial Narrow" w:hAnsi="Arial Narrow" w:eastAsia="仿宋_GB2312"/>
          <w:b/>
          <w:color w:val="auto"/>
          <w:sz w:val="36"/>
          <w:szCs w:val="36"/>
          <w:u w:val="none"/>
        </w:rPr>
        <w:t>等5个项目财政专项衔接资金</w:t>
      </w:r>
      <w:r>
        <w:rPr>
          <w:rFonts w:hint="eastAsia" w:ascii="仿宋_GB2312" w:eastAsia="仿宋_GB2312"/>
          <w:b/>
          <w:sz w:val="36"/>
          <w:szCs w:val="36"/>
        </w:rPr>
        <w:t>绩效评价报告</w:t>
      </w:r>
    </w:p>
    <w:p w14:paraId="235E462D">
      <w:pPr>
        <w:pStyle w:val="13"/>
        <w:spacing w:line="360" w:lineRule="auto"/>
        <w:ind w:firstLine="480" w:firstLineChars="200"/>
        <w:jc w:val="both"/>
        <w:rPr>
          <w:rFonts w:ascii="Arial Narrow" w:hAnsi="Arial Narrow" w:eastAsia="仿宋_GB2312"/>
          <w:color w:val="auto"/>
        </w:rPr>
      </w:pPr>
      <w:r>
        <w:rPr>
          <w:rFonts w:ascii="Arial Narrow" w:hAnsi="Arial Narrow" w:eastAsia="仿宋_GB2312"/>
          <w:color w:val="auto"/>
        </w:rPr>
        <w:t>为深入贯彻落实党的十九大“全面实施绩效管理”决策部署，进一步提高政府投入资金的使用效益，促进公共服务资源的优化配置，根据《中华人民共和国预算法》、《项目支出绩效评价管理办法》</w:t>
      </w:r>
      <w:r>
        <w:rPr>
          <w:rFonts w:hint="eastAsia" w:ascii="Arial Narrow" w:hAnsi="Arial Narrow" w:eastAsia="仿宋_GB2312"/>
          <w:color w:val="auto"/>
        </w:rPr>
        <w:t>（财预〔2020〕1</w:t>
      </w:r>
      <w:r>
        <w:rPr>
          <w:rFonts w:ascii="Arial Narrow" w:hAnsi="Arial Narrow" w:eastAsia="仿宋_GB2312"/>
          <w:color w:val="auto"/>
        </w:rPr>
        <w:t>0</w:t>
      </w:r>
      <w:r>
        <w:rPr>
          <w:rFonts w:hint="eastAsia" w:ascii="Arial Narrow" w:hAnsi="Arial Narrow" w:eastAsia="仿宋_GB2312"/>
          <w:color w:val="auto"/>
        </w:rPr>
        <w:t>号）</w:t>
      </w:r>
      <w:r>
        <w:rPr>
          <w:rFonts w:ascii="Arial Narrow" w:hAnsi="Arial Narrow" w:eastAsia="仿宋_GB2312"/>
          <w:color w:val="auto"/>
        </w:rPr>
        <w:t>《重庆市市级政策和项目预算绩效管理办法（试行）》</w:t>
      </w:r>
      <w:r>
        <w:rPr>
          <w:rFonts w:hint="eastAsia" w:ascii="Arial Narrow" w:hAnsi="Arial Narrow" w:eastAsia="仿宋_GB2312"/>
          <w:color w:val="auto"/>
        </w:rPr>
        <w:t>（渝财绩〔2019〕1</w:t>
      </w:r>
      <w:r>
        <w:rPr>
          <w:rFonts w:ascii="Arial Narrow" w:hAnsi="Arial Narrow" w:eastAsia="仿宋_GB2312"/>
          <w:color w:val="auto"/>
        </w:rPr>
        <w:t>9</w:t>
      </w:r>
      <w:r>
        <w:rPr>
          <w:rFonts w:hint="eastAsia" w:ascii="Arial Narrow" w:hAnsi="Arial Narrow" w:eastAsia="仿宋_GB2312"/>
          <w:color w:val="auto"/>
        </w:rPr>
        <w:t>号）</w:t>
      </w:r>
      <w:r>
        <w:rPr>
          <w:rFonts w:ascii="Arial Narrow" w:hAnsi="Arial Narrow" w:eastAsia="仿宋_GB2312"/>
          <w:color w:val="auto"/>
        </w:rPr>
        <w:t>，受</w:t>
      </w:r>
      <w:r>
        <w:rPr>
          <w:rFonts w:hint="eastAsia" w:ascii="Arial Narrow" w:hAnsi="Arial Narrow" w:eastAsia="仿宋_GB2312"/>
          <w:color w:val="auto"/>
        </w:rPr>
        <w:t>重庆市铜梁区财政局</w:t>
      </w:r>
      <w:r>
        <w:rPr>
          <w:rFonts w:ascii="Arial Narrow" w:hAnsi="Arial Narrow" w:eastAsia="仿宋_GB2312"/>
          <w:color w:val="auto"/>
        </w:rPr>
        <w:t>（以下简称“</w:t>
      </w:r>
      <w:r>
        <w:rPr>
          <w:rFonts w:hint="eastAsia" w:ascii="Arial Narrow" w:hAnsi="Arial Narrow" w:eastAsia="仿宋_GB2312"/>
          <w:color w:val="auto"/>
        </w:rPr>
        <w:t>财政局</w:t>
      </w:r>
      <w:r>
        <w:rPr>
          <w:rFonts w:ascii="Arial Narrow" w:hAnsi="Arial Narrow" w:eastAsia="仿宋_GB2312"/>
          <w:color w:val="auto"/>
        </w:rPr>
        <w:t>”）的委托，我们对</w:t>
      </w:r>
      <w:r>
        <w:rPr>
          <w:rFonts w:hint="eastAsia" w:ascii="Arial Narrow" w:hAnsi="Arial Narrow" w:eastAsia="仿宋_GB2312"/>
          <w:color w:val="auto"/>
        </w:rPr>
        <w:t>重庆市铜梁区平滩镇（</w:t>
      </w:r>
      <w:r>
        <w:rPr>
          <w:rFonts w:ascii="Arial Narrow" w:hAnsi="Arial Narrow" w:eastAsia="仿宋_GB2312"/>
          <w:color w:val="auto"/>
        </w:rPr>
        <w:t>以下简称“</w:t>
      </w:r>
      <w:r>
        <w:rPr>
          <w:rFonts w:hint="eastAsia" w:ascii="Arial Narrow" w:hAnsi="Arial Narrow" w:eastAsia="仿宋_GB2312"/>
          <w:color w:val="auto"/>
        </w:rPr>
        <w:t>平滩镇</w:t>
      </w:r>
      <w:r>
        <w:rPr>
          <w:rFonts w:ascii="Arial Narrow" w:hAnsi="Arial Narrow" w:eastAsia="仿宋_GB2312"/>
          <w:color w:val="auto"/>
        </w:rPr>
        <w:t>”</w:t>
      </w:r>
      <w:r>
        <w:rPr>
          <w:rFonts w:hint="eastAsia" w:ascii="Arial Narrow" w:hAnsi="Arial Narrow" w:eastAsia="仿宋_GB2312"/>
          <w:color w:val="auto"/>
        </w:rPr>
        <w:t>）玉龙村水稻种植设施建设项目等5个项目财政专项衔接资金</w:t>
      </w:r>
      <w:r>
        <w:rPr>
          <w:rFonts w:ascii="Arial Narrow" w:hAnsi="Arial Narrow" w:eastAsia="仿宋_GB2312"/>
          <w:color w:val="auto"/>
        </w:rPr>
        <w:t>进行绩效评价，现将评价情况报告如下：</w:t>
      </w:r>
    </w:p>
    <w:p w14:paraId="560142F9">
      <w:pPr>
        <w:spacing w:before="240" w:beforeLines="100" w:line="360" w:lineRule="auto"/>
        <w:ind w:firstLine="482" w:firstLineChars="200"/>
        <w:jc w:val="left"/>
        <w:outlineLvl w:val="0"/>
        <w:rPr>
          <w:rFonts w:ascii="Arial Narrow" w:hAnsi="Arial Narrow" w:eastAsia="仿宋_GB2312"/>
          <w:b/>
          <w:sz w:val="24"/>
        </w:rPr>
      </w:pPr>
      <w:bookmarkStart w:id="4" w:name="_Toc169624358"/>
      <w:r>
        <w:rPr>
          <w:rFonts w:ascii="Arial Narrow" w:hAnsi="Arial Narrow" w:eastAsia="仿宋_GB2312"/>
          <w:b/>
          <w:sz w:val="24"/>
        </w:rPr>
        <w:t>一、基本情况</w:t>
      </w:r>
      <w:bookmarkEnd w:id="4"/>
    </w:p>
    <w:p w14:paraId="55350AE1">
      <w:pPr>
        <w:spacing w:before="120" w:beforeLines="50" w:line="360" w:lineRule="auto"/>
        <w:ind w:firstLine="482" w:firstLineChars="200"/>
        <w:jc w:val="left"/>
        <w:outlineLvl w:val="0"/>
        <w:rPr>
          <w:rFonts w:ascii="Arial Narrow" w:hAnsi="Arial Narrow" w:eastAsia="仿宋" w:cs="宋体"/>
          <w:b/>
          <w:bCs/>
          <w:kern w:val="0"/>
          <w:sz w:val="24"/>
        </w:rPr>
      </w:pPr>
      <w:bookmarkStart w:id="5" w:name="_Toc169624359"/>
      <w:r>
        <w:rPr>
          <w:rFonts w:hint="eastAsia" w:ascii="Arial Narrow" w:hAnsi="Arial Narrow" w:eastAsia="仿宋" w:cs="宋体"/>
          <w:b/>
          <w:bCs/>
          <w:kern w:val="0"/>
          <w:sz w:val="24"/>
        </w:rPr>
        <w:t>（一）项目情况</w:t>
      </w:r>
      <w:bookmarkEnd w:id="5"/>
    </w:p>
    <w:p w14:paraId="6C159CC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1.玉龙村水稻种植设施建设项目</w:t>
      </w:r>
    </w:p>
    <w:p w14:paraId="27D2BAF6">
      <w:pPr>
        <w:spacing w:line="360" w:lineRule="auto"/>
        <w:ind w:firstLine="480" w:firstLineChars="200"/>
        <w:rPr>
          <w:rFonts w:ascii="Arial Narrow" w:hAnsi="Arial Narrow" w:eastAsia="仿宋_GB2312" w:cs="宋体"/>
          <w:kern w:val="0"/>
          <w:sz w:val="32"/>
          <w:szCs w:val="32"/>
        </w:rPr>
      </w:pPr>
      <w:r>
        <w:rPr>
          <w:rFonts w:hint="eastAsia" w:ascii="Arial Narrow" w:hAnsi="Arial Narrow" w:eastAsia="仿宋_GB2312" w:cs="宋体"/>
          <w:kern w:val="0"/>
          <w:sz w:val="24"/>
        </w:rPr>
        <w:t>实施单位：</w:t>
      </w:r>
      <w:bookmarkStart w:id="6" w:name="_Hlk171585594"/>
      <w:r>
        <w:rPr>
          <w:rFonts w:hint="eastAsia" w:ascii="Arial Narrow" w:hAnsi="Arial Narrow" w:eastAsia="仿宋_GB2312"/>
          <w:sz w:val="24"/>
          <w:szCs w:val="32"/>
        </w:rPr>
        <w:t>铜梁区平滩镇玉龙村股份经济合作联合社</w:t>
      </w:r>
      <w:r>
        <w:rPr>
          <w:rFonts w:ascii="Arial Narrow" w:hAnsi="Arial Narrow" w:eastAsia="仿宋_GB2312" w:cs="宋体"/>
          <w:kern w:val="0"/>
          <w:sz w:val="32"/>
          <w:szCs w:val="32"/>
        </w:rPr>
        <w:t xml:space="preserve"> </w:t>
      </w:r>
      <w:bookmarkEnd w:id="6"/>
    </w:p>
    <w:p w14:paraId="7D3464C3">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项目内容：购置久保田CX108收割机1台；购置艾禾履带式自走旋耕机1GLZ-230G1台；</w:t>
      </w:r>
    </w:p>
    <w:p w14:paraId="7CAB0E61">
      <w:pPr>
        <w:spacing w:line="360" w:lineRule="auto"/>
        <w:rPr>
          <w:rFonts w:ascii="Arial Narrow" w:hAnsi="Arial Narrow" w:eastAsia="仿宋_GB2312" w:cs="宋体"/>
          <w:kern w:val="0"/>
          <w:sz w:val="24"/>
        </w:rPr>
      </w:pPr>
      <w:r>
        <w:rPr>
          <w:rFonts w:hint="eastAsia" w:ascii="Arial Narrow" w:hAnsi="Arial Narrow" w:eastAsia="仿宋_GB2312" w:cs="宋体"/>
          <w:kern w:val="0"/>
          <w:sz w:val="24"/>
        </w:rPr>
        <w:t>购置微耕机1WG4.0-100FQ-Z1台；购置烘干机5HL-20 1台；新建烘干场地1个，面积350平米。</w:t>
      </w:r>
    </w:p>
    <w:p w14:paraId="098EE836">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项目资金安排情况：该项目2023年计划投入52.953026万元，申请财政专项衔接资金50万元，自筹资金2.953026万元。</w:t>
      </w:r>
    </w:p>
    <w:p w14:paraId="26211AD7">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2.太安村农业示范园区经果林管护项目</w:t>
      </w:r>
    </w:p>
    <w:p w14:paraId="73FA8AF6">
      <w:pPr>
        <w:spacing w:line="360" w:lineRule="auto"/>
        <w:ind w:firstLine="480" w:firstLineChars="200"/>
        <w:rPr>
          <w:rFonts w:ascii="Arial Narrow" w:hAnsi="Arial Narrow" w:eastAsia="仿宋_GB2312"/>
          <w:sz w:val="24"/>
          <w:szCs w:val="32"/>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铜梁区平滩镇太安村股份经济合作联合社</w:t>
      </w:r>
    </w:p>
    <w:p w14:paraId="73B51CC9">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项目内容：购置电动喷雾器20个；购置机动喷雾器2台；购置电动修枝剪25把；购置NPK（15-15-15）复合肥137吨；购置农药一批（含除草、防虫治病、保花保果用）；管护费。</w:t>
      </w:r>
    </w:p>
    <w:p w14:paraId="41CEFCDE">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项目资金安排情况：该项目2023年计划投入71.14656万元，申请财政专项衔接资金70.00万元，自筹1.14656万元。</w:t>
      </w:r>
    </w:p>
    <w:p w14:paraId="57BC4F1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3.四方村农业园区经果林管护项目</w:t>
      </w:r>
    </w:p>
    <w:p w14:paraId="7CF378FC">
      <w:pPr>
        <w:spacing w:line="360" w:lineRule="auto"/>
        <w:ind w:firstLine="480" w:firstLineChars="200"/>
        <w:rPr>
          <w:rFonts w:ascii="Arial Narrow" w:hAnsi="Arial Narrow" w:eastAsia="仿宋_GB2312"/>
          <w:sz w:val="22"/>
          <w:szCs w:val="28"/>
        </w:rPr>
      </w:pPr>
      <w:r>
        <w:rPr>
          <w:rFonts w:hint="eastAsia" w:ascii="Arial Narrow" w:hAnsi="Arial Narrow" w:eastAsia="仿宋_GB2312" w:cs="宋体"/>
          <w:kern w:val="0"/>
          <w:sz w:val="24"/>
        </w:rPr>
        <w:t>实施单位：</w:t>
      </w:r>
      <w:r>
        <w:rPr>
          <w:rFonts w:hint="eastAsia" w:ascii="Arial Narrow" w:hAnsi="Arial Narrow" w:eastAsia="仿宋_GB2312"/>
          <w:sz w:val="24"/>
          <w:szCs w:val="32"/>
        </w:rPr>
        <w:t>铜梁区平滩镇四方村股份经济合作联合社</w:t>
      </w:r>
    </w:p>
    <w:p w14:paraId="1287C7B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项目内容：购买除草草甘膦铵盐100桶、购买杀虫剂一批；购买肥料：NPK（15-15-15）复合肥120吨；购买肥料：硫酸钾10吨；购买电动果剪20把；管护费248870.40元。</w:t>
      </w:r>
    </w:p>
    <w:p w14:paraId="0C6CECE0">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项目资金安排情况：该项目2023年计划投入75.02104万元，申请财政专项衔接资金70万元，自筹资金5.02104万元。</w:t>
      </w:r>
    </w:p>
    <w:p w14:paraId="6A27B78D">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4.高平村农业园区经果林管护项目</w:t>
      </w:r>
    </w:p>
    <w:p w14:paraId="5640C476">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实施单位：铜梁区平滩镇高平村股份经济合作联合社</w:t>
      </w:r>
    </w:p>
    <w:p w14:paraId="6417643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购买农药一批约1.2吨；购买NPK复合肥（15-15-15）84吨；管护人工工资（含除草施肥、防病治虫、疏花疏果、水果采摘技术人员工资）；选果场设备维修：13米升降型输送带一台；9米升降型输送带2台；38/500型输送带滚筒30个；安装80吨地磅1台；规范选果场输电线路材料及人工费。</w:t>
      </w:r>
    </w:p>
    <w:p w14:paraId="44FDE7FC">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项目资金安排情况：该项目2023年计划投入72.6019万元，申请财政专项衔接资金70万元，自筹资金2.6019万元。</w:t>
      </w:r>
    </w:p>
    <w:p w14:paraId="59CD95FA">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5.红河村农业园区经果林管护项目</w:t>
      </w:r>
    </w:p>
    <w:p w14:paraId="7EC33725">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实施单位：铜梁区平滩镇红河村股份经济合作联合社</w:t>
      </w:r>
    </w:p>
    <w:p w14:paraId="6A764D98">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项目内容：1.果树品种改良90亩6000株；2.购买NPK复合肥（15-15-15）35吨；3.管护费。</w:t>
      </w:r>
    </w:p>
    <w:p w14:paraId="739A6EE2">
      <w:pPr>
        <w:spacing w:line="360" w:lineRule="auto"/>
        <w:ind w:firstLine="480" w:firstLineChars="200"/>
        <w:rPr>
          <w:rFonts w:ascii="Arial Narrow" w:hAnsi="Arial Narrow" w:eastAsia="仿宋_GB2312" w:cs="宋体"/>
          <w:kern w:val="0"/>
          <w:sz w:val="24"/>
        </w:rPr>
      </w:pPr>
      <w:r>
        <w:rPr>
          <w:rFonts w:hint="eastAsia" w:ascii="Arial Narrow" w:hAnsi="Arial Narrow" w:eastAsia="仿宋_GB2312" w:cs="宋体"/>
          <w:kern w:val="0"/>
          <w:sz w:val="24"/>
        </w:rPr>
        <w:t>项目资金安排情况：该项目2023年计划投入21.7679万元，申请财政专项衔接资金20万元，自筹资金1.7679万元。</w:t>
      </w:r>
    </w:p>
    <w:p w14:paraId="6FDAB53A">
      <w:pPr>
        <w:spacing w:line="360" w:lineRule="auto"/>
        <w:ind w:firstLine="482" w:firstLineChars="200"/>
        <w:jc w:val="left"/>
        <w:outlineLvl w:val="0"/>
        <w:rPr>
          <w:rFonts w:ascii="Arial Narrow" w:hAnsi="Arial Narrow" w:eastAsia="仿宋_GB2312"/>
          <w:b/>
          <w:sz w:val="24"/>
        </w:rPr>
      </w:pPr>
      <w:bookmarkStart w:id="7" w:name="_Toc169624360"/>
      <w:r>
        <w:rPr>
          <w:rFonts w:ascii="Arial Narrow" w:hAnsi="Arial Narrow" w:eastAsia="仿宋_GB2312"/>
          <w:b/>
          <w:sz w:val="24"/>
        </w:rPr>
        <w:t>二、绩效评价工作情况</w:t>
      </w:r>
      <w:bookmarkEnd w:id="7"/>
    </w:p>
    <w:p w14:paraId="69B1566E">
      <w:pPr>
        <w:spacing w:line="360" w:lineRule="auto"/>
        <w:ind w:firstLine="482" w:firstLineChars="200"/>
        <w:jc w:val="left"/>
        <w:outlineLvl w:val="0"/>
        <w:rPr>
          <w:rFonts w:ascii="Arial Narrow" w:hAnsi="Arial Narrow" w:eastAsia="仿宋_GB2312"/>
          <w:b/>
          <w:sz w:val="24"/>
        </w:rPr>
      </w:pPr>
      <w:bookmarkStart w:id="8" w:name="_Toc513775099"/>
      <w:bookmarkStart w:id="9" w:name="_Toc169624361"/>
      <w:r>
        <w:rPr>
          <w:rFonts w:ascii="Arial Narrow" w:hAnsi="Arial Narrow" w:eastAsia="仿宋_GB2312"/>
          <w:b/>
          <w:sz w:val="24"/>
        </w:rPr>
        <w:t>（一）绩效评价目的</w:t>
      </w:r>
      <w:bookmarkEnd w:id="8"/>
      <w:bookmarkEnd w:id="9"/>
    </w:p>
    <w:p w14:paraId="35D25E8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通过实施财政重点绩效评价，总结项目实施主要成效，分析影响项目绩效的主要问题及成因，为进一步加强财政资金管理、提高资金使用效益提供依据。</w:t>
      </w:r>
    </w:p>
    <w:p w14:paraId="123D2EFC">
      <w:pPr>
        <w:spacing w:line="360" w:lineRule="auto"/>
        <w:ind w:firstLine="482" w:firstLineChars="200"/>
        <w:jc w:val="left"/>
        <w:outlineLvl w:val="0"/>
        <w:rPr>
          <w:rFonts w:ascii="Arial Narrow" w:hAnsi="Arial Narrow" w:eastAsia="仿宋_GB2312"/>
          <w:b/>
          <w:sz w:val="24"/>
        </w:rPr>
      </w:pPr>
      <w:bookmarkStart w:id="10" w:name="_Toc169624362"/>
      <w:bookmarkStart w:id="11" w:name="_Toc513775100"/>
      <w:r>
        <w:rPr>
          <w:rFonts w:ascii="Arial Narrow" w:hAnsi="Arial Narrow" w:eastAsia="仿宋_GB2312"/>
          <w:b/>
          <w:sz w:val="24"/>
        </w:rPr>
        <w:t>（二）绩效评价的</w:t>
      </w:r>
      <w:r>
        <w:rPr>
          <w:rFonts w:hint="eastAsia" w:ascii="Arial Narrow" w:hAnsi="Arial Narrow" w:eastAsia="仿宋_GB2312"/>
          <w:b/>
          <w:sz w:val="24"/>
        </w:rPr>
        <w:t>基本内容</w:t>
      </w:r>
      <w:bookmarkEnd w:id="10"/>
    </w:p>
    <w:p w14:paraId="224AF25F">
      <w:pPr>
        <w:pStyle w:val="13"/>
        <w:spacing w:line="360" w:lineRule="auto"/>
        <w:ind w:firstLine="480" w:firstLineChars="200"/>
        <w:rPr>
          <w:rFonts w:ascii="Arial Narrow" w:hAnsi="Arial Narrow" w:eastAsia="仿宋_GB2312"/>
          <w:color w:val="auto"/>
        </w:rPr>
      </w:pPr>
      <w:bookmarkStart w:id="12" w:name="_Toc166332968"/>
      <w:r>
        <w:rPr>
          <w:rFonts w:hint="eastAsia" w:ascii="Arial Narrow" w:hAnsi="Arial Narrow" w:eastAsia="仿宋_GB2312"/>
          <w:color w:val="auto"/>
        </w:rPr>
        <w:t>1.绩效目标的设定情况；</w:t>
      </w:r>
    </w:p>
    <w:p w14:paraId="1BFDD4B9">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2.资金投入和使用情况；</w:t>
      </w:r>
    </w:p>
    <w:p w14:paraId="079DAF2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3.为实现绩效目标制定的制度、采取的措施等；</w:t>
      </w:r>
    </w:p>
    <w:p w14:paraId="2F77697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4.绩效目标的实现程度及效果；</w:t>
      </w:r>
    </w:p>
    <w:p w14:paraId="201D9328">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5.根据实际情况需要评价的其他内容。</w:t>
      </w:r>
    </w:p>
    <w:p w14:paraId="697F7114">
      <w:pPr>
        <w:spacing w:line="360" w:lineRule="auto"/>
        <w:ind w:firstLine="482" w:firstLineChars="200"/>
        <w:jc w:val="left"/>
        <w:outlineLvl w:val="0"/>
        <w:rPr>
          <w:rFonts w:ascii="Arial Narrow" w:hAnsi="Arial Narrow" w:eastAsia="仿宋_GB2312"/>
          <w:b/>
          <w:sz w:val="24"/>
        </w:rPr>
      </w:pPr>
      <w:bookmarkStart w:id="13" w:name="_Toc169624363"/>
      <w:r>
        <w:rPr>
          <w:rFonts w:ascii="Arial Narrow" w:hAnsi="Arial Narrow" w:eastAsia="仿宋_GB2312"/>
          <w:b/>
          <w:sz w:val="24"/>
        </w:rPr>
        <w:t>（三）绩效评价依据</w:t>
      </w:r>
      <w:bookmarkEnd w:id="11"/>
      <w:bookmarkEnd w:id="12"/>
      <w:bookmarkEnd w:id="13"/>
      <w:bookmarkStart w:id="14" w:name="_Toc335040595"/>
    </w:p>
    <w:bookmarkEnd w:id="14"/>
    <w:p w14:paraId="4C6E3A2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.《重庆市铜梁区财政衔接推进乡村振兴补助资金绩效评价及考核办法》的通知（铜财〔2022〕678号）；</w:t>
      </w:r>
    </w:p>
    <w:p w14:paraId="30A7E6E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.《重庆市铜梁区财政局关于开展 2023年度项目财政重点绩效评价的通知》（铜财〔2024〕237号）；</w:t>
      </w:r>
    </w:p>
    <w:p w14:paraId="2BAFB001">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3.《重庆市财政衔接推进乡村振兴补助资金绩效评价及考核办法》（渝财农〔2022〕2号)</w:t>
      </w:r>
      <w:r>
        <w:rPr>
          <w:rFonts w:ascii="Arial Narrow" w:hAnsi="Arial Narrow" w:eastAsia="仿宋_GB2312"/>
          <w:color w:val="auto"/>
        </w:rPr>
        <w:t xml:space="preserve"> </w:t>
      </w:r>
      <w:r>
        <w:rPr>
          <w:rFonts w:hint="eastAsia" w:ascii="Arial Narrow" w:hAnsi="Arial Narrow" w:eastAsia="仿宋_GB2312"/>
          <w:color w:val="auto"/>
        </w:rPr>
        <w:t>；</w:t>
      </w:r>
    </w:p>
    <w:p w14:paraId="6677639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4.《铜梁区区级政策和项目预算绩效管理办法(试行)》（铜财〔2022〕41号）；</w:t>
      </w:r>
    </w:p>
    <w:p w14:paraId="7FCA099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5.《重庆市财政局等6部门关于加强财政衔接推进乡村振兴补助资金使用管理的实施意见》（渝财农〔2022〕73号）；</w:t>
      </w:r>
    </w:p>
    <w:p w14:paraId="7388AA4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6.《铜梁区巩固拓展脱贫攻坚成果和衔接乡村振兴项目库建设管理实施细则》（铜乡振〔2021〕7号）；</w:t>
      </w:r>
    </w:p>
    <w:p w14:paraId="1C64DCE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7.《铜梁区财政衔接推进乡村振兴补助资金项目公告公示实施办法》（铜委农办〔2021〕19号）；</w:t>
      </w:r>
    </w:p>
    <w:p w14:paraId="1B996166">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8.</w:t>
      </w:r>
      <w:r>
        <w:rPr>
          <w:rFonts w:ascii="Arial Narrow" w:hAnsi="Arial Narrow" w:eastAsia="仿宋_GB2312"/>
          <w:color w:val="auto"/>
        </w:rPr>
        <w:t>《项目支出绩效评价管理办法》（财预</w:t>
      </w:r>
      <w:r>
        <w:rPr>
          <w:rFonts w:hint="eastAsia" w:ascii="Arial Narrow" w:hAnsi="Arial Narrow" w:eastAsia="仿宋_GB2312"/>
          <w:color w:val="auto"/>
        </w:rPr>
        <w:t>〔2020〕</w:t>
      </w:r>
      <w:r>
        <w:rPr>
          <w:rFonts w:ascii="Arial Narrow" w:hAnsi="Arial Narrow" w:eastAsia="仿宋_GB2312"/>
          <w:color w:val="auto"/>
        </w:rPr>
        <w:t>10号）</w:t>
      </w:r>
      <w:r>
        <w:rPr>
          <w:rFonts w:hint="eastAsia" w:ascii="Arial Narrow" w:hAnsi="Arial Narrow" w:eastAsia="仿宋_GB2312"/>
          <w:color w:val="auto"/>
        </w:rPr>
        <w:t>；</w:t>
      </w:r>
    </w:p>
    <w:p w14:paraId="264A6235">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9.</w:t>
      </w:r>
      <w:r>
        <w:rPr>
          <w:rFonts w:ascii="Arial Narrow" w:hAnsi="Arial Narrow" w:eastAsia="仿宋_GB2312"/>
          <w:color w:val="auto"/>
        </w:rPr>
        <w:t>《重庆市市级政策和项目预算绩效管理办法》（渝财绩</w:t>
      </w:r>
      <w:r>
        <w:rPr>
          <w:rFonts w:hint="eastAsia" w:ascii="Arial Narrow" w:hAnsi="Arial Narrow" w:eastAsia="仿宋_GB2312"/>
          <w:color w:val="auto"/>
        </w:rPr>
        <w:t>〔2019〕</w:t>
      </w:r>
      <w:r>
        <w:rPr>
          <w:rFonts w:ascii="Arial Narrow" w:hAnsi="Arial Narrow" w:eastAsia="仿宋_GB2312"/>
          <w:color w:val="auto"/>
        </w:rPr>
        <w:t>19号）</w:t>
      </w:r>
      <w:r>
        <w:rPr>
          <w:rFonts w:hint="eastAsia" w:ascii="Arial Narrow" w:hAnsi="Arial Narrow" w:eastAsia="仿宋_GB2312"/>
          <w:color w:val="auto"/>
        </w:rPr>
        <w:t>；</w:t>
      </w:r>
    </w:p>
    <w:p w14:paraId="4C2BCBB3">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10.</w:t>
      </w:r>
      <w:r>
        <w:rPr>
          <w:rFonts w:ascii="Arial Narrow" w:hAnsi="Arial Narrow" w:eastAsia="仿宋_GB2312"/>
          <w:color w:val="auto"/>
        </w:rPr>
        <w:t>《会计师事务所财政支出绩效评价业务指引》（注协</w:t>
      </w:r>
      <w:bookmarkStart w:id="15" w:name="_Hlk162597612"/>
      <w:r>
        <w:rPr>
          <w:rFonts w:hint="eastAsia" w:ascii="Arial Narrow" w:hAnsi="Arial Narrow" w:eastAsia="仿宋_GB2312"/>
          <w:color w:val="auto"/>
        </w:rPr>
        <w:t>〔2016〕</w:t>
      </w:r>
      <w:bookmarkEnd w:id="15"/>
      <w:r>
        <w:rPr>
          <w:rFonts w:ascii="Arial Narrow" w:hAnsi="Arial Narrow" w:eastAsia="仿宋_GB2312"/>
          <w:color w:val="auto"/>
        </w:rPr>
        <w:t>10号）</w:t>
      </w:r>
      <w:r>
        <w:rPr>
          <w:rFonts w:hint="eastAsia" w:ascii="Arial Narrow" w:hAnsi="Arial Narrow" w:eastAsia="仿宋_GB2312"/>
          <w:color w:val="auto"/>
        </w:rPr>
        <w:t>；</w:t>
      </w:r>
    </w:p>
    <w:p w14:paraId="14D3568A">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11.</w:t>
      </w:r>
      <w:r>
        <w:rPr>
          <w:rFonts w:ascii="Arial Narrow" w:hAnsi="Arial Narrow" w:eastAsia="仿宋_GB2312"/>
          <w:color w:val="auto"/>
        </w:rPr>
        <w:t>评价工作人员通过现场调查、核实等获得的资料等</w:t>
      </w:r>
      <w:r>
        <w:rPr>
          <w:rFonts w:hint="eastAsia" w:ascii="Arial Narrow" w:hAnsi="Arial Narrow" w:eastAsia="仿宋_GB2312"/>
          <w:color w:val="auto"/>
        </w:rPr>
        <w:t>。</w:t>
      </w:r>
    </w:p>
    <w:p w14:paraId="6556FD03">
      <w:pPr>
        <w:spacing w:line="360" w:lineRule="auto"/>
        <w:ind w:firstLine="482" w:firstLineChars="200"/>
        <w:jc w:val="left"/>
        <w:outlineLvl w:val="0"/>
        <w:rPr>
          <w:rFonts w:ascii="Arial Narrow" w:hAnsi="Arial Narrow" w:eastAsia="仿宋_GB2312"/>
          <w:b/>
          <w:sz w:val="24"/>
        </w:rPr>
      </w:pPr>
      <w:bookmarkStart w:id="16" w:name="_Toc169624364"/>
      <w:r>
        <w:rPr>
          <w:rFonts w:ascii="Arial Narrow" w:hAnsi="Arial Narrow" w:eastAsia="仿宋_GB2312"/>
          <w:b/>
          <w:sz w:val="24"/>
        </w:rPr>
        <w:t>（四）绩效评价原则和指标体系</w:t>
      </w:r>
      <w:bookmarkEnd w:id="16"/>
    </w:p>
    <w:p w14:paraId="1F52E1C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绩效评价主要遵循以下原则：</w:t>
      </w:r>
    </w:p>
    <w:p w14:paraId="5C3BCF5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w:t>
      </w:r>
      <w:r>
        <w:rPr>
          <w:rFonts w:ascii="Arial Narrow" w:hAnsi="Arial Narrow" w:eastAsia="仿宋_GB2312"/>
          <w:color w:val="auto"/>
        </w:rPr>
        <w:t>相关性原则。应当与绩效目标有直接的联系，能够恰当反映目标的实现程度。</w:t>
      </w:r>
    </w:p>
    <w:p w14:paraId="21F9FA8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w:t>
      </w:r>
      <w:r>
        <w:rPr>
          <w:rFonts w:ascii="Arial Narrow" w:hAnsi="Arial Narrow" w:eastAsia="仿宋_GB2312"/>
          <w:color w:val="auto"/>
        </w:rPr>
        <w:t>重要性原则。应当优先使用最具评价对象代表性、最能反映评价要求的核心指标。</w:t>
      </w:r>
    </w:p>
    <w:p w14:paraId="3E56B80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（3）可比性原则。对同类评价对象要设定共性的绩效评价指标，以便于评价结果可以相互比较。</w:t>
      </w:r>
    </w:p>
    <w:p w14:paraId="1EF850BD">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（4）系统性原则。应当将定量指标与定性指标相结合，系统反映财政支出所产生的社会效益和可持续影响等。</w:t>
      </w:r>
    </w:p>
    <w:p w14:paraId="50EFC1D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（5）经济性原则。应当通俗易懂、简便易行，数据的获得应当考虑现实条件和可操作性，符合成本效益原则。</w:t>
      </w:r>
    </w:p>
    <w:p w14:paraId="079AAACF">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绩效评价指标体系</w:t>
      </w:r>
    </w:p>
    <w:p w14:paraId="6FDB4BD4">
      <w:pPr>
        <w:pStyle w:val="13"/>
        <w:spacing w:line="360" w:lineRule="auto"/>
        <w:ind w:firstLine="480" w:firstLineChars="200"/>
        <w:jc w:val="both"/>
        <w:rPr>
          <w:rFonts w:ascii="Arial Narrow" w:hAnsi="Arial Narrow" w:eastAsia="仿宋_GB2312"/>
          <w:color w:val="auto"/>
        </w:rPr>
      </w:pPr>
      <w:r>
        <w:rPr>
          <w:rFonts w:hint="eastAsia" w:ascii="Arial Narrow" w:hAnsi="Arial Narrow" w:eastAsia="仿宋_GB2312"/>
          <w:color w:val="auto"/>
        </w:rPr>
        <w:t>根据《重庆市铜梁区财政衔接推进乡村振兴补助资金绩效评价及考核办法》的通知（铜财〔2022〕678号</w:t>
      </w:r>
      <w:r>
        <w:rPr>
          <w:rFonts w:ascii="Arial Narrow" w:hAnsi="Arial Narrow" w:eastAsia="仿宋_GB2312"/>
          <w:color w:val="auto"/>
        </w:rPr>
        <w:t>)</w:t>
      </w:r>
      <w:r>
        <w:rPr>
          <w:rFonts w:hint="eastAsia" w:ascii="Arial Narrow" w:hAnsi="Arial Narrow" w:eastAsia="仿宋_GB2312"/>
          <w:color w:val="auto"/>
        </w:rPr>
        <w:t>，本次绩效评价及考核指标体系如下：</w:t>
      </w:r>
    </w:p>
    <w:p w14:paraId="7835F970">
      <w:pPr>
        <w:pStyle w:val="13"/>
        <w:spacing w:line="360" w:lineRule="auto"/>
        <w:ind w:firstLine="482" w:firstLineChars="200"/>
        <w:jc w:val="center"/>
        <w:rPr>
          <w:rFonts w:ascii="Arial Narrow" w:hAnsi="Arial Narrow" w:eastAsia="仿宋_GB2312"/>
          <w:b/>
          <w:bCs/>
          <w:color w:val="auto"/>
        </w:rPr>
      </w:pPr>
      <w:r>
        <w:rPr>
          <w:rFonts w:hint="eastAsia" w:ascii="Arial Narrow" w:hAnsi="Arial Narrow" w:eastAsia="仿宋_GB2312"/>
          <w:b/>
          <w:bCs/>
          <w:color w:val="auto"/>
        </w:rPr>
        <w:t>铜梁区衔接资金项目绩效评价及考核指标评分表</w:t>
      </w:r>
    </w:p>
    <w:tbl>
      <w:tblPr>
        <w:tblStyle w:val="8"/>
        <w:tblW w:w="9491" w:type="dxa"/>
        <w:tblInd w:w="113" w:type="dxa"/>
        <w:tblLayout w:type="fixed"/>
        <w:tblCellMar>
          <w:top w:w="0" w:type="dxa"/>
          <w:left w:w="108" w:type="dxa"/>
          <w:bottom w:w="0" w:type="dxa"/>
          <w:right w:w="108" w:type="dxa"/>
        </w:tblCellMar>
      </w:tblPr>
      <w:tblGrid>
        <w:gridCol w:w="536"/>
        <w:gridCol w:w="1017"/>
        <w:gridCol w:w="1049"/>
        <w:gridCol w:w="536"/>
        <w:gridCol w:w="2762"/>
        <w:gridCol w:w="3591"/>
      </w:tblGrid>
      <w:tr w14:paraId="448FE253">
        <w:tblPrEx>
          <w:tblCellMar>
            <w:top w:w="0" w:type="dxa"/>
            <w:left w:w="108" w:type="dxa"/>
            <w:bottom w:w="0" w:type="dxa"/>
            <w:right w:w="108" w:type="dxa"/>
          </w:tblCellMar>
        </w:tblPrEx>
        <w:trPr>
          <w:cantSplit/>
          <w:trHeight w:val="201" w:hRule="atLeast"/>
        </w:trPr>
        <w:tc>
          <w:tcPr>
            <w:tcW w:w="53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4DA1C99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序号</w:t>
            </w:r>
          </w:p>
        </w:tc>
        <w:tc>
          <w:tcPr>
            <w:tcW w:w="1017" w:type="dxa"/>
            <w:tcBorders>
              <w:top w:val="single" w:color="auto" w:sz="4" w:space="0"/>
              <w:left w:val="nil"/>
              <w:bottom w:val="single" w:color="auto" w:sz="4" w:space="0"/>
              <w:right w:val="single" w:color="auto" w:sz="4" w:space="0"/>
            </w:tcBorders>
            <w:shd w:val="clear" w:color="auto" w:fill="auto"/>
            <w:noWrap/>
            <w:vAlign w:val="center"/>
          </w:tcPr>
          <w:p w14:paraId="1AB47D2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一级指标</w:t>
            </w:r>
          </w:p>
        </w:tc>
        <w:tc>
          <w:tcPr>
            <w:tcW w:w="1049" w:type="dxa"/>
            <w:tcBorders>
              <w:top w:val="single" w:color="auto" w:sz="4" w:space="0"/>
              <w:left w:val="nil"/>
              <w:bottom w:val="single" w:color="auto" w:sz="4" w:space="0"/>
              <w:right w:val="single" w:color="auto" w:sz="4" w:space="0"/>
            </w:tcBorders>
            <w:shd w:val="clear" w:color="auto" w:fill="auto"/>
            <w:noWrap/>
            <w:vAlign w:val="center"/>
          </w:tcPr>
          <w:p w14:paraId="0DC4401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二级指标</w:t>
            </w:r>
          </w:p>
        </w:tc>
        <w:tc>
          <w:tcPr>
            <w:tcW w:w="536" w:type="dxa"/>
            <w:tcBorders>
              <w:top w:val="single" w:color="auto" w:sz="4" w:space="0"/>
              <w:left w:val="nil"/>
              <w:bottom w:val="single" w:color="auto" w:sz="4" w:space="0"/>
              <w:right w:val="single" w:color="auto" w:sz="4" w:space="0"/>
            </w:tcBorders>
            <w:shd w:val="clear" w:color="auto" w:fill="auto"/>
            <w:noWrap/>
            <w:vAlign w:val="center"/>
          </w:tcPr>
          <w:p w14:paraId="22DB2A5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分值</w:t>
            </w:r>
          </w:p>
        </w:tc>
        <w:tc>
          <w:tcPr>
            <w:tcW w:w="2762" w:type="dxa"/>
            <w:tcBorders>
              <w:top w:val="single" w:color="auto" w:sz="4" w:space="0"/>
              <w:left w:val="nil"/>
              <w:bottom w:val="single" w:color="auto" w:sz="4" w:space="0"/>
              <w:right w:val="single" w:color="auto" w:sz="4" w:space="0"/>
            </w:tcBorders>
            <w:shd w:val="clear" w:color="auto" w:fill="auto"/>
            <w:noWrap/>
            <w:vAlign w:val="center"/>
          </w:tcPr>
          <w:p w14:paraId="190C347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指标释义</w:t>
            </w:r>
          </w:p>
        </w:tc>
        <w:tc>
          <w:tcPr>
            <w:tcW w:w="3591" w:type="dxa"/>
            <w:tcBorders>
              <w:top w:val="single" w:color="auto" w:sz="4" w:space="0"/>
              <w:left w:val="nil"/>
              <w:bottom w:val="single" w:color="auto" w:sz="4" w:space="0"/>
              <w:right w:val="single" w:color="auto" w:sz="4" w:space="0"/>
            </w:tcBorders>
            <w:shd w:val="clear" w:color="auto" w:fill="auto"/>
            <w:noWrap/>
            <w:vAlign w:val="center"/>
          </w:tcPr>
          <w:p w14:paraId="7003EFB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评价标准</w:t>
            </w:r>
          </w:p>
        </w:tc>
      </w:tr>
      <w:tr w14:paraId="6CA1A2D5">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72F0D7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1BD760E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资金管理（5分）</w:t>
            </w:r>
          </w:p>
        </w:tc>
        <w:tc>
          <w:tcPr>
            <w:tcW w:w="1049" w:type="dxa"/>
            <w:tcBorders>
              <w:top w:val="nil"/>
              <w:left w:val="nil"/>
              <w:bottom w:val="single" w:color="auto" w:sz="4" w:space="0"/>
              <w:right w:val="single" w:color="auto" w:sz="4" w:space="0"/>
            </w:tcBorders>
            <w:shd w:val="clear" w:color="auto" w:fill="auto"/>
            <w:vAlign w:val="center"/>
          </w:tcPr>
          <w:p w14:paraId="0581CCA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财政衔接资金安排情况</w:t>
            </w:r>
          </w:p>
        </w:tc>
        <w:tc>
          <w:tcPr>
            <w:tcW w:w="536" w:type="dxa"/>
            <w:tcBorders>
              <w:top w:val="nil"/>
              <w:left w:val="nil"/>
              <w:bottom w:val="single" w:color="auto" w:sz="4" w:space="0"/>
              <w:right w:val="single" w:color="auto" w:sz="4" w:space="0"/>
            </w:tcBorders>
            <w:shd w:val="clear" w:color="auto" w:fill="auto"/>
            <w:vAlign w:val="center"/>
          </w:tcPr>
          <w:p w14:paraId="331FF56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2762" w:type="dxa"/>
            <w:tcBorders>
              <w:top w:val="nil"/>
              <w:left w:val="nil"/>
              <w:bottom w:val="single" w:color="auto" w:sz="4" w:space="0"/>
              <w:right w:val="single" w:color="auto" w:sz="4" w:space="0"/>
            </w:tcBorders>
            <w:shd w:val="clear" w:color="auto" w:fill="auto"/>
            <w:vAlign w:val="center"/>
          </w:tcPr>
          <w:p w14:paraId="37C3DF8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是否落实《重庆市财政局等6部门关于加强财政衔接推进乡村振兴补助资金使用管理的实施意见》（渝财农〔2022〕73号）、《重庆市铜梁区财政衔接推进乡村振兴补助资金管理实施细则》（铜财〔2021〕431号）等相关政策性文件规定财政支持原则。</w:t>
            </w:r>
          </w:p>
        </w:tc>
        <w:tc>
          <w:tcPr>
            <w:tcW w:w="3591" w:type="dxa"/>
            <w:tcBorders>
              <w:top w:val="nil"/>
              <w:left w:val="nil"/>
              <w:bottom w:val="single" w:color="auto" w:sz="4" w:space="0"/>
              <w:right w:val="single" w:color="auto" w:sz="4" w:space="0"/>
            </w:tcBorders>
            <w:shd w:val="clear" w:color="auto" w:fill="auto"/>
            <w:vAlign w:val="center"/>
          </w:tcPr>
          <w:p w14:paraId="5B286F5C">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资金使用方向符合文件规定（2分）。</w:t>
            </w:r>
          </w:p>
        </w:tc>
      </w:tr>
      <w:tr w14:paraId="1072B2DC">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321CBC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2</w:t>
            </w:r>
          </w:p>
        </w:tc>
        <w:tc>
          <w:tcPr>
            <w:tcW w:w="1017" w:type="dxa"/>
            <w:vMerge w:val="continue"/>
            <w:tcBorders>
              <w:top w:val="nil"/>
              <w:left w:val="single" w:color="auto" w:sz="4" w:space="0"/>
              <w:bottom w:val="single" w:color="auto" w:sz="4" w:space="0"/>
              <w:right w:val="single" w:color="auto" w:sz="4" w:space="0"/>
            </w:tcBorders>
            <w:vAlign w:val="center"/>
          </w:tcPr>
          <w:p w14:paraId="08DC9C7E">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7C0AF33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资金分解下达进度</w:t>
            </w:r>
          </w:p>
        </w:tc>
        <w:tc>
          <w:tcPr>
            <w:tcW w:w="536" w:type="dxa"/>
            <w:tcBorders>
              <w:top w:val="nil"/>
              <w:left w:val="nil"/>
              <w:bottom w:val="single" w:color="auto" w:sz="4" w:space="0"/>
              <w:right w:val="single" w:color="auto" w:sz="4" w:space="0"/>
            </w:tcBorders>
            <w:shd w:val="clear" w:color="auto" w:fill="auto"/>
            <w:noWrap/>
            <w:vAlign w:val="center"/>
          </w:tcPr>
          <w:p w14:paraId="203F7EB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2762" w:type="dxa"/>
            <w:tcBorders>
              <w:top w:val="nil"/>
              <w:left w:val="nil"/>
              <w:bottom w:val="single" w:color="auto" w:sz="4" w:space="0"/>
              <w:right w:val="single" w:color="auto" w:sz="4" w:space="0"/>
            </w:tcBorders>
            <w:shd w:val="clear" w:color="auto" w:fill="auto"/>
            <w:vAlign w:val="center"/>
          </w:tcPr>
          <w:p w14:paraId="60AE7FF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评价区级业务主管部门分解下达当年资金及次年提前批资金进度情况。</w:t>
            </w:r>
          </w:p>
        </w:tc>
        <w:tc>
          <w:tcPr>
            <w:tcW w:w="3591" w:type="dxa"/>
            <w:tcBorders>
              <w:top w:val="nil"/>
              <w:left w:val="nil"/>
              <w:bottom w:val="single" w:color="auto" w:sz="4" w:space="0"/>
              <w:right w:val="single" w:color="auto" w:sz="4" w:space="0"/>
            </w:tcBorders>
            <w:shd w:val="clear" w:color="auto" w:fill="auto"/>
            <w:vAlign w:val="center"/>
          </w:tcPr>
          <w:p w14:paraId="21B5390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区财政局下达资金文件时间到区级业务主管部门下达项目及资金计划文件时间间隔≤30日（3分）。</w:t>
            </w:r>
          </w:p>
        </w:tc>
      </w:tr>
      <w:tr w14:paraId="747D556A">
        <w:tblPrEx>
          <w:tblCellMar>
            <w:top w:w="0" w:type="dxa"/>
            <w:left w:w="108" w:type="dxa"/>
            <w:bottom w:w="0" w:type="dxa"/>
            <w:right w:w="108" w:type="dxa"/>
          </w:tblCellMar>
        </w:tblPrEx>
        <w:trPr>
          <w:cantSplit/>
          <w:trHeight w:val="108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1AE561F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74E01F2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项目管理（55分）</w:t>
            </w:r>
          </w:p>
        </w:tc>
        <w:tc>
          <w:tcPr>
            <w:tcW w:w="1049" w:type="dxa"/>
            <w:tcBorders>
              <w:top w:val="nil"/>
              <w:left w:val="nil"/>
              <w:bottom w:val="single" w:color="auto" w:sz="4" w:space="0"/>
              <w:right w:val="single" w:color="auto" w:sz="4" w:space="0"/>
            </w:tcBorders>
            <w:shd w:val="clear" w:color="auto" w:fill="auto"/>
            <w:vAlign w:val="center"/>
          </w:tcPr>
          <w:p w14:paraId="59A7DA1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项目库建设管理情况</w:t>
            </w:r>
          </w:p>
        </w:tc>
        <w:tc>
          <w:tcPr>
            <w:tcW w:w="536" w:type="dxa"/>
            <w:tcBorders>
              <w:top w:val="nil"/>
              <w:left w:val="nil"/>
              <w:bottom w:val="single" w:color="auto" w:sz="4" w:space="0"/>
              <w:right w:val="single" w:color="auto" w:sz="4" w:space="0"/>
            </w:tcBorders>
            <w:shd w:val="clear" w:color="auto" w:fill="auto"/>
            <w:noWrap/>
            <w:vAlign w:val="center"/>
          </w:tcPr>
          <w:p w14:paraId="0591521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nil"/>
              <w:right w:val="nil"/>
            </w:tcBorders>
            <w:shd w:val="clear" w:color="auto" w:fill="auto"/>
            <w:vAlign w:val="center"/>
          </w:tcPr>
          <w:p w14:paraId="02312E4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评价落实《铜梁区巩固拓展脱贫攻坚成果和衔接乡村振兴项目库建设管理实施细则》（铜乡振〔2021〕7号）落实情况。根据抽查情况赋分。</w:t>
            </w:r>
          </w:p>
        </w:tc>
        <w:tc>
          <w:tcPr>
            <w:tcW w:w="3591" w:type="dxa"/>
            <w:tcBorders>
              <w:top w:val="nil"/>
              <w:left w:val="single" w:color="auto" w:sz="4" w:space="0"/>
              <w:bottom w:val="single" w:color="auto" w:sz="4" w:space="0"/>
              <w:right w:val="single" w:color="auto" w:sz="4" w:space="0"/>
            </w:tcBorders>
            <w:shd w:val="clear" w:color="auto" w:fill="auto"/>
            <w:vAlign w:val="center"/>
          </w:tcPr>
          <w:p w14:paraId="4F46AD9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1.项目入库及时充分、程序规范、内容完整（3分）；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2.入库项目具备实施条件（2分）；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3.衔接资金用于项目库之外的项目（-5分）。</w:t>
            </w:r>
          </w:p>
        </w:tc>
      </w:tr>
      <w:tr w14:paraId="2D582004">
        <w:tblPrEx>
          <w:tblCellMar>
            <w:top w:w="0" w:type="dxa"/>
            <w:left w:w="108" w:type="dxa"/>
            <w:bottom w:w="0" w:type="dxa"/>
            <w:right w:w="108" w:type="dxa"/>
          </w:tblCellMar>
        </w:tblPrEx>
        <w:trPr>
          <w:cantSplit/>
          <w:trHeight w:val="162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9C1F8F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4</w:t>
            </w:r>
          </w:p>
        </w:tc>
        <w:tc>
          <w:tcPr>
            <w:tcW w:w="1017" w:type="dxa"/>
            <w:vMerge w:val="continue"/>
            <w:tcBorders>
              <w:top w:val="nil"/>
              <w:left w:val="single" w:color="auto" w:sz="4" w:space="0"/>
              <w:bottom w:val="single" w:color="auto" w:sz="4" w:space="0"/>
              <w:right w:val="single" w:color="auto" w:sz="4" w:space="0"/>
            </w:tcBorders>
            <w:vAlign w:val="center"/>
          </w:tcPr>
          <w:p w14:paraId="36587743">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58333C57">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项目绩效管理情况</w:t>
            </w:r>
          </w:p>
        </w:tc>
        <w:tc>
          <w:tcPr>
            <w:tcW w:w="536" w:type="dxa"/>
            <w:tcBorders>
              <w:top w:val="nil"/>
              <w:left w:val="nil"/>
              <w:bottom w:val="single" w:color="auto" w:sz="4" w:space="0"/>
              <w:right w:val="single" w:color="auto" w:sz="4" w:space="0"/>
            </w:tcBorders>
            <w:shd w:val="clear" w:color="auto" w:fill="auto"/>
            <w:noWrap/>
            <w:vAlign w:val="center"/>
          </w:tcPr>
          <w:p w14:paraId="14F85B60">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single" w:color="auto" w:sz="4" w:space="0"/>
              <w:left w:val="nil"/>
              <w:bottom w:val="single" w:color="auto" w:sz="4" w:space="0"/>
              <w:right w:val="single" w:color="auto" w:sz="4" w:space="0"/>
            </w:tcBorders>
            <w:shd w:val="clear" w:color="auto" w:fill="auto"/>
            <w:vAlign w:val="center"/>
          </w:tcPr>
          <w:p w14:paraId="45853C5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评价具体项目实施方案明确绩效目标情况、开展跟踪监督绩效监控情况、事后评价情况等。根据抽查情况赋分。</w:t>
            </w:r>
          </w:p>
        </w:tc>
        <w:tc>
          <w:tcPr>
            <w:tcW w:w="3591" w:type="dxa"/>
            <w:tcBorders>
              <w:top w:val="nil"/>
              <w:left w:val="nil"/>
              <w:bottom w:val="single" w:color="auto" w:sz="4" w:space="0"/>
              <w:right w:val="single" w:color="auto" w:sz="4" w:space="0"/>
            </w:tcBorders>
            <w:shd w:val="clear" w:color="auto" w:fill="auto"/>
            <w:vAlign w:val="center"/>
          </w:tcPr>
          <w:p w14:paraId="492733F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1.及时制定绩效目标、审核绩效目标（2分）；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2.开展绩效监控不少于1次（2分）；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3.对绩效目标偏离项目采取纠偏措施（2分）；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4.项目实施完毕后立即开展绩效自评，并形成绩效自评报告及绩效自评表。（2分）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5.项目绩效是否达到预期。（2分）</w:t>
            </w:r>
          </w:p>
        </w:tc>
      </w:tr>
      <w:tr w14:paraId="39AABCDD">
        <w:tblPrEx>
          <w:tblCellMar>
            <w:top w:w="0" w:type="dxa"/>
            <w:left w:w="108" w:type="dxa"/>
            <w:bottom w:w="0" w:type="dxa"/>
            <w:right w:w="108" w:type="dxa"/>
          </w:tblCellMar>
        </w:tblPrEx>
        <w:trPr>
          <w:cantSplit/>
          <w:trHeight w:val="242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9A7DC0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1017" w:type="dxa"/>
            <w:vMerge w:val="continue"/>
            <w:tcBorders>
              <w:top w:val="nil"/>
              <w:left w:val="single" w:color="auto" w:sz="4" w:space="0"/>
              <w:bottom w:val="single" w:color="auto" w:sz="4" w:space="0"/>
              <w:right w:val="single" w:color="auto" w:sz="4" w:space="0"/>
            </w:tcBorders>
            <w:vAlign w:val="center"/>
          </w:tcPr>
          <w:p w14:paraId="08D42BDF">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6664F15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项目建设管理情况</w:t>
            </w:r>
          </w:p>
        </w:tc>
        <w:tc>
          <w:tcPr>
            <w:tcW w:w="536" w:type="dxa"/>
            <w:tcBorders>
              <w:top w:val="nil"/>
              <w:left w:val="nil"/>
              <w:bottom w:val="single" w:color="auto" w:sz="4" w:space="0"/>
              <w:right w:val="single" w:color="auto" w:sz="4" w:space="0"/>
            </w:tcBorders>
            <w:shd w:val="clear" w:color="auto" w:fill="auto"/>
            <w:vAlign w:val="center"/>
          </w:tcPr>
          <w:p w14:paraId="7A67122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2762" w:type="dxa"/>
            <w:tcBorders>
              <w:top w:val="nil"/>
              <w:left w:val="nil"/>
              <w:bottom w:val="single" w:color="auto" w:sz="4" w:space="0"/>
              <w:right w:val="single" w:color="auto" w:sz="4" w:space="0"/>
            </w:tcBorders>
            <w:shd w:val="clear" w:color="auto" w:fill="auto"/>
            <w:vAlign w:val="center"/>
          </w:tcPr>
          <w:p w14:paraId="7A9B40A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评价有序推进项目前期工作、组织实施、项目验收、资料报送等情况。根据抽查情况赋分。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64CD915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1.项目实施方法存在变更是否按规定报批；（1分）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2.是否定期对项目实施情况进行监督检查，对检查中发现的问题进行整改；（2分）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3.是否按照项目实施节点按时提交项目报账资料；（1分）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4.日常管理资料是否及时归档整理；（1分）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5.项目完工后是否在规定时间内进行验收。（1分）</w:t>
            </w:r>
          </w:p>
        </w:tc>
      </w:tr>
      <w:tr w14:paraId="0B7DF200">
        <w:tblPrEx>
          <w:tblCellMar>
            <w:top w:w="0" w:type="dxa"/>
            <w:left w:w="108" w:type="dxa"/>
            <w:bottom w:w="0" w:type="dxa"/>
            <w:right w:w="108" w:type="dxa"/>
          </w:tblCellMar>
        </w:tblPrEx>
        <w:trPr>
          <w:cantSplit/>
          <w:trHeight w:val="405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26AE053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6</w:t>
            </w:r>
          </w:p>
        </w:tc>
        <w:tc>
          <w:tcPr>
            <w:tcW w:w="1017" w:type="dxa"/>
            <w:vMerge w:val="continue"/>
            <w:tcBorders>
              <w:top w:val="nil"/>
              <w:left w:val="single" w:color="auto" w:sz="4" w:space="0"/>
              <w:bottom w:val="single" w:color="auto" w:sz="4" w:space="0"/>
              <w:right w:val="single" w:color="auto" w:sz="4" w:space="0"/>
            </w:tcBorders>
            <w:vAlign w:val="center"/>
          </w:tcPr>
          <w:p w14:paraId="31C7A34C">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072DB92">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预算执行率情况</w:t>
            </w:r>
          </w:p>
        </w:tc>
        <w:tc>
          <w:tcPr>
            <w:tcW w:w="536" w:type="dxa"/>
            <w:tcBorders>
              <w:top w:val="nil"/>
              <w:left w:val="nil"/>
              <w:bottom w:val="single" w:color="auto" w:sz="4" w:space="0"/>
              <w:right w:val="single" w:color="auto" w:sz="4" w:space="0"/>
            </w:tcBorders>
            <w:shd w:val="clear" w:color="auto" w:fill="auto"/>
            <w:noWrap/>
            <w:vAlign w:val="center"/>
          </w:tcPr>
          <w:p w14:paraId="5E8FB66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2762" w:type="dxa"/>
            <w:tcBorders>
              <w:top w:val="nil"/>
              <w:left w:val="nil"/>
              <w:bottom w:val="single" w:color="auto" w:sz="4" w:space="0"/>
              <w:right w:val="single" w:color="auto" w:sz="4" w:space="0"/>
            </w:tcBorders>
            <w:shd w:val="clear" w:color="auto" w:fill="auto"/>
            <w:vAlign w:val="center"/>
          </w:tcPr>
          <w:p w14:paraId="3E9C79BD">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评价有序推进项目工作和资金支付情况。根据抽查情况赋分。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3F299B4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1.主要通过支出进度评价有序推进项目工作和资金支付情况，于7月末、10月中旬定期调度。</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1.7月末支出进度评分4分。资金支出进度达到全区平均进度或者序时进度的，得满分；未达到的按照与序时进度的比例扣分；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2.10月中旬支出进度评分4分。资金支出进度达到全区平均进度或者序时进度的，得满分；未达到的按照与序时进度的比例扣分；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3.10月底的资金预算执行率达到100%,得4分，没达到不得分；11月中旬资金预算执行率达到100%,得3分，没达到不得分；12月中旬的资金预算执行率达到100%,得2分，没达到不得分；12月中旬及以后预算执行率达到100%，得1分，没达到不得分；12月底预算执行率未达到100%，扣12分。</w:t>
            </w:r>
          </w:p>
        </w:tc>
      </w:tr>
      <w:tr w14:paraId="7808C3B9">
        <w:tblPrEx>
          <w:tblCellMar>
            <w:top w:w="0" w:type="dxa"/>
            <w:left w:w="108" w:type="dxa"/>
            <w:bottom w:w="0" w:type="dxa"/>
            <w:right w:w="108" w:type="dxa"/>
          </w:tblCellMar>
        </w:tblPrEx>
        <w:trPr>
          <w:cantSplit/>
          <w:trHeight w:val="2165"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10987D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7</w:t>
            </w:r>
          </w:p>
        </w:tc>
        <w:tc>
          <w:tcPr>
            <w:tcW w:w="1017" w:type="dxa"/>
            <w:vMerge w:val="continue"/>
            <w:tcBorders>
              <w:top w:val="nil"/>
              <w:left w:val="single" w:color="auto" w:sz="4" w:space="0"/>
              <w:bottom w:val="single" w:color="auto" w:sz="4" w:space="0"/>
              <w:right w:val="single" w:color="auto" w:sz="4" w:space="0"/>
            </w:tcBorders>
            <w:vAlign w:val="center"/>
          </w:tcPr>
          <w:p w14:paraId="52A4A7A8">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2D8BCED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跟踪督促及发现问题整改情况</w:t>
            </w:r>
          </w:p>
        </w:tc>
        <w:tc>
          <w:tcPr>
            <w:tcW w:w="536" w:type="dxa"/>
            <w:tcBorders>
              <w:top w:val="nil"/>
              <w:left w:val="nil"/>
              <w:bottom w:val="single" w:color="auto" w:sz="4" w:space="0"/>
              <w:right w:val="single" w:color="auto" w:sz="4" w:space="0"/>
            </w:tcBorders>
            <w:shd w:val="clear" w:color="auto" w:fill="auto"/>
            <w:noWrap/>
            <w:vAlign w:val="center"/>
          </w:tcPr>
          <w:p w14:paraId="33B0FC7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2762" w:type="dxa"/>
            <w:tcBorders>
              <w:top w:val="nil"/>
              <w:left w:val="nil"/>
              <w:bottom w:val="single" w:color="auto" w:sz="4" w:space="0"/>
              <w:right w:val="single" w:color="auto" w:sz="4" w:space="0"/>
            </w:tcBorders>
            <w:shd w:val="clear" w:color="auto" w:fill="auto"/>
            <w:vAlign w:val="center"/>
          </w:tcPr>
          <w:p w14:paraId="7F2AC28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评价定期开展监督检查情况、发现问题整改情况。根据未处理问题比例扣减。根据抽查情况赋分。</w:t>
            </w:r>
          </w:p>
        </w:tc>
        <w:tc>
          <w:tcPr>
            <w:tcW w:w="3591" w:type="dxa"/>
            <w:tcBorders>
              <w:top w:val="nil"/>
              <w:left w:val="nil"/>
              <w:bottom w:val="single" w:color="auto" w:sz="4" w:space="0"/>
              <w:right w:val="single" w:color="auto" w:sz="4" w:space="0"/>
            </w:tcBorders>
            <w:shd w:val="clear" w:color="auto" w:fill="auto"/>
            <w:vAlign w:val="center"/>
          </w:tcPr>
          <w:p w14:paraId="06ECCCF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1.定期开展项目实施和资金支出进度等跟踪督促情况，落实到位的得2分，未完全落实到位的酌情扣分；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2.跟踪督促及各类检查发现问题整改到位情况，满分5分，根据未整改问题比例扣减；</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3.全国12317防止返贫监测和乡村振兴咨询服务平台（简称12317平台）反馈问题处理情况，满分1分。</w:t>
            </w:r>
          </w:p>
        </w:tc>
      </w:tr>
      <w:tr w14:paraId="351E6A63">
        <w:tblPrEx>
          <w:tblCellMar>
            <w:top w:w="0" w:type="dxa"/>
            <w:left w:w="108" w:type="dxa"/>
            <w:bottom w:w="0" w:type="dxa"/>
            <w:right w:w="108" w:type="dxa"/>
          </w:tblCellMar>
        </w:tblPrEx>
        <w:trPr>
          <w:cantSplit/>
          <w:trHeight w:val="804"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3EF4CB1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8</w:t>
            </w:r>
          </w:p>
        </w:tc>
        <w:tc>
          <w:tcPr>
            <w:tcW w:w="1017" w:type="dxa"/>
            <w:vMerge w:val="continue"/>
            <w:tcBorders>
              <w:top w:val="nil"/>
              <w:left w:val="single" w:color="auto" w:sz="4" w:space="0"/>
              <w:bottom w:val="single" w:color="auto" w:sz="4" w:space="0"/>
              <w:right w:val="single" w:color="auto" w:sz="4" w:space="0"/>
            </w:tcBorders>
            <w:vAlign w:val="center"/>
          </w:tcPr>
          <w:p w14:paraId="0B9661E1">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C540FA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账务处理及档案管理等情况</w:t>
            </w:r>
          </w:p>
        </w:tc>
        <w:tc>
          <w:tcPr>
            <w:tcW w:w="536" w:type="dxa"/>
            <w:tcBorders>
              <w:top w:val="nil"/>
              <w:left w:val="nil"/>
              <w:bottom w:val="single" w:color="auto" w:sz="4" w:space="0"/>
              <w:right w:val="single" w:color="auto" w:sz="4" w:space="0"/>
            </w:tcBorders>
            <w:shd w:val="clear" w:color="auto" w:fill="auto"/>
            <w:noWrap/>
            <w:vAlign w:val="center"/>
          </w:tcPr>
          <w:p w14:paraId="76E8403D">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69966575">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评价账务处理，资产转固，收益管理、档案管理等情况。根据抽查情况赋分。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2F276038">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1.财务处理是否规范，原始凭证是否齐全，建成资产是否及时转固、收益管理是否合规；（4分）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2.档案管理是否完整、合规、真实。（1分）</w:t>
            </w:r>
          </w:p>
        </w:tc>
      </w:tr>
      <w:tr w14:paraId="212B7B21">
        <w:tblPrEx>
          <w:tblCellMar>
            <w:top w:w="0" w:type="dxa"/>
            <w:left w:w="108" w:type="dxa"/>
            <w:bottom w:w="0" w:type="dxa"/>
            <w:right w:w="108" w:type="dxa"/>
          </w:tblCellMar>
        </w:tblPrEx>
        <w:trPr>
          <w:cantSplit/>
          <w:trHeight w:val="1893"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613FC58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1017" w:type="dxa"/>
            <w:vMerge w:val="continue"/>
            <w:tcBorders>
              <w:top w:val="nil"/>
              <w:left w:val="single" w:color="auto" w:sz="4" w:space="0"/>
              <w:bottom w:val="single" w:color="auto" w:sz="4" w:space="0"/>
              <w:right w:val="single" w:color="auto" w:sz="4" w:space="0"/>
            </w:tcBorders>
            <w:vAlign w:val="center"/>
          </w:tcPr>
          <w:p w14:paraId="788C07BB">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0524491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信息公开和公告公示制度落实情况</w:t>
            </w:r>
          </w:p>
        </w:tc>
        <w:tc>
          <w:tcPr>
            <w:tcW w:w="536" w:type="dxa"/>
            <w:tcBorders>
              <w:top w:val="nil"/>
              <w:left w:val="nil"/>
              <w:bottom w:val="single" w:color="auto" w:sz="4" w:space="0"/>
              <w:right w:val="single" w:color="auto" w:sz="4" w:space="0"/>
            </w:tcBorders>
            <w:shd w:val="clear" w:color="auto" w:fill="auto"/>
            <w:noWrap/>
            <w:vAlign w:val="center"/>
          </w:tcPr>
          <w:p w14:paraId="35ABAE9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9</w:t>
            </w:r>
          </w:p>
        </w:tc>
        <w:tc>
          <w:tcPr>
            <w:tcW w:w="2762" w:type="dxa"/>
            <w:tcBorders>
              <w:top w:val="nil"/>
              <w:left w:val="nil"/>
              <w:bottom w:val="single" w:color="auto" w:sz="4" w:space="0"/>
              <w:right w:val="single" w:color="auto" w:sz="4" w:space="0"/>
            </w:tcBorders>
            <w:shd w:val="clear" w:color="auto" w:fill="auto"/>
            <w:vAlign w:val="center"/>
          </w:tcPr>
          <w:p w14:paraId="35553081">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评价区级、镇级、村级落实《铜梁区财政衔接推进乡村振兴补助资金项目公告公示实施办法》（铜委农办〔2021〕19号）文件要求情况。根据抽查情况赋分。</w:t>
            </w:r>
          </w:p>
        </w:tc>
        <w:tc>
          <w:tcPr>
            <w:tcW w:w="3591" w:type="dxa"/>
            <w:tcBorders>
              <w:top w:val="nil"/>
              <w:left w:val="nil"/>
              <w:bottom w:val="single" w:color="auto" w:sz="4" w:space="0"/>
              <w:right w:val="single" w:color="auto" w:sz="4" w:space="0"/>
            </w:tcBorders>
            <w:shd w:val="clear" w:color="auto" w:fill="auto"/>
            <w:vAlign w:val="center"/>
          </w:tcPr>
          <w:p w14:paraId="04BB310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分区级、镇级、村级进行评价。</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1.抽查区级公示公开情况，满分3分，未完整公开酌情扣分；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2.抽查镇级公示公开情况，满分3分，未完整公开酌情扣分；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3.抽查村级公示公开情况，满分3分，未完整公开酌情扣分。</w:t>
            </w:r>
          </w:p>
        </w:tc>
      </w:tr>
      <w:tr w14:paraId="0D747457">
        <w:tblPrEx>
          <w:tblCellMar>
            <w:top w:w="0" w:type="dxa"/>
            <w:left w:w="108" w:type="dxa"/>
            <w:bottom w:w="0" w:type="dxa"/>
            <w:right w:w="108" w:type="dxa"/>
          </w:tblCellMar>
        </w:tblPrEx>
        <w:trPr>
          <w:cantSplit/>
          <w:trHeight w:val="2981"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476D7BE">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1017" w:type="dxa"/>
            <w:vMerge w:val="restart"/>
            <w:tcBorders>
              <w:top w:val="nil"/>
              <w:left w:val="single" w:color="auto" w:sz="4" w:space="0"/>
              <w:bottom w:val="single" w:color="auto" w:sz="4" w:space="0"/>
              <w:right w:val="single" w:color="auto" w:sz="4" w:space="0"/>
            </w:tcBorders>
            <w:shd w:val="clear" w:color="auto" w:fill="auto"/>
            <w:vAlign w:val="center"/>
          </w:tcPr>
          <w:p w14:paraId="50F8EFEC">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使用成效及通报情况（40分）</w:t>
            </w:r>
          </w:p>
        </w:tc>
        <w:tc>
          <w:tcPr>
            <w:tcW w:w="1049" w:type="dxa"/>
            <w:tcBorders>
              <w:top w:val="nil"/>
              <w:left w:val="nil"/>
              <w:bottom w:val="single" w:color="auto" w:sz="4" w:space="0"/>
              <w:right w:val="single" w:color="auto" w:sz="4" w:space="0"/>
            </w:tcBorders>
            <w:shd w:val="clear" w:color="auto" w:fill="auto"/>
            <w:vAlign w:val="center"/>
          </w:tcPr>
          <w:p w14:paraId="7550321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资金使用效益</w:t>
            </w:r>
          </w:p>
        </w:tc>
        <w:tc>
          <w:tcPr>
            <w:tcW w:w="536" w:type="dxa"/>
            <w:tcBorders>
              <w:top w:val="nil"/>
              <w:left w:val="nil"/>
              <w:bottom w:val="single" w:color="auto" w:sz="4" w:space="0"/>
              <w:right w:val="single" w:color="auto" w:sz="4" w:space="0"/>
            </w:tcBorders>
            <w:shd w:val="clear" w:color="auto" w:fill="auto"/>
            <w:noWrap/>
            <w:vAlign w:val="center"/>
          </w:tcPr>
          <w:p w14:paraId="65A8030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35</w:t>
            </w:r>
          </w:p>
        </w:tc>
        <w:tc>
          <w:tcPr>
            <w:tcW w:w="2762" w:type="dxa"/>
            <w:tcBorders>
              <w:top w:val="nil"/>
              <w:left w:val="nil"/>
              <w:bottom w:val="single" w:color="auto" w:sz="4" w:space="0"/>
              <w:right w:val="single" w:color="auto" w:sz="4" w:space="0"/>
            </w:tcBorders>
            <w:shd w:val="clear" w:color="auto" w:fill="auto"/>
            <w:vAlign w:val="center"/>
          </w:tcPr>
          <w:p w14:paraId="550BAA44">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评价项目是否达到预期成效，后续管护是否存在问题等。根据抽查情况赋分。</w:t>
            </w:r>
          </w:p>
        </w:tc>
        <w:tc>
          <w:tcPr>
            <w:tcW w:w="3591" w:type="dxa"/>
            <w:tcBorders>
              <w:top w:val="nil"/>
              <w:left w:val="nil"/>
              <w:bottom w:val="single" w:color="auto" w:sz="4" w:space="0"/>
              <w:right w:val="single" w:color="auto" w:sz="4" w:space="0"/>
            </w:tcBorders>
            <w:shd w:val="clear" w:color="auto" w:fill="auto"/>
            <w:vAlign w:val="center"/>
          </w:tcPr>
          <w:p w14:paraId="7087C65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内容包括抽查项目实际完成任务量是否达到绩效目标申报的任务量、衔接资金用途是否突破管理办法。产业类项目是否明确联农带农机制、是否优先覆盖防止返贫监测对象、往年项目是否持续有效运行等；基础设施类项目质量是否达到相应标准、后续管护是否存在问题等；“两不愁三保障”和饮水安全、兜底保障等成果巩固情况；其他项目是否实现预期目标。</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满分35分，根据抽查项目情况赋分。项目管理各环节，每存在一例不符合相关规定的，扣0.5分，扣完为止。</w:t>
            </w:r>
          </w:p>
        </w:tc>
      </w:tr>
      <w:tr w14:paraId="60085FB3">
        <w:tblPrEx>
          <w:tblCellMar>
            <w:top w:w="0" w:type="dxa"/>
            <w:left w:w="108" w:type="dxa"/>
            <w:bottom w:w="0" w:type="dxa"/>
            <w:right w:w="108" w:type="dxa"/>
          </w:tblCellMar>
        </w:tblPrEx>
        <w:trPr>
          <w:cantSplit/>
          <w:trHeight w:val="107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514FDF9B">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11</w:t>
            </w:r>
          </w:p>
        </w:tc>
        <w:tc>
          <w:tcPr>
            <w:tcW w:w="1017" w:type="dxa"/>
            <w:vMerge w:val="continue"/>
            <w:tcBorders>
              <w:top w:val="nil"/>
              <w:left w:val="single" w:color="auto" w:sz="4" w:space="0"/>
              <w:bottom w:val="single" w:color="auto" w:sz="4" w:space="0"/>
              <w:right w:val="single" w:color="auto" w:sz="4" w:space="0"/>
            </w:tcBorders>
            <w:vAlign w:val="center"/>
          </w:tcPr>
          <w:p w14:paraId="508AF5C9">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349FDD01">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通报情况</w:t>
            </w:r>
          </w:p>
        </w:tc>
        <w:tc>
          <w:tcPr>
            <w:tcW w:w="536" w:type="dxa"/>
            <w:tcBorders>
              <w:top w:val="nil"/>
              <w:left w:val="nil"/>
              <w:bottom w:val="single" w:color="auto" w:sz="4" w:space="0"/>
              <w:right w:val="single" w:color="auto" w:sz="4" w:space="0"/>
            </w:tcBorders>
            <w:shd w:val="clear" w:color="auto" w:fill="auto"/>
            <w:vAlign w:val="center"/>
          </w:tcPr>
          <w:p w14:paraId="2C2B5666">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2A8CB959">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评价日常表现情况。</w:t>
            </w:r>
          </w:p>
        </w:tc>
        <w:tc>
          <w:tcPr>
            <w:tcW w:w="3591" w:type="dxa"/>
            <w:tcBorders>
              <w:top w:val="nil"/>
              <w:left w:val="nil"/>
              <w:bottom w:val="single" w:color="auto" w:sz="4" w:space="0"/>
              <w:right w:val="single" w:color="auto" w:sz="4" w:space="0"/>
            </w:tcBorders>
            <w:shd w:val="clear" w:color="auto" w:fill="auto"/>
            <w:vAlign w:val="center"/>
          </w:tcPr>
          <w:p w14:paraId="30BAAD2E">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主要为区级业务主管部门、区财政局、市级检查等项目进度、资金进度、发现问题情况的通报或问题反馈。被通报或有问题反馈等情况，每发生一次，扣1分，满分5分，扣完为止。</w:t>
            </w:r>
          </w:p>
        </w:tc>
      </w:tr>
      <w:tr w14:paraId="4AD8F394">
        <w:tblPrEx>
          <w:tblCellMar>
            <w:top w:w="0" w:type="dxa"/>
            <w:left w:w="108" w:type="dxa"/>
            <w:bottom w:w="0" w:type="dxa"/>
            <w:right w:w="108" w:type="dxa"/>
          </w:tblCellMar>
        </w:tblPrEx>
        <w:trPr>
          <w:cantSplit/>
          <w:trHeight w:val="1348"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03D21FC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12</w:t>
            </w:r>
          </w:p>
        </w:tc>
        <w:tc>
          <w:tcPr>
            <w:tcW w:w="1017" w:type="dxa"/>
            <w:vMerge w:val="restart"/>
            <w:tcBorders>
              <w:top w:val="nil"/>
              <w:left w:val="single" w:color="auto" w:sz="4" w:space="0"/>
              <w:bottom w:val="single" w:color="000000" w:sz="4" w:space="0"/>
              <w:right w:val="single" w:color="auto" w:sz="4" w:space="0"/>
            </w:tcBorders>
            <w:shd w:val="clear" w:color="auto" w:fill="auto"/>
            <w:vAlign w:val="center"/>
          </w:tcPr>
          <w:p w14:paraId="04C62C58">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加减分指标</w:t>
            </w:r>
          </w:p>
        </w:tc>
        <w:tc>
          <w:tcPr>
            <w:tcW w:w="1049" w:type="dxa"/>
            <w:tcBorders>
              <w:top w:val="nil"/>
              <w:left w:val="nil"/>
              <w:bottom w:val="single" w:color="auto" w:sz="4" w:space="0"/>
              <w:right w:val="single" w:color="auto" w:sz="4" w:space="0"/>
            </w:tcBorders>
            <w:shd w:val="clear" w:color="auto" w:fill="auto"/>
            <w:vAlign w:val="center"/>
          </w:tcPr>
          <w:p w14:paraId="1BD63D79">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加分项</w:t>
            </w:r>
          </w:p>
        </w:tc>
        <w:tc>
          <w:tcPr>
            <w:tcW w:w="536" w:type="dxa"/>
            <w:tcBorders>
              <w:top w:val="nil"/>
              <w:left w:val="nil"/>
              <w:bottom w:val="single" w:color="auto" w:sz="4" w:space="0"/>
              <w:right w:val="single" w:color="auto" w:sz="4" w:space="0"/>
            </w:tcBorders>
            <w:shd w:val="clear" w:color="auto" w:fill="auto"/>
            <w:vAlign w:val="center"/>
          </w:tcPr>
          <w:p w14:paraId="20FEA39A">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5</w:t>
            </w:r>
          </w:p>
        </w:tc>
        <w:tc>
          <w:tcPr>
            <w:tcW w:w="2762" w:type="dxa"/>
            <w:tcBorders>
              <w:top w:val="nil"/>
              <w:left w:val="nil"/>
              <w:bottom w:val="single" w:color="auto" w:sz="4" w:space="0"/>
              <w:right w:val="single" w:color="auto" w:sz="4" w:space="0"/>
            </w:tcBorders>
            <w:shd w:val="clear" w:color="auto" w:fill="auto"/>
            <w:vAlign w:val="center"/>
          </w:tcPr>
          <w:p w14:paraId="47771BD2">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评价机制创新情况。最高加5分。</w:t>
            </w:r>
          </w:p>
        </w:tc>
        <w:tc>
          <w:tcPr>
            <w:tcW w:w="3591" w:type="dxa"/>
            <w:tcBorders>
              <w:top w:val="nil"/>
              <w:left w:val="nil"/>
              <w:bottom w:val="single" w:color="auto" w:sz="4" w:space="0"/>
              <w:right w:val="single" w:color="auto" w:sz="4" w:space="0"/>
            </w:tcBorders>
            <w:shd w:val="clear" w:color="auto" w:fill="auto"/>
            <w:vAlign w:val="center"/>
          </w:tcPr>
          <w:p w14:paraId="61A2E320">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1.在财政衔接资金分配、使用、监管等方面存在机制创新；（2分）</w:t>
            </w:r>
            <w:r>
              <w:rPr>
                <w:rFonts w:ascii="Arial Narrow" w:hAnsi="Arial Narrow" w:eastAsia="仿宋_GB2312" w:cs="宋体"/>
                <w:kern w:val="0"/>
                <w:sz w:val="16"/>
                <w:szCs w:val="16"/>
              </w:rPr>
              <w:br w:type="textWrapping"/>
            </w:r>
            <w:r>
              <w:rPr>
                <w:rFonts w:ascii="Arial Narrow" w:hAnsi="Arial Narrow" w:eastAsia="仿宋_GB2312" w:cs="宋体"/>
                <w:kern w:val="0"/>
                <w:sz w:val="16"/>
                <w:szCs w:val="16"/>
              </w:rPr>
              <w:t>2.国家、市级对我区财政衔接资金绩效评价中，被财政部、国家乡村振兴局及其第三方总结经验做法，并调研推广的。（3分）</w:t>
            </w:r>
          </w:p>
        </w:tc>
      </w:tr>
      <w:tr w14:paraId="65D4F5AE">
        <w:tblPrEx>
          <w:tblCellMar>
            <w:top w:w="0" w:type="dxa"/>
            <w:left w:w="108" w:type="dxa"/>
            <w:bottom w:w="0" w:type="dxa"/>
            <w:right w:w="108" w:type="dxa"/>
          </w:tblCellMar>
        </w:tblPrEx>
        <w:trPr>
          <w:cantSplit/>
          <w:trHeight w:val="816" w:hRule="atLeast"/>
        </w:trPr>
        <w:tc>
          <w:tcPr>
            <w:tcW w:w="536" w:type="dxa"/>
            <w:tcBorders>
              <w:top w:val="nil"/>
              <w:left w:val="single" w:color="auto" w:sz="4" w:space="0"/>
              <w:bottom w:val="single" w:color="auto" w:sz="4" w:space="0"/>
              <w:right w:val="single" w:color="auto" w:sz="4" w:space="0"/>
            </w:tcBorders>
            <w:shd w:val="clear" w:color="auto" w:fill="auto"/>
            <w:vAlign w:val="center"/>
          </w:tcPr>
          <w:p w14:paraId="467D86B5">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13</w:t>
            </w:r>
          </w:p>
        </w:tc>
        <w:tc>
          <w:tcPr>
            <w:tcW w:w="1017" w:type="dxa"/>
            <w:vMerge w:val="continue"/>
            <w:tcBorders>
              <w:top w:val="nil"/>
              <w:left w:val="single" w:color="auto" w:sz="4" w:space="0"/>
              <w:bottom w:val="single" w:color="000000" w:sz="4" w:space="0"/>
              <w:right w:val="single" w:color="auto" w:sz="4" w:space="0"/>
            </w:tcBorders>
            <w:vAlign w:val="center"/>
          </w:tcPr>
          <w:p w14:paraId="01147E4D">
            <w:pPr>
              <w:widowControl/>
              <w:jc w:val="left"/>
              <w:rPr>
                <w:rFonts w:ascii="Arial Narrow" w:hAnsi="Arial Narrow" w:eastAsia="仿宋_GB2312" w:cs="宋体"/>
                <w:kern w:val="0"/>
                <w:sz w:val="16"/>
                <w:szCs w:val="16"/>
              </w:rPr>
            </w:pPr>
          </w:p>
        </w:tc>
        <w:tc>
          <w:tcPr>
            <w:tcW w:w="1049" w:type="dxa"/>
            <w:tcBorders>
              <w:top w:val="nil"/>
              <w:left w:val="nil"/>
              <w:bottom w:val="single" w:color="auto" w:sz="4" w:space="0"/>
              <w:right w:val="single" w:color="auto" w:sz="4" w:space="0"/>
            </w:tcBorders>
            <w:shd w:val="clear" w:color="auto" w:fill="auto"/>
            <w:vAlign w:val="center"/>
          </w:tcPr>
          <w:p w14:paraId="16A1C4FF">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扣分项</w:t>
            </w:r>
          </w:p>
        </w:tc>
        <w:tc>
          <w:tcPr>
            <w:tcW w:w="536" w:type="dxa"/>
            <w:tcBorders>
              <w:top w:val="nil"/>
              <w:left w:val="nil"/>
              <w:bottom w:val="single" w:color="auto" w:sz="4" w:space="0"/>
              <w:right w:val="single" w:color="auto" w:sz="4" w:space="0"/>
            </w:tcBorders>
            <w:shd w:val="clear" w:color="auto" w:fill="auto"/>
            <w:vAlign w:val="center"/>
          </w:tcPr>
          <w:p w14:paraId="1F4FA363">
            <w:pPr>
              <w:widowControl/>
              <w:jc w:val="center"/>
              <w:rPr>
                <w:rFonts w:ascii="Arial Narrow" w:hAnsi="Arial Narrow" w:eastAsia="仿宋_GB2312" w:cs="宋体"/>
                <w:kern w:val="0"/>
                <w:sz w:val="16"/>
                <w:szCs w:val="16"/>
              </w:rPr>
            </w:pPr>
            <w:r>
              <w:rPr>
                <w:rFonts w:ascii="Arial Narrow" w:hAnsi="Arial Narrow" w:eastAsia="仿宋_GB2312" w:cs="宋体"/>
                <w:kern w:val="0"/>
                <w:sz w:val="16"/>
                <w:szCs w:val="16"/>
              </w:rPr>
              <w:t>10</w:t>
            </w:r>
          </w:p>
        </w:tc>
        <w:tc>
          <w:tcPr>
            <w:tcW w:w="2762" w:type="dxa"/>
            <w:tcBorders>
              <w:top w:val="nil"/>
              <w:left w:val="nil"/>
              <w:bottom w:val="single" w:color="auto" w:sz="4" w:space="0"/>
              <w:right w:val="single" w:color="auto" w:sz="4" w:space="0"/>
            </w:tcBorders>
            <w:shd w:val="clear" w:color="auto" w:fill="auto"/>
            <w:vAlign w:val="center"/>
          </w:tcPr>
          <w:p w14:paraId="77A0B1B5">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反映提供材料的真实性，有效性以及相关工作合法合规情况。（用于负面清单事项）</w:t>
            </w:r>
          </w:p>
        </w:tc>
        <w:tc>
          <w:tcPr>
            <w:tcW w:w="3591" w:type="dxa"/>
            <w:tcBorders>
              <w:top w:val="nil"/>
              <w:left w:val="nil"/>
              <w:bottom w:val="single" w:color="auto" w:sz="4" w:space="0"/>
              <w:right w:val="single" w:color="auto" w:sz="4" w:space="0"/>
            </w:tcBorders>
            <w:shd w:val="clear" w:color="auto" w:fill="auto"/>
            <w:vAlign w:val="center"/>
          </w:tcPr>
          <w:p w14:paraId="2E2FFFD7">
            <w:pPr>
              <w:widowControl/>
              <w:jc w:val="left"/>
              <w:rPr>
                <w:rFonts w:ascii="Arial Narrow" w:hAnsi="Arial Narrow" w:eastAsia="仿宋_GB2312" w:cs="宋体"/>
                <w:kern w:val="0"/>
                <w:sz w:val="16"/>
                <w:szCs w:val="16"/>
              </w:rPr>
            </w:pPr>
            <w:r>
              <w:rPr>
                <w:rFonts w:ascii="Arial Narrow" w:hAnsi="Arial Narrow" w:eastAsia="仿宋_GB2312" w:cs="宋体"/>
                <w:kern w:val="0"/>
                <w:sz w:val="16"/>
                <w:szCs w:val="16"/>
              </w:rPr>
              <w:t>考核材料、数据中存在虚假信息的，或经有关部门监督检查发现问题的，视情节严重程度扣1-10分。</w:t>
            </w:r>
          </w:p>
        </w:tc>
      </w:tr>
    </w:tbl>
    <w:p w14:paraId="4569AD34">
      <w:pPr>
        <w:spacing w:before="120" w:beforeLines="50" w:line="360" w:lineRule="auto"/>
        <w:ind w:firstLine="482" w:firstLineChars="200"/>
        <w:jc w:val="left"/>
        <w:outlineLvl w:val="0"/>
        <w:rPr>
          <w:rFonts w:ascii="Arial Narrow" w:hAnsi="Arial Narrow" w:eastAsia="仿宋_GB2312"/>
          <w:b/>
          <w:sz w:val="24"/>
        </w:rPr>
      </w:pPr>
      <w:bookmarkStart w:id="17" w:name="_Toc169624365"/>
      <w:r>
        <w:rPr>
          <w:rFonts w:ascii="Arial Narrow" w:hAnsi="Arial Narrow" w:eastAsia="仿宋_GB2312"/>
          <w:b/>
          <w:sz w:val="24"/>
        </w:rPr>
        <w:t>（五）绩效评价标准和评价方法</w:t>
      </w:r>
      <w:bookmarkEnd w:id="17"/>
    </w:p>
    <w:p w14:paraId="0D891A8B">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1</w:t>
      </w:r>
      <w:r>
        <w:rPr>
          <w:rFonts w:hint="eastAsia" w:ascii="Arial Narrow" w:hAnsi="Arial Narrow" w:eastAsia="仿宋_GB2312"/>
          <w:color w:val="auto"/>
        </w:rPr>
        <w:t>.</w:t>
      </w:r>
      <w:r>
        <w:rPr>
          <w:rFonts w:ascii="Arial Narrow" w:hAnsi="Arial Narrow" w:eastAsia="仿宋_GB2312"/>
          <w:color w:val="auto"/>
        </w:rPr>
        <w:t>绩效评价标准</w:t>
      </w:r>
    </w:p>
    <w:p w14:paraId="0597F652">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绩效评价标准采用定量评分，满分为100分。指标分值我们是根据确定的指标内容及项目实施的具体情况综合分析确定的，详见附件。</w:t>
      </w:r>
    </w:p>
    <w:p w14:paraId="313FA77A">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绩效评价结果分为优（得分</w:t>
      </w:r>
      <w:bookmarkStart w:id="18" w:name="_Hlk162596803"/>
      <w:r>
        <w:rPr>
          <w:rFonts w:ascii="Arial Narrow" w:hAnsi="Arial Narrow" w:eastAsia="仿宋_GB2312"/>
          <w:color w:val="auto"/>
        </w:rPr>
        <w:t>≥90</w:t>
      </w:r>
      <w:bookmarkEnd w:id="18"/>
      <w:r>
        <w:rPr>
          <w:rFonts w:ascii="Arial Narrow" w:hAnsi="Arial Narrow" w:eastAsia="仿宋_GB2312"/>
          <w:color w:val="auto"/>
        </w:rPr>
        <w:t>）、良</w:t>
      </w:r>
      <w:bookmarkStart w:id="19" w:name="_Hlk168473502"/>
      <w:r>
        <w:rPr>
          <w:rFonts w:ascii="Arial Narrow" w:hAnsi="Arial Narrow" w:eastAsia="仿宋_GB2312"/>
          <w:color w:val="auto"/>
        </w:rPr>
        <w:t>（90＞得分≥80）</w:t>
      </w:r>
      <w:bookmarkEnd w:id="19"/>
      <w:r>
        <w:rPr>
          <w:rFonts w:ascii="Arial Narrow" w:hAnsi="Arial Narrow" w:eastAsia="仿宋_GB2312"/>
          <w:color w:val="auto"/>
        </w:rPr>
        <w:t>、中（80＞得分≥60）、差（得分＜60）四个等级，按百分制综合得分高低按分值划段确定。</w:t>
      </w:r>
    </w:p>
    <w:p w14:paraId="25246AB4">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2</w:t>
      </w:r>
      <w:r>
        <w:rPr>
          <w:rFonts w:hint="eastAsia" w:ascii="Arial Narrow" w:hAnsi="Arial Narrow" w:eastAsia="仿宋_GB2312"/>
          <w:color w:val="auto"/>
        </w:rPr>
        <w:t>.</w:t>
      </w:r>
      <w:r>
        <w:rPr>
          <w:rFonts w:ascii="Arial Narrow" w:hAnsi="Arial Narrow" w:eastAsia="仿宋_GB2312"/>
          <w:color w:val="auto"/>
        </w:rPr>
        <w:t>绩效评价方法</w:t>
      </w:r>
    </w:p>
    <w:p w14:paraId="41EFD065">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绩效评价技术方法主要有成本效益分析法、比较法、因素分析法、最低成本法、公众评判法等。</w:t>
      </w:r>
    </w:p>
    <w:p w14:paraId="3BFEEEB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成本效益分析法。是指将一定时期内的支出与效益进行对比分析，以评价绩效目标的实现程度。</w:t>
      </w:r>
    </w:p>
    <w:p w14:paraId="23FEC0C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比较法。是指通过对绩效目标与实施效果、历史与当期情况、不同部门和地区同类支出的比较，综合分析绩效目标实现程度。</w:t>
      </w:r>
    </w:p>
    <w:p w14:paraId="523467D7">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因素分析法。是指通过综合分析影响绩效目标实现、实施效果的内外因素，评价绩效目标实现程度。</w:t>
      </w:r>
    </w:p>
    <w:p w14:paraId="49459AD0">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最低成本法。是指对效益确定不易计量的多个同类对象的实施成本进行比较，评价绩效目标实现程度。</w:t>
      </w:r>
    </w:p>
    <w:p w14:paraId="2FAD3A11">
      <w:pPr>
        <w:pStyle w:val="13"/>
        <w:spacing w:line="360" w:lineRule="auto"/>
        <w:ind w:firstLine="480" w:firstLineChars="200"/>
        <w:rPr>
          <w:rFonts w:ascii="Arial Narrow" w:hAnsi="Arial Narrow" w:eastAsia="仿宋_GB2312"/>
          <w:color w:val="auto"/>
        </w:rPr>
      </w:pPr>
      <w:r>
        <w:rPr>
          <w:rFonts w:ascii="Arial Narrow" w:hAnsi="Arial Narrow" w:eastAsia="仿宋_GB2312"/>
          <w:color w:val="auto"/>
        </w:rPr>
        <w:t>公众评判法。是指通过专家评估、公众问卷及抽样调查等对预算支出效果进行评判，评价绩效目标实现程度。</w:t>
      </w:r>
    </w:p>
    <w:p w14:paraId="507A8E83">
      <w:pPr>
        <w:spacing w:line="360" w:lineRule="auto"/>
        <w:ind w:firstLine="482" w:firstLineChars="200"/>
        <w:jc w:val="left"/>
        <w:outlineLvl w:val="0"/>
        <w:rPr>
          <w:rFonts w:ascii="Arial Narrow" w:hAnsi="Arial Narrow" w:eastAsia="仿宋_GB2312"/>
          <w:b/>
          <w:sz w:val="24"/>
        </w:rPr>
      </w:pPr>
      <w:bookmarkStart w:id="20" w:name="_Toc437528932"/>
      <w:bookmarkStart w:id="21" w:name="_Toc169624366"/>
      <w:r>
        <w:rPr>
          <w:rFonts w:ascii="Arial Narrow" w:hAnsi="Arial Narrow" w:eastAsia="仿宋_GB2312"/>
          <w:b/>
          <w:sz w:val="24"/>
        </w:rPr>
        <w:t>（六）绩效评价</w:t>
      </w:r>
      <w:bookmarkEnd w:id="20"/>
      <w:r>
        <w:rPr>
          <w:rFonts w:ascii="Arial Narrow" w:hAnsi="Arial Narrow" w:eastAsia="仿宋_GB2312"/>
          <w:b/>
          <w:sz w:val="24"/>
        </w:rPr>
        <w:t>工作过程</w:t>
      </w:r>
      <w:bookmarkEnd w:id="21"/>
    </w:p>
    <w:p w14:paraId="15E00787">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1.经铜梁区财政局确定为“2023年财政专项衔接资金项目”项目绩效评价服务单位后我所</w:t>
      </w:r>
      <w:r>
        <w:rPr>
          <w:rFonts w:ascii="Arial Narrow" w:hAnsi="Arial Narrow" w:eastAsia="仿宋_GB2312"/>
          <w:color w:val="auto"/>
        </w:rPr>
        <w:t>成立</w:t>
      </w:r>
      <w:r>
        <w:rPr>
          <w:rFonts w:hint="eastAsia" w:ascii="Arial Narrow" w:hAnsi="Arial Narrow" w:eastAsia="仿宋_GB2312"/>
          <w:color w:val="auto"/>
        </w:rPr>
        <w:t>了</w:t>
      </w:r>
      <w:r>
        <w:rPr>
          <w:rFonts w:ascii="Arial Narrow" w:hAnsi="Arial Narrow" w:eastAsia="仿宋_GB2312"/>
          <w:color w:val="auto"/>
        </w:rPr>
        <w:t>绩效</w:t>
      </w:r>
      <w:r>
        <w:rPr>
          <w:rFonts w:hint="eastAsia" w:ascii="Arial Narrow" w:hAnsi="Arial Narrow" w:eastAsia="仿宋_GB2312"/>
          <w:color w:val="auto"/>
        </w:rPr>
        <w:t>评价</w:t>
      </w:r>
      <w:r>
        <w:rPr>
          <w:rFonts w:ascii="Arial Narrow" w:hAnsi="Arial Narrow" w:eastAsia="仿宋_GB2312"/>
          <w:color w:val="auto"/>
        </w:rPr>
        <w:t>工作小组。</w:t>
      </w:r>
    </w:p>
    <w:p w14:paraId="65E51324">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2.根据项目实际情况收集项目基础资料及数据深入了解项目整体情况。</w:t>
      </w:r>
    </w:p>
    <w:p w14:paraId="57EBF3C2">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3.组织实施现场调查、检查、走访等具体工作。</w:t>
      </w:r>
    </w:p>
    <w:p w14:paraId="39C3107C">
      <w:pPr>
        <w:pStyle w:val="13"/>
        <w:spacing w:line="360" w:lineRule="auto"/>
        <w:ind w:firstLine="480" w:firstLineChars="200"/>
        <w:rPr>
          <w:rFonts w:ascii="Arial Narrow" w:hAnsi="Arial Narrow" w:eastAsia="仿宋_GB2312"/>
          <w:color w:val="auto"/>
        </w:rPr>
      </w:pPr>
      <w:r>
        <w:rPr>
          <w:rFonts w:hint="eastAsia" w:ascii="Arial Narrow" w:hAnsi="Arial Narrow" w:eastAsia="仿宋_GB2312"/>
          <w:color w:val="auto"/>
        </w:rPr>
        <w:t>4.依据收集到的项目相关资料和数据，比照经贵单位审定的评价指标体系的评分标准，分别对项目评价打分，汇总后加权平均形成综合评价得分，并对该项目的绩效评价等级进行确认。</w:t>
      </w:r>
    </w:p>
    <w:p w14:paraId="6BC94A49">
      <w:pPr>
        <w:spacing w:line="360" w:lineRule="auto"/>
        <w:ind w:firstLine="482" w:firstLineChars="200"/>
        <w:jc w:val="left"/>
        <w:outlineLvl w:val="0"/>
        <w:rPr>
          <w:rFonts w:ascii="Arial Narrow" w:hAnsi="Arial Narrow" w:eastAsia="仿宋_GB2312"/>
          <w:b/>
          <w:sz w:val="24"/>
        </w:rPr>
      </w:pPr>
      <w:bookmarkStart w:id="22" w:name="_Toc437528933"/>
      <w:bookmarkStart w:id="23" w:name="_Toc169624367"/>
      <w:r>
        <w:rPr>
          <w:rFonts w:ascii="Arial Narrow" w:hAnsi="Arial Narrow" w:eastAsia="仿宋_GB2312"/>
          <w:b/>
          <w:sz w:val="24"/>
        </w:rPr>
        <w:t>三、</w:t>
      </w:r>
      <w:r>
        <w:rPr>
          <w:rFonts w:hint="eastAsia" w:ascii="Arial Narrow" w:hAnsi="Arial Narrow" w:eastAsia="仿宋_GB2312"/>
          <w:b/>
          <w:sz w:val="24"/>
        </w:rPr>
        <w:t>项目</w:t>
      </w:r>
      <w:r>
        <w:rPr>
          <w:rFonts w:ascii="Arial Narrow" w:hAnsi="Arial Narrow" w:eastAsia="仿宋_GB2312"/>
          <w:b/>
          <w:sz w:val="24"/>
        </w:rPr>
        <w:t>评价</w:t>
      </w:r>
      <w:bookmarkEnd w:id="22"/>
      <w:r>
        <w:rPr>
          <w:rFonts w:ascii="Arial Narrow" w:hAnsi="Arial Narrow" w:eastAsia="仿宋_GB2312"/>
          <w:b/>
          <w:sz w:val="24"/>
        </w:rPr>
        <w:t>结论</w:t>
      </w:r>
      <w:bookmarkEnd w:id="23"/>
    </w:p>
    <w:p w14:paraId="20F00E8A">
      <w:pPr>
        <w:spacing w:line="360" w:lineRule="auto"/>
        <w:ind w:left="420" w:leftChars="200"/>
        <w:jc w:val="left"/>
        <w:rPr>
          <w:rFonts w:ascii="Arial Narrow" w:hAnsi="Arial Narrow" w:eastAsia="仿宋_GB2312" w:cs="宋体"/>
          <w:kern w:val="0"/>
          <w:sz w:val="24"/>
        </w:rPr>
      </w:pPr>
      <w:r>
        <w:rPr>
          <w:rFonts w:hint="eastAsia" w:ascii="Arial Narrow" w:hAnsi="Arial Narrow" w:eastAsia="仿宋_GB2312" w:cs="宋体"/>
          <w:kern w:val="0"/>
          <w:sz w:val="24"/>
        </w:rPr>
        <w:t>玉龙村水稻种植设施建设项目</w:t>
      </w:r>
      <w:r>
        <w:rPr>
          <w:rFonts w:ascii="Arial Narrow" w:hAnsi="Arial Narrow" w:eastAsia="仿宋_GB2312" w:cs="宋体"/>
          <w:kern w:val="0"/>
          <w:sz w:val="24"/>
        </w:rPr>
        <w:t>绩效评价得分</w:t>
      </w:r>
      <w:r>
        <w:rPr>
          <w:rFonts w:hint="eastAsia" w:ascii="Arial Narrow" w:hAnsi="Arial Narrow" w:eastAsia="仿宋_GB2312" w:cs="宋体"/>
          <w:kern w:val="0"/>
          <w:sz w:val="24"/>
        </w:rPr>
        <w:t>99.00</w:t>
      </w:r>
      <w:r>
        <w:rPr>
          <w:rFonts w:ascii="Arial Narrow" w:hAnsi="Arial Narrow" w:eastAsia="仿宋_GB2312" w:cs="宋体"/>
          <w:kern w:val="0"/>
          <w:sz w:val="24"/>
        </w:rPr>
        <w:t>分，绩效评价等级为：</w:t>
      </w:r>
      <w:r>
        <w:rPr>
          <w:rFonts w:hint="eastAsia" w:ascii="Arial Narrow" w:hAnsi="Arial Narrow" w:eastAsia="仿宋_GB2312" w:cs="宋体"/>
          <w:kern w:val="0"/>
          <w:sz w:val="24"/>
        </w:rPr>
        <w:t>优；</w:t>
      </w:r>
    </w:p>
    <w:p w14:paraId="4D3F9934">
      <w:pPr>
        <w:spacing w:line="360" w:lineRule="auto"/>
        <w:ind w:left="420" w:leftChars="200"/>
        <w:jc w:val="left"/>
        <w:rPr>
          <w:rFonts w:ascii="Arial Narrow" w:hAnsi="Arial Narrow" w:eastAsia="仿宋_GB2312"/>
          <w:sz w:val="24"/>
        </w:rPr>
      </w:pPr>
      <w:r>
        <w:rPr>
          <w:rFonts w:hint="eastAsia" w:ascii="Arial Narrow" w:hAnsi="Arial Narrow" w:eastAsia="仿宋_GB2312" w:cs="宋体"/>
          <w:kern w:val="0"/>
          <w:sz w:val="24"/>
        </w:rPr>
        <w:t>太安村农业示范园区果林管护项目</w:t>
      </w:r>
      <w:r>
        <w:rPr>
          <w:rFonts w:ascii="Arial Narrow" w:hAnsi="Arial Narrow" w:eastAsia="仿宋_GB2312"/>
          <w:sz w:val="24"/>
        </w:rPr>
        <w:t>绩效评价得分</w:t>
      </w:r>
      <w:r>
        <w:rPr>
          <w:rFonts w:hint="eastAsia" w:ascii="Arial Narrow" w:hAnsi="Arial Narrow" w:eastAsia="仿宋_GB2312"/>
          <w:sz w:val="24"/>
        </w:rPr>
        <w:t>96.00</w:t>
      </w:r>
      <w:r>
        <w:rPr>
          <w:rFonts w:ascii="Arial Narrow" w:hAnsi="Arial Narrow" w:eastAsia="仿宋_GB2312"/>
          <w:sz w:val="24"/>
        </w:rPr>
        <w:t>分</w:t>
      </w:r>
      <w:r>
        <w:rPr>
          <w:rFonts w:hint="eastAsia" w:ascii="Arial Narrow" w:hAnsi="Arial Narrow" w:eastAsia="仿宋_GB2312"/>
          <w:sz w:val="24"/>
        </w:rPr>
        <w:t>，</w:t>
      </w:r>
      <w:r>
        <w:rPr>
          <w:rFonts w:ascii="Arial Narrow" w:hAnsi="Arial Narrow" w:eastAsia="仿宋_GB2312"/>
          <w:sz w:val="24"/>
        </w:rPr>
        <w:t>绩效评价等级为：</w:t>
      </w:r>
      <w:r>
        <w:rPr>
          <w:rFonts w:hint="eastAsia" w:ascii="Arial Narrow" w:hAnsi="Arial Narrow" w:eastAsia="仿宋_GB2312"/>
          <w:sz w:val="24"/>
        </w:rPr>
        <w:t>优；</w:t>
      </w:r>
    </w:p>
    <w:p w14:paraId="2DBA8BC6">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四方村农业园区经果林管护项目绩效评价得分98.00分，</w:t>
      </w:r>
      <w:r>
        <w:rPr>
          <w:rFonts w:ascii="Arial Narrow" w:hAnsi="Arial Narrow" w:eastAsia="仿宋_GB2312"/>
          <w:sz w:val="24"/>
        </w:rPr>
        <w:t>绩效评价等级为：</w:t>
      </w:r>
      <w:r>
        <w:rPr>
          <w:rFonts w:hint="eastAsia" w:ascii="Arial Narrow" w:hAnsi="Arial Narrow" w:eastAsia="仿宋_GB2312"/>
          <w:sz w:val="24"/>
        </w:rPr>
        <w:t>优；</w:t>
      </w:r>
    </w:p>
    <w:p w14:paraId="621CAC39">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高平村农业园区经果林管护项目绩效评价得分98.00分，绩效评价等级为：优；</w:t>
      </w:r>
    </w:p>
    <w:p w14:paraId="5A4D799D">
      <w:pPr>
        <w:spacing w:line="360" w:lineRule="auto"/>
        <w:ind w:firstLine="480" w:firstLineChars="200"/>
        <w:jc w:val="left"/>
        <w:rPr>
          <w:rFonts w:ascii="Arial Narrow" w:hAnsi="Arial Narrow" w:eastAsia="仿宋_GB2312"/>
          <w:sz w:val="24"/>
        </w:rPr>
      </w:pPr>
      <w:r>
        <w:rPr>
          <w:rFonts w:hint="eastAsia" w:ascii="Arial Narrow" w:hAnsi="Arial Narrow" w:eastAsia="仿宋_GB2312"/>
          <w:sz w:val="24"/>
        </w:rPr>
        <w:t>高平村农业园区经果林管护项目绩效评价得分96.00分，绩效评价等级为：优。</w:t>
      </w:r>
    </w:p>
    <w:p w14:paraId="1062B317">
      <w:pPr>
        <w:spacing w:line="360" w:lineRule="auto"/>
        <w:ind w:firstLine="482" w:firstLineChars="200"/>
        <w:outlineLvl w:val="0"/>
        <w:rPr>
          <w:rFonts w:ascii="Arial Narrow" w:hAnsi="Arial Narrow" w:eastAsia="仿宋_GB2312"/>
          <w:b/>
          <w:sz w:val="24"/>
        </w:rPr>
      </w:pPr>
      <w:bookmarkStart w:id="24" w:name="_Toc169624368"/>
      <w:r>
        <w:rPr>
          <w:rFonts w:hint="eastAsia" w:ascii="Arial Narrow" w:hAnsi="Arial Narrow" w:eastAsia="仿宋_GB2312"/>
          <w:b/>
          <w:sz w:val="24"/>
        </w:rPr>
        <w:t>四、</w:t>
      </w:r>
      <w:r>
        <w:rPr>
          <w:rFonts w:ascii="Arial Narrow" w:hAnsi="Arial Narrow" w:eastAsia="仿宋_GB2312"/>
          <w:b/>
          <w:sz w:val="24"/>
        </w:rPr>
        <w:t>综合评价情况</w:t>
      </w:r>
      <w:bookmarkEnd w:id="24"/>
    </w:p>
    <w:p w14:paraId="64706935">
      <w:pPr>
        <w:spacing w:line="360" w:lineRule="auto"/>
        <w:ind w:firstLine="482" w:firstLineChars="200"/>
        <w:jc w:val="left"/>
        <w:outlineLvl w:val="0"/>
        <w:rPr>
          <w:rFonts w:ascii="仿宋_GB2312" w:eastAsia="仿宋_GB2312"/>
          <w:b/>
          <w:sz w:val="24"/>
        </w:rPr>
      </w:pPr>
      <w:bookmarkStart w:id="25" w:name="_Toc169624369"/>
      <w:r>
        <w:rPr>
          <w:rFonts w:hint="eastAsia" w:ascii="仿宋_GB2312" w:eastAsia="仿宋_GB2312"/>
          <w:b/>
          <w:sz w:val="24"/>
        </w:rPr>
        <w:t>（一）资金管理</w:t>
      </w:r>
      <w:bookmarkEnd w:id="25"/>
    </w:p>
    <w:p w14:paraId="083E5CBD">
      <w:pPr>
        <w:adjustRightInd w:val="0"/>
        <w:snapToGrid w:val="0"/>
        <w:spacing w:line="360" w:lineRule="auto"/>
        <w:ind w:firstLine="480" w:firstLineChars="200"/>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1.财政衔接资金安排情况</w:t>
      </w:r>
    </w:p>
    <w:p w14:paraId="566C7B4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1.财政衔接资金安排情况</w:t>
      </w:r>
    </w:p>
    <w:p w14:paraId="7D508524">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按照《重庆市财政局关于提前下达2023年市财政衔接推进乡村振兴补助资金预算的通知》(渝财农〔2022〕146号)、《重庆市铜梁区财政局关于提前下达2023年中央财政衔接推进乡村振兴补助资金预算的通知》（铜财〔2022〕550号）、《重庆市铜梁区财政局关于下达2023年区级财政衔接推进乡村振兴补助资金预算的通知》(铜财〔2023〕46号)等相关政策性文件规定落实衔接资金。</w:t>
      </w:r>
    </w:p>
    <w:p w14:paraId="153C10E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2.资金分解下达进度</w:t>
      </w:r>
    </w:p>
    <w:p w14:paraId="4534150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以上5个项目资金从区财政局下达资金文件时间到区级业务主管部门下达项目及资金计划文件时间间隔小于30天。</w:t>
      </w:r>
    </w:p>
    <w:p w14:paraId="74A292C3">
      <w:pPr>
        <w:spacing w:line="360" w:lineRule="auto"/>
        <w:ind w:firstLine="482" w:firstLineChars="200"/>
        <w:jc w:val="left"/>
        <w:outlineLvl w:val="0"/>
        <w:rPr>
          <w:rFonts w:ascii="仿宋_GB2312" w:eastAsia="仿宋_GB2312"/>
          <w:b/>
          <w:sz w:val="24"/>
        </w:rPr>
      </w:pPr>
      <w:bookmarkStart w:id="26" w:name="_Toc169624370"/>
      <w:r>
        <w:rPr>
          <w:rFonts w:hint="eastAsia" w:ascii="仿宋_GB2312" w:eastAsia="仿宋_GB2312"/>
          <w:b/>
          <w:sz w:val="24"/>
        </w:rPr>
        <w:t>（二）项目管理</w:t>
      </w:r>
      <w:bookmarkEnd w:id="26"/>
    </w:p>
    <w:p w14:paraId="30A84FA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项目库建设管理情况</w:t>
      </w:r>
    </w:p>
    <w:p w14:paraId="56FD370A">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项目入库及时充分、程序规范、内容完整，制定了切合实际的实施方案，具备实施条件，衔接资金未用于项目库之外的项目。</w:t>
      </w:r>
    </w:p>
    <w:p w14:paraId="6F31DFE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w:t>
      </w:r>
      <w:r>
        <w:rPr>
          <w:rFonts w:hint="eastAsia"/>
        </w:rPr>
        <w:t xml:space="preserve"> </w:t>
      </w:r>
      <w:r>
        <w:rPr>
          <w:rFonts w:hint="eastAsia" w:ascii="Arial Narrow" w:hAnsi="Arial Narrow" w:eastAsia="仿宋_GB2312"/>
          <w:sz w:val="24"/>
        </w:rPr>
        <w:t>项目绩效管理情况</w:t>
      </w:r>
    </w:p>
    <w:p w14:paraId="0772626C">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cs="宋体"/>
          <w:kern w:val="0"/>
          <w:sz w:val="24"/>
        </w:rPr>
        <w:t>以上5个项目</w:t>
      </w:r>
      <w:r>
        <w:rPr>
          <w:rFonts w:hint="eastAsia" w:ascii="Arial Narrow" w:hAnsi="Arial Narrow" w:eastAsia="仿宋_GB2312"/>
          <w:sz w:val="24"/>
        </w:rPr>
        <w:t>及时制定了明确的绩效目标，实施过程中对绩效目标进行监控，对绩效目标偏离项目采取纠偏措施，在项目实施完毕后开展了绩效自评，形成自评表及自评报告。</w:t>
      </w:r>
    </w:p>
    <w:p w14:paraId="2E347FE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以上5个项目绩效基本达到预期。</w:t>
      </w:r>
    </w:p>
    <w:p w14:paraId="0F6F6268">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3.</w:t>
      </w:r>
      <w:r>
        <w:rPr>
          <w:rFonts w:hint="eastAsia"/>
        </w:rPr>
        <w:t xml:space="preserve"> </w:t>
      </w:r>
      <w:r>
        <w:rPr>
          <w:rFonts w:hint="eastAsia" w:ascii="Arial Narrow" w:hAnsi="Arial Narrow" w:eastAsia="仿宋_GB2312"/>
          <w:sz w:val="24"/>
        </w:rPr>
        <w:t>项目建设管理情况</w:t>
      </w:r>
    </w:p>
    <w:p w14:paraId="0AE8A49B">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以上5个项目实施方案不存在变更情况，实施过程中由重庆市铜梁区平滩镇人民政府进行监督检查，检查中未发现重大问题，项目按照实施节点按时提交项目报账资料。</w:t>
      </w:r>
    </w:p>
    <w:p w14:paraId="257508B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4.预算执行率情况</w:t>
      </w:r>
    </w:p>
    <w:p w14:paraId="55A50AF5">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太安村农业示范园区果林管护项目于12月中旬预算资金执行率达到100%；</w:t>
      </w:r>
    </w:p>
    <w:p w14:paraId="5590FA8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四方村农业示范园区经果林管护项目11月中旬预算资金执行率达到100%；</w:t>
      </w:r>
    </w:p>
    <w:p w14:paraId="4F07C3E6">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高平村农业示范园区经果林管护项目11月中旬预算资金执行率达到100%；</w:t>
      </w:r>
    </w:p>
    <w:p w14:paraId="61D8DF0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红河村示范园区经果林管护项目12月中旬预算资金执行率达到100%。</w:t>
      </w:r>
    </w:p>
    <w:p w14:paraId="47E2385D">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5.跟踪督促及发现问题整改情况</w:t>
      </w:r>
    </w:p>
    <w:p w14:paraId="387DBAD2">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通过实施单位提供的监控表、自评表等资料显示，本项目实施单位定期开展项目实施和资金支出进度等跟踪督促，跟踪督促及各类检查发现问题整改到位。</w:t>
      </w:r>
    </w:p>
    <w:p w14:paraId="7E19B1E9">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6.账务处理及档案管理等情况</w:t>
      </w:r>
    </w:p>
    <w:p w14:paraId="7834D6B0">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本项目实施单位对该项目账务处理规范，但未见以上5个项目的会计凭证，其他档案资料完整。</w:t>
      </w:r>
    </w:p>
    <w:p w14:paraId="3685B51F">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7.</w:t>
      </w:r>
      <w:r>
        <w:rPr>
          <w:rFonts w:hint="eastAsia"/>
        </w:rPr>
        <w:t xml:space="preserve"> </w:t>
      </w:r>
      <w:r>
        <w:rPr>
          <w:rFonts w:hint="eastAsia" w:ascii="Arial Narrow" w:hAnsi="Arial Narrow" w:eastAsia="仿宋_GB2312"/>
          <w:sz w:val="24"/>
        </w:rPr>
        <w:t>信息公开和公告公示制度落实情况</w:t>
      </w:r>
    </w:p>
    <w:p w14:paraId="6D65FC44">
      <w:pPr>
        <w:adjustRightInd w:val="0"/>
        <w:snapToGrid w:val="0"/>
        <w:spacing w:line="360" w:lineRule="auto"/>
        <w:ind w:firstLine="480" w:firstLineChars="200"/>
        <w:rPr>
          <w:rFonts w:ascii="Arial Narrow" w:hAnsi="Arial Narrow" w:eastAsia="仿宋_GB2312"/>
          <w:sz w:val="24"/>
        </w:rPr>
      </w:pPr>
      <w:bookmarkStart w:id="27" w:name="_Toc169624371"/>
      <w:r>
        <w:rPr>
          <w:rFonts w:hint="eastAsia" w:ascii="Arial Narrow" w:hAnsi="Arial Narrow" w:eastAsia="仿宋_GB2312"/>
          <w:sz w:val="24"/>
        </w:rPr>
        <w:t>重庆市铜梁区平滩镇人民政府对以上5个项目入库情况、资金计划完成情况等进行了公告公示。</w:t>
      </w:r>
    </w:p>
    <w:p w14:paraId="662C89D4">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（三）</w:t>
      </w:r>
      <w:bookmarkEnd w:id="27"/>
      <w:r>
        <w:rPr>
          <w:rFonts w:hint="eastAsia" w:ascii="仿宋_GB2312" w:eastAsia="仿宋_GB2312"/>
          <w:b/>
          <w:sz w:val="24"/>
        </w:rPr>
        <w:t>使用成效及通报情况</w:t>
      </w:r>
    </w:p>
    <w:p w14:paraId="11C188BE">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1.</w:t>
      </w:r>
      <w:r>
        <w:rPr>
          <w:rFonts w:hint="eastAsia"/>
        </w:rPr>
        <w:t xml:space="preserve"> </w:t>
      </w:r>
      <w:r>
        <w:rPr>
          <w:rFonts w:hint="eastAsia" w:ascii="Arial Narrow" w:hAnsi="Arial Narrow" w:eastAsia="仿宋_GB2312"/>
          <w:sz w:val="24"/>
        </w:rPr>
        <w:t>资金使用效益</w:t>
      </w:r>
    </w:p>
    <w:p w14:paraId="3E7C6CE3">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以上5个项目总体资金均专款专用，完成进度和及时性达到计划预期目的。完成项目的质量能够达标，完成进行了自评、项目资金完整。</w:t>
      </w:r>
    </w:p>
    <w:p w14:paraId="3E0BA3C1">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2.通报情况</w:t>
      </w:r>
    </w:p>
    <w:p w14:paraId="38101A07">
      <w:pPr>
        <w:adjustRightInd w:val="0"/>
        <w:snapToGrid w:val="0"/>
        <w:spacing w:line="360" w:lineRule="auto"/>
        <w:ind w:firstLine="480" w:firstLineChars="200"/>
        <w:rPr>
          <w:rFonts w:ascii="Arial Narrow" w:hAnsi="Arial Narrow" w:eastAsia="仿宋_GB2312"/>
          <w:sz w:val="24"/>
        </w:rPr>
      </w:pPr>
      <w:r>
        <w:rPr>
          <w:rFonts w:hint="eastAsia" w:ascii="Arial Narrow" w:hAnsi="Arial Narrow" w:eastAsia="仿宋_GB2312"/>
          <w:sz w:val="24"/>
        </w:rPr>
        <w:t>项目实施管理日常表现良好，未被通报和问题反馈情况。</w:t>
      </w:r>
    </w:p>
    <w:p w14:paraId="3BE67B71">
      <w:pPr>
        <w:adjustRightInd w:val="0"/>
        <w:snapToGrid w:val="0"/>
        <w:spacing w:line="360" w:lineRule="auto"/>
        <w:ind w:firstLine="482" w:firstLineChars="200"/>
        <w:rPr>
          <w:rFonts w:ascii="Arial Narrow" w:hAnsi="Arial Narrow" w:eastAsia="仿宋_GB2312"/>
          <w:b/>
          <w:sz w:val="24"/>
        </w:rPr>
      </w:pPr>
      <w:r>
        <w:rPr>
          <w:rFonts w:hint="eastAsia" w:ascii="Arial Narrow" w:hAnsi="Arial Narrow" w:eastAsia="仿宋_GB2312"/>
          <w:b/>
          <w:sz w:val="24"/>
        </w:rPr>
        <w:t>五</w:t>
      </w:r>
      <w:r>
        <w:rPr>
          <w:rFonts w:ascii="Arial Narrow" w:hAnsi="Arial Narrow" w:eastAsia="仿宋_GB2312"/>
          <w:b/>
          <w:sz w:val="24"/>
        </w:rPr>
        <w:t>、存在的问题和建议</w:t>
      </w:r>
    </w:p>
    <w:p w14:paraId="62216CE0">
      <w:pPr>
        <w:spacing w:line="360" w:lineRule="auto"/>
        <w:ind w:firstLine="482" w:firstLineChars="200"/>
        <w:jc w:val="left"/>
        <w:outlineLvl w:val="0"/>
        <w:rPr>
          <w:rFonts w:ascii="仿宋_GB2312" w:eastAsia="仿宋_GB2312"/>
          <w:b/>
          <w:sz w:val="24"/>
        </w:rPr>
      </w:pPr>
      <w:bookmarkStart w:id="28" w:name="_Toc169624372"/>
      <w:r>
        <w:rPr>
          <w:rFonts w:hint="eastAsia" w:ascii="仿宋_GB2312" w:eastAsia="仿宋_GB2312"/>
          <w:b/>
          <w:sz w:val="24"/>
        </w:rPr>
        <w:t>（一）存在问题</w:t>
      </w:r>
      <w:bookmarkEnd w:id="28"/>
      <w:bookmarkStart w:id="29" w:name="_Toc169624373"/>
    </w:p>
    <w:p w14:paraId="2AB32559">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无</w:t>
      </w:r>
    </w:p>
    <w:p w14:paraId="3C3E0776">
      <w:pPr>
        <w:spacing w:line="360" w:lineRule="auto"/>
        <w:ind w:firstLine="482" w:firstLineChars="200"/>
        <w:jc w:val="left"/>
        <w:outlineLvl w:val="0"/>
        <w:rPr>
          <w:rFonts w:ascii="仿宋_GB2312" w:eastAsia="仿宋_GB2312"/>
          <w:b/>
          <w:sz w:val="24"/>
        </w:rPr>
      </w:pPr>
      <w:r>
        <w:rPr>
          <w:rFonts w:hint="eastAsia" w:ascii="仿宋_GB2312" w:eastAsia="仿宋_GB2312"/>
          <w:b/>
          <w:sz w:val="24"/>
        </w:rPr>
        <w:t>（二）建议</w:t>
      </w:r>
      <w:bookmarkEnd w:id="29"/>
    </w:p>
    <w:p w14:paraId="47EE1136">
      <w:pPr>
        <w:spacing w:line="360" w:lineRule="auto"/>
        <w:ind w:firstLine="480" w:firstLineChars="200"/>
        <w:jc w:val="left"/>
        <w:outlineLvl w:val="0"/>
        <w:rPr>
          <w:rStyle w:val="10"/>
          <w:rFonts w:ascii="仿宋_GB2312" w:eastAsia="仿宋_GB2312"/>
          <w:b/>
          <w:color w:val="auto"/>
          <w:sz w:val="24"/>
          <w:u w:val="none"/>
        </w:rPr>
      </w:pPr>
      <w:r>
        <w:rPr>
          <w:rStyle w:val="10"/>
          <w:rFonts w:hint="eastAsia" w:ascii="Arial Narrow" w:hAnsi="Arial Narrow" w:eastAsia="仿宋_GB2312"/>
          <w:color w:val="auto"/>
          <w:sz w:val="24"/>
          <w:u w:val="none"/>
        </w:rPr>
        <w:t>无</w:t>
      </w:r>
    </w:p>
    <w:p w14:paraId="10B11CC7">
      <w:pPr>
        <w:adjustRightInd w:val="0"/>
        <w:snapToGrid w:val="0"/>
        <w:spacing w:line="360" w:lineRule="auto"/>
        <w:rPr>
          <w:rStyle w:val="10"/>
          <w:rFonts w:ascii="Arial Narrow" w:hAnsi="Arial Narrow" w:eastAsia="仿宋_GB2312"/>
          <w:color w:val="auto"/>
          <w:sz w:val="24"/>
          <w:u w:val="none"/>
        </w:rPr>
      </w:pPr>
    </w:p>
    <w:p w14:paraId="52868358">
      <w:pPr>
        <w:adjustRightInd w:val="0"/>
        <w:snapToGrid w:val="0"/>
        <w:spacing w:line="360" w:lineRule="auto"/>
        <w:rPr>
          <w:rStyle w:val="10"/>
          <w:rFonts w:ascii="Arial Narrow" w:hAnsi="Arial Narrow" w:eastAsia="仿宋_GB2312"/>
          <w:color w:val="auto"/>
          <w:sz w:val="24"/>
          <w:u w:val="none"/>
        </w:rPr>
      </w:pPr>
    </w:p>
    <w:p w14:paraId="762BC899">
      <w:pPr>
        <w:adjustRightInd w:val="0"/>
        <w:snapToGrid w:val="0"/>
        <w:spacing w:line="360" w:lineRule="auto"/>
        <w:rPr>
          <w:rStyle w:val="10"/>
          <w:rFonts w:ascii="Arial Narrow" w:hAnsi="Arial Narrow" w:eastAsia="仿宋_GB2312"/>
          <w:color w:val="auto"/>
          <w:sz w:val="24"/>
          <w:u w:val="none"/>
        </w:rPr>
      </w:pPr>
    </w:p>
    <w:p w14:paraId="61C1BC91">
      <w:pPr>
        <w:adjustRightInd w:val="0"/>
        <w:snapToGrid w:val="0"/>
        <w:spacing w:line="360" w:lineRule="auto"/>
        <w:rPr>
          <w:rStyle w:val="10"/>
          <w:rFonts w:ascii="Arial Narrow" w:hAnsi="Arial Narrow" w:eastAsia="仿宋_GB2312"/>
          <w:color w:val="auto"/>
          <w:sz w:val="24"/>
          <w:u w:val="none"/>
        </w:rPr>
      </w:pPr>
    </w:p>
    <w:p w14:paraId="0E2109E0">
      <w:pPr>
        <w:adjustRightInd w:val="0"/>
        <w:snapToGrid w:val="0"/>
        <w:spacing w:line="360" w:lineRule="auto"/>
        <w:rPr>
          <w:rStyle w:val="10"/>
          <w:rFonts w:ascii="Arial Narrow" w:hAnsi="Arial Narrow" w:eastAsia="仿宋_GB2312"/>
          <w:color w:val="auto"/>
          <w:sz w:val="24"/>
          <w:u w:val="none"/>
        </w:rPr>
      </w:pPr>
    </w:p>
    <w:p w14:paraId="56C4571F">
      <w:pPr>
        <w:adjustRightInd w:val="0"/>
        <w:snapToGrid w:val="0"/>
        <w:spacing w:line="360" w:lineRule="auto"/>
        <w:rPr>
          <w:rStyle w:val="10"/>
          <w:rFonts w:ascii="Arial Narrow" w:hAnsi="Arial Narrow" w:eastAsia="仿宋_GB2312"/>
          <w:color w:val="auto"/>
          <w:sz w:val="24"/>
          <w:u w:val="none"/>
        </w:rPr>
      </w:pPr>
    </w:p>
    <w:p w14:paraId="172E143B">
      <w:pPr>
        <w:adjustRightInd w:val="0"/>
        <w:snapToGrid w:val="0"/>
        <w:spacing w:line="360" w:lineRule="auto"/>
        <w:rPr>
          <w:rStyle w:val="10"/>
          <w:rFonts w:ascii="Arial Narrow" w:hAnsi="Arial Narrow" w:eastAsia="仿宋_GB2312"/>
          <w:color w:val="auto"/>
          <w:sz w:val="24"/>
          <w:u w:val="none"/>
        </w:rPr>
      </w:pPr>
    </w:p>
    <w:p w14:paraId="1524A480">
      <w:pPr>
        <w:adjustRightInd w:val="0"/>
        <w:snapToGrid w:val="0"/>
        <w:spacing w:line="360" w:lineRule="auto"/>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（此页无正文）</w:t>
      </w:r>
    </w:p>
    <w:p w14:paraId="6789B693">
      <w:pPr>
        <w:adjustRightInd w:val="0"/>
        <w:snapToGrid w:val="0"/>
        <w:spacing w:line="360" w:lineRule="auto"/>
        <w:rPr>
          <w:rStyle w:val="10"/>
          <w:rFonts w:ascii="Arial Narrow" w:hAnsi="Arial Narrow" w:eastAsia="仿宋_GB2312"/>
          <w:color w:val="auto"/>
          <w:sz w:val="24"/>
          <w:u w:val="none"/>
        </w:rPr>
      </w:pPr>
    </w:p>
    <w:p w14:paraId="3E61AE28">
      <w:pPr>
        <w:adjustRightInd w:val="0"/>
        <w:snapToGrid w:val="0"/>
        <w:spacing w:line="360" w:lineRule="auto"/>
        <w:rPr>
          <w:rStyle w:val="10"/>
          <w:rFonts w:ascii="Arial Narrow" w:hAnsi="Arial Narrow" w:eastAsia="仿宋_GB2312"/>
          <w:color w:val="auto"/>
          <w:sz w:val="24"/>
          <w:u w:val="none"/>
        </w:rPr>
      </w:pPr>
    </w:p>
    <w:p w14:paraId="58D5A517">
      <w:pPr>
        <w:adjustRightInd w:val="0"/>
        <w:snapToGrid w:val="0"/>
        <w:spacing w:line="360" w:lineRule="auto"/>
        <w:rPr>
          <w:rStyle w:val="10"/>
          <w:rFonts w:ascii="Arial Narrow" w:hAnsi="Arial Narrow" w:eastAsia="仿宋_GB2312"/>
          <w:color w:val="auto"/>
          <w:sz w:val="24"/>
          <w:u w:val="none"/>
        </w:rPr>
      </w:pPr>
      <w:r>
        <w:rPr>
          <w:rStyle w:val="10"/>
          <w:rFonts w:ascii="Arial Narrow" w:hAnsi="Arial Narrow" w:eastAsia="仿宋_GB2312"/>
          <w:color w:val="auto"/>
          <w:sz w:val="24"/>
          <w:u w:val="none"/>
        </w:rPr>
        <w:t>附件：1、绩效评价指标体系及评分结果表；</w:t>
      </w:r>
    </w:p>
    <w:p w14:paraId="6BAB9DD2">
      <w:pPr>
        <w:adjustRightInd w:val="0"/>
        <w:snapToGrid w:val="0"/>
        <w:spacing w:line="360" w:lineRule="auto"/>
        <w:ind w:firstLine="720" w:firstLineChars="300"/>
        <w:rPr>
          <w:rStyle w:val="10"/>
          <w:rFonts w:ascii="Arial Narrow" w:hAnsi="Arial Narrow" w:eastAsia="仿宋_GB2312"/>
          <w:color w:val="auto"/>
          <w:sz w:val="24"/>
          <w:u w:val="none"/>
        </w:rPr>
      </w:pPr>
      <w:r>
        <w:rPr>
          <w:rStyle w:val="10"/>
          <w:rFonts w:ascii="Arial Narrow" w:hAnsi="Arial Narrow" w:eastAsia="仿宋_GB2312"/>
          <w:color w:val="auto"/>
          <w:sz w:val="24"/>
          <w:u w:val="none"/>
        </w:rPr>
        <w:t>2、会计师事务所营业执照和资质复印件。</w:t>
      </w:r>
    </w:p>
    <w:p w14:paraId="47C0626F">
      <w:pPr>
        <w:adjustRightInd w:val="0"/>
        <w:snapToGrid w:val="0"/>
        <w:spacing w:line="360" w:lineRule="auto"/>
        <w:ind w:firstLine="720" w:firstLineChars="300"/>
        <w:rPr>
          <w:rStyle w:val="10"/>
          <w:rFonts w:ascii="Arial Narrow" w:hAnsi="Arial Narrow" w:eastAsia="仿宋_GB2312"/>
          <w:color w:val="auto"/>
          <w:sz w:val="24"/>
          <w:u w:val="none"/>
        </w:rPr>
      </w:pPr>
    </w:p>
    <w:p w14:paraId="25ECF9C7">
      <w:pPr>
        <w:adjustRightInd w:val="0"/>
        <w:snapToGrid w:val="0"/>
        <w:spacing w:line="360" w:lineRule="auto"/>
        <w:ind w:firstLine="720" w:firstLineChars="300"/>
        <w:rPr>
          <w:rStyle w:val="10"/>
          <w:rFonts w:ascii="Arial Narrow" w:hAnsi="Arial Narrow" w:eastAsia="仿宋_GB2312"/>
          <w:color w:val="auto"/>
          <w:sz w:val="24"/>
          <w:u w:val="none"/>
        </w:rPr>
      </w:pPr>
    </w:p>
    <w:p w14:paraId="380AB6CD">
      <w:pPr>
        <w:adjustRightInd w:val="0"/>
        <w:snapToGrid w:val="0"/>
        <w:spacing w:line="360" w:lineRule="auto"/>
        <w:ind w:firstLine="720" w:firstLineChars="300"/>
        <w:rPr>
          <w:rStyle w:val="10"/>
          <w:rFonts w:ascii="Arial Narrow" w:hAnsi="Arial Narrow" w:eastAsia="仿宋_GB2312"/>
          <w:color w:val="auto"/>
          <w:sz w:val="24"/>
          <w:u w:val="none"/>
        </w:rPr>
      </w:pPr>
    </w:p>
    <w:p w14:paraId="1A7C36AB">
      <w:pPr>
        <w:adjustRightInd w:val="0"/>
        <w:snapToGrid w:val="0"/>
        <w:spacing w:line="360" w:lineRule="auto"/>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 xml:space="preserve"> 重庆铭鸿金全会计师事务所有限责任公司</w:t>
      </w:r>
    </w:p>
    <w:p w14:paraId="0FF4E669">
      <w:pPr>
        <w:adjustRightInd w:val="0"/>
        <w:snapToGrid w:val="0"/>
        <w:spacing w:line="360" w:lineRule="auto"/>
        <w:ind w:right="960" w:firstLine="4800" w:firstLineChars="2000"/>
        <w:jc w:val="right"/>
        <w:rPr>
          <w:rStyle w:val="10"/>
          <w:rFonts w:ascii="Arial Narrow" w:hAnsi="Arial Narrow" w:eastAsia="仿宋_GB2312"/>
          <w:color w:val="auto"/>
          <w:sz w:val="24"/>
          <w:u w:val="none"/>
        </w:rPr>
      </w:pPr>
      <w:r>
        <w:rPr>
          <w:rStyle w:val="10"/>
          <w:rFonts w:hint="eastAsia" w:ascii="Arial Narrow" w:hAnsi="Arial Narrow" w:eastAsia="仿宋_GB2312"/>
          <w:color w:val="auto"/>
          <w:sz w:val="24"/>
          <w:u w:val="none"/>
        </w:rPr>
        <w:t>二</w:t>
      </w:r>
      <w:r>
        <w:rPr>
          <w:rStyle w:val="10"/>
          <w:rFonts w:hint="eastAsia" w:ascii="Arial Narrow" w:hAnsi="Arial Narrow" w:eastAsia="仿宋_GB2312"/>
          <w:color w:val="auto"/>
          <w:sz w:val="24"/>
          <w:u w:val="none"/>
          <w:lang w:val="en-US" w:eastAsia="zh-CN"/>
        </w:rPr>
        <w:t>〇</w:t>
      </w:r>
      <w:bookmarkStart w:id="30" w:name="_GoBack"/>
      <w:bookmarkEnd w:id="30"/>
      <w:r>
        <w:rPr>
          <w:rStyle w:val="10"/>
          <w:rFonts w:hint="eastAsia" w:ascii="Arial Narrow" w:hAnsi="Arial Narrow" w:eastAsia="仿宋_GB2312"/>
          <w:color w:val="auto"/>
          <w:sz w:val="24"/>
          <w:u w:val="none"/>
        </w:rPr>
        <w:t>二四年六月二十八日</w:t>
      </w:r>
    </w:p>
    <w:sectPr>
      <w:headerReference r:id="rId7" w:type="default"/>
      <w:footerReference r:id="rId8" w:type="default"/>
      <w:pgSz w:w="11907" w:h="16840" w:orient="landscape"/>
      <w:pgMar w:top="1418" w:right="1418" w:bottom="1134" w:left="1134" w:header="851" w:footer="851" w:gutter="0"/>
      <w:pgNumType w:start="1"/>
      <w:cols w:space="425" w:num="1"/>
      <w:titlePg/>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Arial Narrow">
    <w:altName w:val="Arial"/>
    <w:panose1 w:val="020B0606020202030204"/>
    <w:charset w:val="00"/>
    <w:family w:val="swiss"/>
    <w:pitch w:val="default"/>
    <w:sig w:usb0="00000000" w:usb1="00000000" w:usb2="00000000" w:usb3="00000000" w:csb0="2000009F" w:csb1="DFD7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Symbol">
    <w:panose1 w:val="020B0502040204020203"/>
    <w:charset w:val="00"/>
    <w:family w:val="swiss"/>
    <w:pitch w:val="default"/>
    <w:sig w:usb0="8000006F" w:usb1="1200FBEF" w:usb2="0064C000" w:usb3="00000002" w:csb0="00000001" w:csb1="40000000"/>
  </w:font>
  <w:font w:name="Arial">
    <w:panose1 w:val="020B0604020202020204"/>
    <w:charset w:val="00"/>
    <w:family w:val="auto"/>
    <w:pitch w:val="default"/>
    <w:sig w:usb0="E0002AFF" w:usb1="C0007843"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3B7534">
    <w:pPr>
      <w:pStyle w:val="4"/>
      <w:jc w:val="center"/>
      <w:rPr>
        <w:rFonts w:hint="eastAsia"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A3B52B">
    <w:pPr>
      <w:pStyle w:val="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2835566"/>
      <w:docPartObj>
        <w:docPartGallery w:val="autotext"/>
      </w:docPartObj>
    </w:sdtPr>
    <w:sdtContent>
      <w:p w14:paraId="0462B05B">
        <w:pPr>
          <w:pStyle w:val="4"/>
          <w:jc w:val="center"/>
        </w:pPr>
        <w:r>
          <w:fldChar w:fldCharType="begin"/>
        </w:r>
        <w:r>
          <w:instrText xml:space="preserve">PAGE   \* MERGEFORMAT</w:instrText>
        </w:r>
        <w:r>
          <w:fldChar w:fldCharType="separate"/>
        </w:r>
        <w:r>
          <w:t>2</w:t>
        </w:r>
        <w: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3BDEA5">
    <w:pPr>
      <w:pStyle w:val="4"/>
      <w:jc w:val="center"/>
      <w:rPr>
        <w:rFonts w:hint="eastAsia" w:ascii="宋体" w:hAnsi="宋体"/>
      </w:rPr>
    </w:pPr>
    <w:r>
      <w:rPr>
        <w:rFonts w:ascii="宋体" w:hAnsi="宋体"/>
      </w:rPr>
      <w:fldChar w:fldCharType="begin"/>
    </w:r>
    <w:r>
      <w:rPr>
        <w:rFonts w:ascii="宋体" w:hAnsi="宋体"/>
      </w:rPr>
      <w:instrText xml:space="preserve"> PAGE   \* MERGEFORMAT </w:instrText>
    </w:r>
    <w:r>
      <w:rPr>
        <w:rFonts w:ascii="宋体" w:hAnsi="宋体"/>
      </w:rPr>
      <w:fldChar w:fldCharType="separate"/>
    </w:r>
    <w:r>
      <w:rPr>
        <w:rFonts w:ascii="宋体" w:hAnsi="宋体"/>
      </w:rPr>
      <w:t>22</w:t>
    </w:r>
    <w:r>
      <w:rPr>
        <w:rFonts w:ascii="宋体" w:hAnsi="宋体"/>
      </w:rPr>
      <w:fldChar w:fldCharType="end"/>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03824BD">
    <w:pPr>
      <w:pStyle w:val="5"/>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5269367">
    <w:pPr>
      <w:pStyle w:val="5"/>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WFkMWJkNzdkODFiMjE3ZDcyMTYzYTBjYzkxNGY2MTkifQ=="/>
  </w:docVars>
  <w:rsids>
    <w:rsidRoot w:val="008952B1"/>
    <w:rsid w:val="000213E1"/>
    <w:rsid w:val="00060BD2"/>
    <w:rsid w:val="00063E0B"/>
    <w:rsid w:val="000769EE"/>
    <w:rsid w:val="000D1A3B"/>
    <w:rsid w:val="000E4529"/>
    <w:rsid w:val="000E6A52"/>
    <w:rsid w:val="000F26E7"/>
    <w:rsid w:val="0010003E"/>
    <w:rsid w:val="00104568"/>
    <w:rsid w:val="00143A99"/>
    <w:rsid w:val="00152152"/>
    <w:rsid w:val="00164C87"/>
    <w:rsid w:val="0019215A"/>
    <w:rsid w:val="001A42EB"/>
    <w:rsid w:val="001A7A74"/>
    <w:rsid w:val="001C6F32"/>
    <w:rsid w:val="001D5882"/>
    <w:rsid w:val="001E0132"/>
    <w:rsid w:val="001F3624"/>
    <w:rsid w:val="001F43AE"/>
    <w:rsid w:val="00216472"/>
    <w:rsid w:val="00224D96"/>
    <w:rsid w:val="00226E7E"/>
    <w:rsid w:val="00242558"/>
    <w:rsid w:val="00252CB1"/>
    <w:rsid w:val="00276D1C"/>
    <w:rsid w:val="00282997"/>
    <w:rsid w:val="002930F7"/>
    <w:rsid w:val="002C083D"/>
    <w:rsid w:val="002C36AE"/>
    <w:rsid w:val="002C5020"/>
    <w:rsid w:val="002C7EFA"/>
    <w:rsid w:val="00324E2F"/>
    <w:rsid w:val="00331DC5"/>
    <w:rsid w:val="00334360"/>
    <w:rsid w:val="00354515"/>
    <w:rsid w:val="0035515E"/>
    <w:rsid w:val="0037066E"/>
    <w:rsid w:val="00384C3C"/>
    <w:rsid w:val="003879CE"/>
    <w:rsid w:val="003A00D8"/>
    <w:rsid w:val="003B42BF"/>
    <w:rsid w:val="003D700D"/>
    <w:rsid w:val="004110B3"/>
    <w:rsid w:val="00414A58"/>
    <w:rsid w:val="004200C2"/>
    <w:rsid w:val="00420AA7"/>
    <w:rsid w:val="00421C71"/>
    <w:rsid w:val="00470930"/>
    <w:rsid w:val="00492066"/>
    <w:rsid w:val="004C1F3A"/>
    <w:rsid w:val="004C38B4"/>
    <w:rsid w:val="004D1145"/>
    <w:rsid w:val="004D2A6E"/>
    <w:rsid w:val="004E6833"/>
    <w:rsid w:val="004F7A0F"/>
    <w:rsid w:val="00501A64"/>
    <w:rsid w:val="00536985"/>
    <w:rsid w:val="00572DD6"/>
    <w:rsid w:val="00575468"/>
    <w:rsid w:val="005802D5"/>
    <w:rsid w:val="005B0AA9"/>
    <w:rsid w:val="005E133F"/>
    <w:rsid w:val="005F01BA"/>
    <w:rsid w:val="0061001E"/>
    <w:rsid w:val="0061417A"/>
    <w:rsid w:val="00655510"/>
    <w:rsid w:val="00663BAB"/>
    <w:rsid w:val="0069678B"/>
    <w:rsid w:val="006A58E0"/>
    <w:rsid w:val="006D14F7"/>
    <w:rsid w:val="006E75D6"/>
    <w:rsid w:val="006E7DA1"/>
    <w:rsid w:val="006F7CBD"/>
    <w:rsid w:val="0073019B"/>
    <w:rsid w:val="00730A8E"/>
    <w:rsid w:val="00740E9D"/>
    <w:rsid w:val="00741402"/>
    <w:rsid w:val="00750E1F"/>
    <w:rsid w:val="00767D3C"/>
    <w:rsid w:val="007A6BE6"/>
    <w:rsid w:val="007E118A"/>
    <w:rsid w:val="007F493E"/>
    <w:rsid w:val="00827385"/>
    <w:rsid w:val="00842151"/>
    <w:rsid w:val="00856815"/>
    <w:rsid w:val="008952B1"/>
    <w:rsid w:val="008A46DD"/>
    <w:rsid w:val="008D4F7C"/>
    <w:rsid w:val="008E609D"/>
    <w:rsid w:val="00904891"/>
    <w:rsid w:val="0090729E"/>
    <w:rsid w:val="009309C0"/>
    <w:rsid w:val="0093667D"/>
    <w:rsid w:val="00983CB7"/>
    <w:rsid w:val="0099227E"/>
    <w:rsid w:val="009957B8"/>
    <w:rsid w:val="0099666C"/>
    <w:rsid w:val="009C2341"/>
    <w:rsid w:val="009D5F97"/>
    <w:rsid w:val="009F1C42"/>
    <w:rsid w:val="00A066D6"/>
    <w:rsid w:val="00A067C7"/>
    <w:rsid w:val="00A14650"/>
    <w:rsid w:val="00A173D2"/>
    <w:rsid w:val="00A352D4"/>
    <w:rsid w:val="00A55B89"/>
    <w:rsid w:val="00A922C5"/>
    <w:rsid w:val="00A95CA5"/>
    <w:rsid w:val="00AC3880"/>
    <w:rsid w:val="00AD0284"/>
    <w:rsid w:val="00AE4296"/>
    <w:rsid w:val="00AE470F"/>
    <w:rsid w:val="00AE68C2"/>
    <w:rsid w:val="00AF58DD"/>
    <w:rsid w:val="00B134A6"/>
    <w:rsid w:val="00B25A79"/>
    <w:rsid w:val="00B7289F"/>
    <w:rsid w:val="00BA212E"/>
    <w:rsid w:val="00BB3674"/>
    <w:rsid w:val="00BC2692"/>
    <w:rsid w:val="00BC7BED"/>
    <w:rsid w:val="00BD6FFD"/>
    <w:rsid w:val="00C02FB6"/>
    <w:rsid w:val="00C107C7"/>
    <w:rsid w:val="00C12443"/>
    <w:rsid w:val="00C12956"/>
    <w:rsid w:val="00C16F0E"/>
    <w:rsid w:val="00C21DE8"/>
    <w:rsid w:val="00C35442"/>
    <w:rsid w:val="00C36A73"/>
    <w:rsid w:val="00C42E74"/>
    <w:rsid w:val="00C60A62"/>
    <w:rsid w:val="00C81287"/>
    <w:rsid w:val="00C83CC8"/>
    <w:rsid w:val="00CA004B"/>
    <w:rsid w:val="00CB0A01"/>
    <w:rsid w:val="00CB54FB"/>
    <w:rsid w:val="00CC769D"/>
    <w:rsid w:val="00D11B65"/>
    <w:rsid w:val="00D1562E"/>
    <w:rsid w:val="00D254D3"/>
    <w:rsid w:val="00D26E16"/>
    <w:rsid w:val="00D415D5"/>
    <w:rsid w:val="00D9153A"/>
    <w:rsid w:val="00D95359"/>
    <w:rsid w:val="00DB55F0"/>
    <w:rsid w:val="00DB6150"/>
    <w:rsid w:val="00E00AC0"/>
    <w:rsid w:val="00E065AA"/>
    <w:rsid w:val="00E23D6E"/>
    <w:rsid w:val="00E27A95"/>
    <w:rsid w:val="00E541AA"/>
    <w:rsid w:val="00E66C12"/>
    <w:rsid w:val="00E709E2"/>
    <w:rsid w:val="00E71632"/>
    <w:rsid w:val="00E80BDA"/>
    <w:rsid w:val="00EA1C10"/>
    <w:rsid w:val="00EA4665"/>
    <w:rsid w:val="00EB474C"/>
    <w:rsid w:val="00ED0A8C"/>
    <w:rsid w:val="00ED0E33"/>
    <w:rsid w:val="00EF1282"/>
    <w:rsid w:val="00EF5252"/>
    <w:rsid w:val="00F1533D"/>
    <w:rsid w:val="00F24BE1"/>
    <w:rsid w:val="00F36680"/>
    <w:rsid w:val="00F54C3F"/>
    <w:rsid w:val="00F61D28"/>
    <w:rsid w:val="00F64D50"/>
    <w:rsid w:val="00F6551E"/>
    <w:rsid w:val="00F84DF0"/>
    <w:rsid w:val="00F9547A"/>
    <w:rsid w:val="00FA6718"/>
    <w:rsid w:val="00FB7EB8"/>
    <w:rsid w:val="00FD1A79"/>
    <w:rsid w:val="00FD5F18"/>
    <w:rsid w:val="00FE1E65"/>
    <w:rsid w:val="00FE5705"/>
    <w:rsid w:val="00FF13A1"/>
    <w:rsid w:val="00FF4C26"/>
    <w:rsid w:val="00FF5AA5"/>
    <w:rsid w:val="02717C9D"/>
    <w:rsid w:val="0C955D75"/>
    <w:rsid w:val="10FD0312"/>
    <w:rsid w:val="120E6874"/>
    <w:rsid w:val="270731DD"/>
    <w:rsid w:val="2AA43278"/>
    <w:rsid w:val="357129F4"/>
    <w:rsid w:val="371050B8"/>
    <w:rsid w:val="45947F31"/>
    <w:rsid w:val="471949CC"/>
    <w:rsid w:val="4DF1278B"/>
    <w:rsid w:val="5AF4237E"/>
    <w:rsid w:val="60087B46"/>
    <w:rsid w:val="629B4EDD"/>
    <w:rsid w:val="6C0B491D"/>
    <w:rsid w:val="757D494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qFormat/>
    <w:uiPriority w:val="0"/>
    <w:pPr>
      <w:keepNext/>
      <w:keepLines/>
      <w:spacing w:line="480" w:lineRule="auto"/>
      <w:jc w:val="center"/>
      <w:outlineLvl w:val="0"/>
    </w:pPr>
    <w:rPr>
      <w:b/>
      <w:bCs/>
      <w:kern w:val="44"/>
      <w:sz w:val="32"/>
      <w:szCs w:val="44"/>
    </w:rPr>
  </w:style>
  <w:style w:type="character" w:default="1" w:styleId="9">
    <w:name w:val="Default Paragraph Font"/>
    <w:semiHidden/>
    <w:unhideWhenUsed/>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3">
    <w:name w:val="annotation text"/>
    <w:basedOn w:val="1"/>
    <w:link w:val="14"/>
    <w:qFormat/>
    <w:uiPriority w:val="0"/>
    <w:pPr>
      <w:jc w:val="left"/>
    </w:pPr>
  </w:style>
  <w:style w:type="paragraph" w:styleId="4">
    <w:name w:val="footer"/>
    <w:basedOn w:val="1"/>
    <w:link w:val="17"/>
    <w:qFormat/>
    <w:uiPriority w:val="99"/>
    <w:pPr>
      <w:tabs>
        <w:tab w:val="center" w:pos="4153"/>
        <w:tab w:val="right" w:pos="8306"/>
      </w:tabs>
      <w:snapToGrid w:val="0"/>
      <w:jc w:val="left"/>
    </w:pPr>
    <w:rPr>
      <w:sz w:val="18"/>
      <w:szCs w:val="18"/>
      <w:lang w:val="zh-CN"/>
    </w:rPr>
  </w:style>
  <w:style w:type="paragraph" w:styleId="5">
    <w:name w:val="header"/>
    <w:basedOn w:val="1"/>
    <w:qFormat/>
    <w:uiPriority w:val="99"/>
    <w:pPr>
      <w:pBdr>
        <w:bottom w:val="single" w:color="auto" w:sz="6" w:space="1"/>
      </w:pBdr>
      <w:tabs>
        <w:tab w:val="center" w:pos="4153"/>
        <w:tab w:val="right" w:pos="8306"/>
      </w:tabs>
      <w:snapToGrid w:val="0"/>
      <w:jc w:val="center"/>
    </w:pPr>
    <w:rPr>
      <w:sz w:val="18"/>
      <w:szCs w:val="18"/>
      <w:lang w:val="zh-CN"/>
    </w:rPr>
  </w:style>
  <w:style w:type="paragraph" w:styleId="6">
    <w:name w:val="toc 1"/>
    <w:basedOn w:val="1"/>
    <w:next w:val="1"/>
    <w:qFormat/>
    <w:uiPriority w:val="39"/>
    <w:pPr>
      <w:tabs>
        <w:tab w:val="right" w:leader="dot" w:pos="8778"/>
      </w:tabs>
      <w:spacing w:line="360" w:lineRule="auto"/>
    </w:pPr>
    <w:rPr>
      <w:rFonts w:ascii="Arial Narrow" w:hAnsi="Arial Narrow" w:eastAsia="仿宋_GB2312"/>
      <w:b/>
      <w:bCs/>
    </w:rPr>
  </w:style>
  <w:style w:type="paragraph" w:styleId="7">
    <w:name w:val="annotation subject"/>
    <w:basedOn w:val="3"/>
    <w:next w:val="3"/>
    <w:link w:val="15"/>
    <w:qFormat/>
    <w:uiPriority w:val="0"/>
    <w:rPr>
      <w:b/>
      <w:bCs/>
    </w:rPr>
  </w:style>
  <w:style w:type="character" w:styleId="10">
    <w:name w:val="Hyperlink"/>
    <w:qFormat/>
    <w:uiPriority w:val="99"/>
    <w:rPr>
      <w:color w:val="0000FF"/>
      <w:u w:val="single"/>
    </w:rPr>
  </w:style>
  <w:style w:type="character" w:styleId="11">
    <w:name w:val="annotation reference"/>
    <w:basedOn w:val="9"/>
    <w:qFormat/>
    <w:uiPriority w:val="0"/>
    <w:rPr>
      <w:sz w:val="21"/>
      <w:szCs w:val="21"/>
    </w:rPr>
  </w:style>
  <w:style w:type="paragraph" w:customStyle="1" w:styleId="12">
    <w:name w:val="目录 11"/>
    <w:basedOn w:val="1"/>
    <w:next w:val="1"/>
    <w:qFormat/>
    <w:uiPriority w:val="39"/>
    <w:pPr>
      <w:tabs>
        <w:tab w:val="right" w:leader="dot" w:pos="8280"/>
      </w:tabs>
      <w:spacing w:line="440" w:lineRule="exact"/>
      <w:jc w:val="distribute"/>
    </w:pPr>
    <w:rPr>
      <w:rFonts w:ascii="仿宋" w:hAnsi="仿宋" w:eastAsia="仿宋"/>
      <w:sz w:val="24"/>
    </w:rPr>
  </w:style>
  <w:style w:type="paragraph" w:customStyle="1" w:styleId="13">
    <w:name w:val="Default"/>
    <w:qForma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character" w:customStyle="1" w:styleId="14">
    <w:name w:val="批注文字 字符"/>
    <w:basedOn w:val="9"/>
    <w:link w:val="3"/>
    <w:qFormat/>
    <w:uiPriority w:val="0"/>
    <w:rPr>
      <w:kern w:val="2"/>
      <w:sz w:val="21"/>
      <w:szCs w:val="24"/>
    </w:rPr>
  </w:style>
  <w:style w:type="character" w:customStyle="1" w:styleId="15">
    <w:name w:val="批注主题 字符"/>
    <w:basedOn w:val="14"/>
    <w:link w:val="7"/>
    <w:qFormat/>
    <w:uiPriority w:val="0"/>
    <w:rPr>
      <w:b/>
      <w:bCs/>
      <w:kern w:val="2"/>
      <w:sz w:val="21"/>
      <w:szCs w:val="24"/>
    </w:rPr>
  </w:style>
  <w:style w:type="paragraph" w:styleId="16">
    <w:name w:val="List Paragraph"/>
    <w:basedOn w:val="1"/>
    <w:unhideWhenUsed/>
    <w:qFormat/>
    <w:uiPriority w:val="99"/>
    <w:pPr>
      <w:ind w:firstLine="420" w:firstLineChars="200"/>
    </w:pPr>
  </w:style>
  <w:style w:type="character" w:customStyle="1" w:styleId="17">
    <w:name w:val="页脚 字符"/>
    <w:basedOn w:val="9"/>
    <w:link w:val="4"/>
    <w:qFormat/>
    <w:uiPriority w:val="99"/>
    <w:rPr>
      <w:kern w:val="2"/>
      <w:sz w:val="18"/>
      <w:szCs w:val="18"/>
      <w:lang w:val="zh-CN"/>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header" Target="header2.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B00616-A4DC-48FD-B5E0-08469EFDF224}">
  <ds:schemaRefs/>
</ds:datastoreItem>
</file>

<file path=docProps/app.xml><?xml version="1.0" encoding="utf-8"?>
<Properties xmlns="http://schemas.openxmlformats.org/officeDocument/2006/extended-properties" xmlns:vt="http://schemas.openxmlformats.org/officeDocument/2006/docPropsVTypes">
  <Template>Normal</Template>
  <Pages>11</Pages>
  <Words>6206</Words>
  <Characters>6727</Characters>
  <Lines>56</Lines>
  <Paragraphs>15</Paragraphs>
  <TotalTime>650</TotalTime>
  <ScaleCrop>false</ScaleCrop>
  <LinksUpToDate>false</LinksUpToDate>
  <CharactersWithSpaces>6765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2024-06-06T02:59:00Z</dcterms:created>
  <dc:creator>Administrator</dc:creator>
  <cp:lastModifiedBy>四十四</cp:lastModifiedBy>
  <cp:lastPrinted>2024-06-07T06:02:00Z</cp:lastPrinted>
  <dcterms:modified xsi:type="dcterms:W3CDTF">2024-11-20T01:19:14Z</dcterms:modified>
  <cp:revision>123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0DEEC9CE015C4E0B9A5BDD2CC641473F_12</vt:lpwstr>
  </property>
</Properties>
</file>