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E60A7C">
      <w:pPr>
        <w:spacing w:line="360" w:lineRule="auto"/>
        <w:jc w:val="center"/>
        <w:rPr>
          <w:rFonts w:ascii="Arial Narrow" w:hAnsi="Arial Narrow"/>
          <w:b/>
          <w:bCs/>
          <w:sz w:val="36"/>
          <w:szCs w:val="36"/>
        </w:rPr>
      </w:pPr>
    </w:p>
    <w:p w14:paraId="08BEBC32">
      <w:pPr>
        <w:spacing w:line="360" w:lineRule="auto"/>
        <w:jc w:val="center"/>
        <w:rPr>
          <w:rFonts w:ascii="Arial Narrow" w:hAnsi="Arial Narrow"/>
          <w:b/>
          <w:bCs/>
          <w:sz w:val="36"/>
          <w:szCs w:val="36"/>
        </w:rPr>
      </w:pPr>
    </w:p>
    <w:p w14:paraId="417297D5">
      <w:pPr>
        <w:spacing w:line="360" w:lineRule="auto"/>
        <w:jc w:val="center"/>
        <w:rPr>
          <w:rFonts w:ascii="Arial Narrow" w:hAnsi="Arial Narrow"/>
          <w:b/>
          <w:bCs/>
          <w:sz w:val="36"/>
          <w:szCs w:val="36"/>
        </w:rPr>
      </w:pPr>
    </w:p>
    <w:p w14:paraId="6B7BA357">
      <w:pPr>
        <w:spacing w:line="360" w:lineRule="auto"/>
        <w:jc w:val="center"/>
        <w:rPr>
          <w:rFonts w:ascii="Arial Narrow" w:hAnsi="Arial Narrow"/>
          <w:b/>
          <w:bCs/>
          <w:sz w:val="36"/>
          <w:szCs w:val="36"/>
        </w:rPr>
      </w:pPr>
    </w:p>
    <w:p w14:paraId="2860E524">
      <w:pPr>
        <w:adjustRightInd w:val="0"/>
        <w:snapToGrid w:val="0"/>
        <w:spacing w:line="360" w:lineRule="auto"/>
        <w:jc w:val="center"/>
        <w:rPr>
          <w:rFonts w:ascii="Arial Narrow" w:hAnsi="Arial Narrow" w:eastAsia="仿宋"/>
          <w:b/>
          <w:sz w:val="36"/>
          <w:szCs w:val="36"/>
        </w:rPr>
      </w:pPr>
      <w:r>
        <w:rPr>
          <w:rFonts w:hint="eastAsia" w:ascii="Arial Narrow" w:hAnsi="Arial Narrow" w:eastAsia="仿宋"/>
          <w:b/>
          <w:sz w:val="36"/>
          <w:szCs w:val="36"/>
        </w:rPr>
        <w:t>重庆市铜梁区小林镇鱼龙村长五间蔬菜基地建设项目</w:t>
      </w:r>
    </w:p>
    <w:p w14:paraId="7E307318">
      <w:pPr>
        <w:adjustRightInd w:val="0"/>
        <w:snapToGrid w:val="0"/>
        <w:spacing w:line="360" w:lineRule="auto"/>
        <w:jc w:val="center"/>
        <w:rPr>
          <w:rFonts w:ascii="Arial Narrow" w:hAnsi="Arial Narrow"/>
          <w:b/>
          <w:spacing w:val="100"/>
          <w:sz w:val="32"/>
          <w:szCs w:val="32"/>
        </w:rPr>
      </w:pPr>
      <w:r>
        <w:rPr>
          <w:rFonts w:hint="eastAsia" w:ascii="Arial Narrow" w:hAnsi="Arial Narrow" w:eastAsia="仿宋"/>
          <w:b/>
          <w:sz w:val="36"/>
          <w:szCs w:val="36"/>
        </w:rPr>
        <w:t>财政专项衔接资金</w:t>
      </w:r>
    </w:p>
    <w:p w14:paraId="6D16FC4C">
      <w:pPr>
        <w:adjustRightInd w:val="0"/>
        <w:snapToGrid w:val="0"/>
        <w:spacing w:line="360" w:lineRule="auto"/>
        <w:jc w:val="center"/>
        <w:rPr>
          <w:rFonts w:ascii="Arial Narrow" w:hAnsi="Arial Narrow"/>
          <w:b/>
          <w:sz w:val="36"/>
          <w:szCs w:val="36"/>
        </w:rPr>
      </w:pPr>
    </w:p>
    <w:p w14:paraId="5FFB607B">
      <w:pPr>
        <w:adjustRightInd w:val="0"/>
        <w:snapToGrid w:val="0"/>
        <w:spacing w:line="360" w:lineRule="auto"/>
        <w:jc w:val="center"/>
        <w:rPr>
          <w:rFonts w:ascii="Arial Narrow" w:hAnsi="Arial Narrow"/>
          <w:b/>
          <w:spacing w:val="100"/>
          <w:sz w:val="32"/>
          <w:szCs w:val="32"/>
        </w:rPr>
      </w:pPr>
    </w:p>
    <w:p w14:paraId="2719006F">
      <w:pPr>
        <w:adjustRightInd w:val="0"/>
        <w:snapToGrid w:val="0"/>
        <w:spacing w:line="360" w:lineRule="auto"/>
        <w:jc w:val="center"/>
        <w:rPr>
          <w:rFonts w:ascii="Arial Narrow" w:hAnsi="Arial Narrow"/>
          <w:b/>
          <w:spacing w:val="100"/>
          <w:sz w:val="32"/>
          <w:szCs w:val="32"/>
        </w:rPr>
      </w:pPr>
    </w:p>
    <w:p w14:paraId="5F1478BB">
      <w:pPr>
        <w:tabs>
          <w:tab w:val="center" w:pos="4393"/>
          <w:tab w:val="left" w:pos="7258"/>
        </w:tabs>
        <w:adjustRightInd w:val="0"/>
        <w:snapToGrid w:val="0"/>
        <w:spacing w:line="360" w:lineRule="auto"/>
        <w:jc w:val="center"/>
        <w:rPr>
          <w:rFonts w:ascii="Arial Narrow" w:hAnsi="Arial Narrow" w:eastAsia="仿宋"/>
          <w:b/>
          <w:w w:val="102"/>
          <w:sz w:val="44"/>
          <w:szCs w:val="44"/>
        </w:rPr>
      </w:pPr>
      <w:r>
        <w:rPr>
          <w:rFonts w:ascii="Arial Narrow" w:hAnsi="Arial Narrow" w:eastAsia="仿宋"/>
          <w:b/>
          <w:w w:val="102"/>
          <w:sz w:val="44"/>
          <w:szCs w:val="44"/>
        </w:rPr>
        <w:t>绩效评价</w:t>
      </w:r>
      <w:bookmarkStart w:id="0" w:name="_Toc488804777"/>
      <w:bookmarkStart w:id="1" w:name="_Toc488637980"/>
      <w:r>
        <w:rPr>
          <w:rFonts w:ascii="Arial Narrow" w:hAnsi="Arial Narrow" w:eastAsia="仿宋"/>
          <w:b/>
          <w:w w:val="102"/>
          <w:sz w:val="44"/>
          <w:szCs w:val="44"/>
        </w:rPr>
        <w:t>报告</w:t>
      </w:r>
    </w:p>
    <w:p w14:paraId="11B15A30">
      <w:pPr>
        <w:spacing w:line="360" w:lineRule="auto"/>
        <w:jc w:val="center"/>
        <w:rPr>
          <w:rFonts w:ascii="Arial Narrow" w:hAnsi="Arial Narrow" w:eastAsia="仿宋"/>
          <w:bCs/>
          <w:sz w:val="32"/>
          <w:szCs w:val="32"/>
        </w:rPr>
      </w:pPr>
      <w:r>
        <w:rPr>
          <w:rFonts w:ascii="Arial Narrow" w:hAnsi="Arial Narrow" w:eastAsia="仿宋"/>
          <w:bCs/>
          <w:sz w:val="32"/>
          <w:szCs w:val="32"/>
        </w:rPr>
        <w:t>铭鸿</w:t>
      </w:r>
      <w:r>
        <w:rPr>
          <w:rFonts w:hint="eastAsia" w:ascii="Arial Narrow" w:hAnsi="Arial Narrow" w:eastAsia="仿宋"/>
          <w:bCs/>
          <w:sz w:val="32"/>
          <w:szCs w:val="32"/>
        </w:rPr>
        <w:t>咨字（</w:t>
      </w:r>
      <w:r>
        <w:rPr>
          <w:rFonts w:ascii="Arial Narrow" w:hAnsi="Arial Narrow" w:eastAsia="仿宋"/>
          <w:bCs/>
          <w:sz w:val="32"/>
          <w:szCs w:val="32"/>
        </w:rPr>
        <w:t>2024</w:t>
      </w:r>
      <w:r>
        <w:rPr>
          <w:rFonts w:hint="eastAsia" w:ascii="Arial Narrow" w:hAnsi="Arial Narrow" w:eastAsia="仿宋"/>
          <w:bCs/>
          <w:sz w:val="32"/>
          <w:szCs w:val="32"/>
        </w:rPr>
        <w:t>）</w:t>
      </w:r>
      <w:r>
        <w:rPr>
          <w:rFonts w:ascii="Arial Narrow" w:hAnsi="Arial Narrow" w:eastAsia="仿宋"/>
          <w:bCs/>
          <w:sz w:val="32"/>
          <w:szCs w:val="32"/>
        </w:rPr>
        <w:t>第</w:t>
      </w:r>
      <w:r>
        <w:rPr>
          <w:rFonts w:hint="eastAsia" w:ascii="Arial Narrow" w:hAnsi="Arial Narrow" w:eastAsia="仿宋"/>
          <w:bCs/>
          <w:sz w:val="32"/>
          <w:szCs w:val="32"/>
        </w:rPr>
        <w:t>0062</w:t>
      </w:r>
      <w:r>
        <w:rPr>
          <w:rFonts w:ascii="Arial Narrow" w:hAnsi="Arial Narrow" w:eastAsia="仿宋"/>
          <w:bCs/>
          <w:sz w:val="32"/>
          <w:szCs w:val="32"/>
        </w:rPr>
        <w:t>号</w:t>
      </w:r>
    </w:p>
    <w:p w14:paraId="0EA0EF69">
      <w:pPr>
        <w:adjustRightInd w:val="0"/>
        <w:snapToGrid w:val="0"/>
        <w:spacing w:line="360" w:lineRule="auto"/>
        <w:jc w:val="center"/>
        <w:rPr>
          <w:rFonts w:ascii="Arial Narrow" w:hAnsi="Arial Narrow"/>
          <w:b/>
          <w:spacing w:val="100"/>
          <w:sz w:val="32"/>
          <w:szCs w:val="32"/>
        </w:rPr>
      </w:pPr>
    </w:p>
    <w:p w14:paraId="3E503C83">
      <w:pPr>
        <w:adjustRightInd w:val="0"/>
        <w:snapToGrid w:val="0"/>
        <w:spacing w:line="360" w:lineRule="auto"/>
        <w:jc w:val="center"/>
        <w:rPr>
          <w:rFonts w:ascii="Arial Narrow" w:hAnsi="Arial Narrow"/>
          <w:b/>
          <w:spacing w:val="100"/>
          <w:sz w:val="32"/>
          <w:szCs w:val="32"/>
        </w:rPr>
      </w:pPr>
    </w:p>
    <w:p w14:paraId="5EBE02C9">
      <w:pPr>
        <w:adjustRightInd w:val="0"/>
        <w:snapToGrid w:val="0"/>
        <w:spacing w:line="360" w:lineRule="auto"/>
        <w:jc w:val="center"/>
        <w:rPr>
          <w:rFonts w:ascii="Arial Narrow" w:hAnsi="Arial Narrow"/>
          <w:b/>
          <w:spacing w:val="100"/>
          <w:sz w:val="32"/>
          <w:szCs w:val="32"/>
        </w:rPr>
      </w:pPr>
    </w:p>
    <w:p w14:paraId="322229A2">
      <w:pPr>
        <w:adjustRightInd w:val="0"/>
        <w:snapToGrid w:val="0"/>
        <w:spacing w:line="360" w:lineRule="auto"/>
        <w:jc w:val="center"/>
        <w:rPr>
          <w:rFonts w:ascii="Arial Narrow" w:hAnsi="Arial Narrow"/>
          <w:b/>
          <w:spacing w:val="100"/>
          <w:sz w:val="32"/>
          <w:szCs w:val="32"/>
        </w:rPr>
      </w:pPr>
    </w:p>
    <w:p w14:paraId="6B6C83B1">
      <w:pPr>
        <w:adjustRightInd w:val="0"/>
        <w:snapToGrid w:val="0"/>
        <w:spacing w:line="360" w:lineRule="auto"/>
        <w:jc w:val="center"/>
        <w:rPr>
          <w:rFonts w:hint="default" w:ascii="Arial Narrow" w:hAnsi="Arial Narrow" w:eastAsia="宋体"/>
          <w:b/>
          <w:spacing w:val="100"/>
          <w:sz w:val="32"/>
          <w:szCs w:val="32"/>
          <w:lang w:val="en-US" w:eastAsia="zh-CN"/>
        </w:rPr>
      </w:pPr>
      <w:r>
        <w:rPr>
          <w:rFonts w:hint="eastAsia" w:ascii="仿宋" w:hAnsi="仿宋" w:eastAsia="仿宋" w:cs="仿宋"/>
          <w:b/>
          <w:bCs/>
          <w:sz w:val="44"/>
          <w:szCs w:val="44"/>
          <w:lang w:eastAsia="zh-CN"/>
        </w:rPr>
        <w:t>二</w:t>
      </w:r>
      <w:r>
        <w:rPr>
          <w:rFonts w:hint="eastAsia" w:ascii="仿宋" w:hAnsi="仿宋" w:eastAsia="仿宋" w:cs="仿宋"/>
          <w:b/>
          <w:bCs/>
          <w:sz w:val="44"/>
          <w:szCs w:val="44"/>
          <w:lang w:val="en-US" w:eastAsia="zh-CN"/>
        </w:rPr>
        <w:t>〇二四年六月</w:t>
      </w:r>
    </w:p>
    <w:p w14:paraId="5478BC71">
      <w:pPr>
        <w:adjustRightInd w:val="0"/>
        <w:snapToGrid w:val="0"/>
        <w:spacing w:line="360" w:lineRule="auto"/>
        <w:jc w:val="center"/>
        <w:rPr>
          <w:rFonts w:ascii="Arial Narrow" w:hAnsi="Arial Narrow"/>
          <w:b/>
          <w:spacing w:val="100"/>
          <w:sz w:val="32"/>
          <w:szCs w:val="32"/>
        </w:rPr>
      </w:pPr>
    </w:p>
    <w:p w14:paraId="19845081">
      <w:pPr>
        <w:adjustRightInd w:val="0"/>
        <w:snapToGrid w:val="0"/>
        <w:spacing w:line="360" w:lineRule="auto"/>
        <w:jc w:val="center"/>
        <w:rPr>
          <w:rFonts w:ascii="Arial Narrow" w:hAnsi="Arial Narrow"/>
          <w:b/>
          <w:spacing w:val="100"/>
          <w:sz w:val="32"/>
          <w:szCs w:val="32"/>
        </w:rPr>
      </w:pPr>
    </w:p>
    <w:p w14:paraId="59692EBB">
      <w:pPr>
        <w:adjustRightInd w:val="0"/>
        <w:snapToGrid w:val="0"/>
        <w:spacing w:line="360" w:lineRule="auto"/>
        <w:jc w:val="center"/>
        <w:rPr>
          <w:rFonts w:ascii="Arial Narrow" w:hAnsi="Arial Narrow"/>
          <w:b/>
          <w:spacing w:val="100"/>
          <w:sz w:val="32"/>
          <w:szCs w:val="32"/>
        </w:rPr>
      </w:pPr>
    </w:p>
    <w:p w14:paraId="5AA9E16F">
      <w:pPr>
        <w:spacing w:line="480" w:lineRule="exact"/>
        <w:ind w:firstLine="442" w:firstLineChars="100"/>
        <w:rPr>
          <w:rFonts w:hint="eastAsia" w:ascii="仿宋" w:hAnsi="仿宋" w:eastAsia="仿宋" w:cs="仿宋"/>
          <w:b/>
          <w:bCs/>
          <w:sz w:val="44"/>
          <w:szCs w:val="44"/>
        </w:rPr>
      </w:pPr>
    </w:p>
    <w:p w14:paraId="52BE8CC5">
      <w:pPr>
        <w:spacing w:line="480" w:lineRule="exact"/>
        <w:rPr>
          <w:rFonts w:hint="eastAsia" w:ascii="仿宋" w:hAnsi="仿宋" w:eastAsia="仿宋" w:cs="仿宋"/>
          <w:b/>
          <w:bCs/>
          <w:sz w:val="44"/>
          <w:szCs w:val="44"/>
        </w:rPr>
      </w:pPr>
    </w:p>
    <w:p w14:paraId="2F227D72">
      <w:pPr>
        <w:spacing w:line="480" w:lineRule="exact"/>
        <w:ind w:firstLine="442" w:firstLineChars="100"/>
        <w:rPr>
          <w:rFonts w:hint="eastAsia" w:ascii="仿宋" w:hAnsi="仿宋" w:eastAsia="仿宋" w:cs="仿宋"/>
          <w:b/>
          <w:bCs/>
          <w:sz w:val="52"/>
          <w:szCs w:val="52"/>
        </w:rPr>
      </w:pPr>
      <w:r>
        <w:rPr>
          <w:rFonts w:hint="eastAsia" w:ascii="仿宋" w:hAnsi="仿宋" w:eastAsia="仿宋" w:cs="仿宋"/>
          <w:b/>
          <w:bCs/>
          <w:sz w:val="44"/>
          <w:szCs w:val="44"/>
        </w:rPr>
        <w:t>重庆铭鸿金全会计师事务所有限责任公司</w:t>
      </w:r>
    </w:p>
    <w:p w14:paraId="17AE9F87">
      <w:pPr>
        <w:spacing w:line="400" w:lineRule="exact"/>
        <w:ind w:firstLine="482" w:firstLineChars="200"/>
        <w:rPr>
          <w:rFonts w:hint="eastAsia" w:ascii="仿宋" w:hAnsi="仿宋" w:eastAsia="仿宋" w:cs="仿宋"/>
          <w:sz w:val="24"/>
        </w:rPr>
      </w:pPr>
      <w:r>
        <w:rPr>
          <w:rFonts w:hint="eastAsia" w:ascii="仿宋" w:hAnsi="仿宋" w:eastAsia="仿宋" w:cs="仿宋"/>
          <w:b/>
          <w:bCs/>
          <w:sz w:val="24"/>
        </w:rPr>
        <w:t>ChongqingMinghongJinquanCertifiedPublicAccountantsCo.,Ltd</w:t>
      </w:r>
    </w:p>
    <w:p w14:paraId="6959C27E">
      <w:pPr>
        <w:spacing w:line="360" w:lineRule="auto"/>
        <w:jc w:val="center"/>
        <w:rPr>
          <w:rFonts w:ascii="Arial Narrow" w:hAnsi="Arial Narrow"/>
          <w:sz w:val="44"/>
          <w:szCs w:val="44"/>
        </w:rPr>
      </w:pPr>
      <w:r>
        <w:rPr>
          <w:rFonts w:ascii="Arial Narrow" w:hAnsi="Arial Narrow"/>
          <w:b/>
          <w:spacing w:val="100"/>
          <w:sz w:val="52"/>
          <w:szCs w:val="52"/>
        </w:rPr>
        <w:br w:type="page"/>
      </w:r>
      <w:bookmarkEnd w:id="0"/>
      <w:bookmarkEnd w:id="1"/>
      <w:r>
        <w:rPr>
          <w:rFonts w:ascii="Arial Narrow" w:hAnsi="Arial Narrow"/>
          <w:sz w:val="44"/>
          <w:szCs w:val="44"/>
        </w:rPr>
        <w:t>目录</w:t>
      </w:r>
    </w:p>
    <w:p w14:paraId="35DBE605">
      <w:pPr>
        <w:spacing w:line="360" w:lineRule="auto"/>
        <w:jc w:val="center"/>
        <w:rPr>
          <w:rFonts w:ascii="Arial Narrow" w:hAnsi="Arial Narrow"/>
          <w:sz w:val="24"/>
        </w:rPr>
      </w:pPr>
    </w:p>
    <w:p w14:paraId="1C8D7CF6">
      <w:pPr>
        <w:pStyle w:val="6"/>
        <w:rPr>
          <w:rFonts w:asciiTheme="minorHAnsi" w:hAnsiTheme="minorHAnsi" w:eastAsiaTheme="minorEastAsia" w:cstheme="minorBidi"/>
          <w:b w:val="0"/>
          <w:bCs w:val="0"/>
          <w:szCs w:val="22"/>
          <w14:ligatures w14:val="standardContextual"/>
        </w:rPr>
      </w:pPr>
      <w:r>
        <w:rPr>
          <w:rStyle w:val="10"/>
          <w:rFonts w:ascii="仿宋" w:hAnsi="仿宋" w:eastAsia="仿宋"/>
          <w:b w:val="0"/>
          <w:bCs w:val="0"/>
          <w:color w:val="auto"/>
          <w:szCs w:val="21"/>
          <w:u w:val="none"/>
        </w:rPr>
        <w:fldChar w:fldCharType="begin"/>
      </w:r>
      <w:r>
        <w:rPr>
          <w:rStyle w:val="10"/>
          <w:rFonts w:ascii="仿宋" w:hAnsi="仿宋" w:eastAsia="仿宋"/>
          <w:b w:val="0"/>
          <w:bCs w:val="0"/>
          <w:color w:val="auto"/>
          <w:szCs w:val="21"/>
          <w:u w:val="none"/>
        </w:rPr>
        <w:instrText xml:space="preserve"> TOC \o "1-3" \h \z \u </w:instrText>
      </w:r>
      <w:r>
        <w:rPr>
          <w:rStyle w:val="10"/>
          <w:rFonts w:ascii="仿宋" w:hAnsi="仿宋" w:eastAsia="仿宋"/>
          <w:b w:val="0"/>
          <w:bCs w:val="0"/>
          <w:color w:val="auto"/>
          <w:szCs w:val="21"/>
          <w:u w:val="none"/>
        </w:rPr>
        <w:fldChar w:fldCharType="separate"/>
      </w:r>
      <w:r>
        <w:fldChar w:fldCharType="begin"/>
      </w:r>
      <w:r>
        <w:instrText xml:space="preserve"> HYPERLINK \l "_Toc169624358" </w:instrText>
      </w:r>
      <w:r>
        <w:fldChar w:fldCharType="separate"/>
      </w:r>
      <w:r>
        <w:rPr>
          <w:rStyle w:val="10"/>
        </w:rPr>
        <w:t>一、基本情况</w:t>
      </w:r>
      <w:r>
        <w:tab/>
      </w:r>
      <w:r>
        <w:fldChar w:fldCharType="begin"/>
      </w:r>
      <w:r>
        <w:instrText xml:space="preserve"> PAGEREF _Toc169624358 \h </w:instrText>
      </w:r>
      <w:r>
        <w:fldChar w:fldCharType="separate"/>
      </w:r>
      <w:r>
        <w:t>1</w:t>
      </w:r>
      <w:r>
        <w:fldChar w:fldCharType="end"/>
      </w:r>
      <w:r>
        <w:fldChar w:fldCharType="end"/>
      </w:r>
    </w:p>
    <w:p w14:paraId="77EA537D">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"_Toc169624359" </w:instrText>
      </w:r>
      <w:r>
        <w:fldChar w:fldCharType="separate"/>
      </w:r>
      <w:r>
        <w:rPr>
          <w:rStyle w:val="10"/>
          <w:rFonts w:eastAsia="仿宋" w:cs="宋体"/>
          <w:kern w:val="0"/>
        </w:rPr>
        <w:t>（一）项目情况</w:t>
      </w:r>
      <w:r>
        <w:tab/>
      </w:r>
      <w:r>
        <w:fldChar w:fldCharType="begin"/>
      </w:r>
      <w:r>
        <w:instrText xml:space="preserve"> PAGEREF _Toc169624359 \h </w:instrText>
      </w:r>
      <w:r>
        <w:fldChar w:fldCharType="separate"/>
      </w:r>
      <w:r>
        <w:t>1</w:t>
      </w:r>
      <w:r>
        <w:fldChar w:fldCharType="end"/>
      </w:r>
      <w:r>
        <w:fldChar w:fldCharType="end"/>
      </w:r>
    </w:p>
    <w:p w14:paraId="586A52E0">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"_Toc169624360" </w:instrText>
      </w:r>
      <w:r>
        <w:fldChar w:fldCharType="separate"/>
      </w:r>
      <w:r>
        <w:rPr>
          <w:rStyle w:val="10"/>
        </w:rPr>
        <w:t>二、绩效评价工作情况</w:t>
      </w:r>
      <w:r>
        <w:tab/>
      </w:r>
      <w:r>
        <w:rPr>
          <w:rFonts w:hint="eastAsia"/>
        </w:rPr>
        <w:t>1</w:t>
      </w:r>
      <w:r>
        <w:rPr>
          <w:rFonts w:hint="eastAsia"/>
        </w:rPr>
        <w:fldChar w:fldCharType="end"/>
      </w:r>
    </w:p>
    <w:p w14:paraId="272DBCDF">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"_Toc169624361" </w:instrText>
      </w:r>
      <w:r>
        <w:fldChar w:fldCharType="separate"/>
      </w:r>
      <w:r>
        <w:rPr>
          <w:rStyle w:val="10"/>
        </w:rPr>
        <w:t>（一）绩效评价目的</w:t>
      </w:r>
      <w:r>
        <w:tab/>
      </w:r>
      <w:r>
        <w:rPr>
          <w:rFonts w:hint="eastAsia"/>
        </w:rPr>
        <w:t>1</w:t>
      </w:r>
      <w:r>
        <w:rPr>
          <w:rFonts w:hint="eastAsia"/>
        </w:rPr>
        <w:fldChar w:fldCharType="end"/>
      </w:r>
    </w:p>
    <w:p w14:paraId="0CE7D71F">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"_Toc169624362" </w:instrText>
      </w:r>
      <w:r>
        <w:fldChar w:fldCharType="separate"/>
      </w:r>
      <w:r>
        <w:rPr>
          <w:rStyle w:val="10"/>
        </w:rPr>
        <w:t>（二）绩效评价的基本内容</w:t>
      </w:r>
      <w:r>
        <w:tab/>
      </w:r>
      <w:r>
        <w:fldChar w:fldCharType="begin"/>
      </w:r>
      <w:r>
        <w:instrText xml:space="preserve"> PAGEREF _Toc169624362 \h </w:instrText>
      </w:r>
      <w:r>
        <w:fldChar w:fldCharType="separate"/>
      </w:r>
      <w:r>
        <w:t>2</w:t>
      </w:r>
      <w:r>
        <w:fldChar w:fldCharType="end"/>
      </w:r>
      <w:r>
        <w:fldChar w:fldCharType="end"/>
      </w:r>
    </w:p>
    <w:p w14:paraId="73B8962A">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"_Toc169624363" </w:instrText>
      </w:r>
      <w:r>
        <w:fldChar w:fldCharType="separate"/>
      </w:r>
      <w:r>
        <w:rPr>
          <w:rStyle w:val="10"/>
        </w:rPr>
        <w:t>（三）绩效评价依据</w:t>
      </w:r>
      <w:r>
        <w:tab/>
      </w:r>
      <w:r>
        <w:fldChar w:fldCharType="begin"/>
      </w:r>
      <w:r>
        <w:instrText xml:space="preserve"> PAGEREF _Toc169624363 \h </w:instrText>
      </w:r>
      <w:r>
        <w:fldChar w:fldCharType="separate"/>
      </w:r>
      <w:r>
        <w:t>2</w:t>
      </w:r>
      <w:r>
        <w:fldChar w:fldCharType="end"/>
      </w:r>
      <w:r>
        <w:fldChar w:fldCharType="end"/>
      </w:r>
    </w:p>
    <w:p w14:paraId="2D1702D4">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"_Toc169624364" </w:instrText>
      </w:r>
      <w:r>
        <w:fldChar w:fldCharType="separate"/>
      </w:r>
      <w:r>
        <w:rPr>
          <w:rStyle w:val="10"/>
        </w:rPr>
        <w:t>（四）绩效评价原则和指标体系</w:t>
      </w:r>
      <w:r>
        <w:tab/>
      </w:r>
      <w:r>
        <w:fldChar w:fldCharType="begin"/>
      </w:r>
      <w:r>
        <w:instrText xml:space="preserve"> PAGEREF _Toc169624364 \h </w:instrText>
      </w:r>
      <w:r>
        <w:fldChar w:fldCharType="separate"/>
      </w:r>
      <w:r>
        <w:t>3</w:t>
      </w:r>
      <w:r>
        <w:fldChar w:fldCharType="end"/>
      </w:r>
      <w:r>
        <w:fldChar w:fldCharType="end"/>
      </w:r>
    </w:p>
    <w:p w14:paraId="6CB88E85">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"_Toc169624365" </w:instrText>
      </w:r>
      <w:r>
        <w:fldChar w:fldCharType="separate"/>
      </w:r>
      <w:r>
        <w:rPr>
          <w:rStyle w:val="10"/>
        </w:rPr>
        <w:t>（五）绩效评价标准和评价方法</w:t>
      </w:r>
      <w:r>
        <w:tab/>
      </w:r>
      <w:r>
        <w:rPr>
          <w:rFonts w:hint="eastAsia"/>
        </w:rPr>
        <w:t>5</w:t>
      </w:r>
      <w:r>
        <w:rPr>
          <w:rFonts w:hint="eastAsia"/>
        </w:rPr>
        <w:fldChar w:fldCharType="end"/>
      </w:r>
    </w:p>
    <w:p w14:paraId="5DA0BAA0">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"_Toc169624366" </w:instrText>
      </w:r>
      <w:r>
        <w:fldChar w:fldCharType="separate"/>
      </w:r>
      <w:r>
        <w:rPr>
          <w:rStyle w:val="10"/>
        </w:rPr>
        <w:t>（六）绩效评价工作过程</w:t>
      </w:r>
      <w:r>
        <w:tab/>
      </w:r>
      <w:r>
        <w:rPr>
          <w:rFonts w:hint="eastAsia"/>
        </w:rPr>
        <w:t>5</w:t>
      </w:r>
      <w:r>
        <w:rPr>
          <w:rFonts w:hint="eastAsia"/>
        </w:rPr>
        <w:fldChar w:fldCharType="end"/>
      </w:r>
    </w:p>
    <w:p w14:paraId="46E85F23">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"_Toc169624367" </w:instrText>
      </w:r>
      <w:r>
        <w:fldChar w:fldCharType="separate"/>
      </w:r>
      <w:r>
        <w:rPr>
          <w:rStyle w:val="10"/>
        </w:rPr>
        <w:t>三、项目评价结论</w:t>
      </w:r>
      <w:r>
        <w:tab/>
      </w:r>
      <w:r>
        <w:rPr>
          <w:rFonts w:hint="eastAsia"/>
        </w:rPr>
        <w:t>6</w:t>
      </w:r>
      <w:r>
        <w:rPr>
          <w:rFonts w:hint="eastAsia"/>
        </w:rPr>
        <w:fldChar w:fldCharType="end"/>
      </w:r>
    </w:p>
    <w:p w14:paraId="4EBB1A1C">
      <w:pPr>
        <w:pStyle w:val="6"/>
        <w:rPr>
          <w:rFonts w:asciiTheme="minorHAnsi" w:hAnsiTheme="minorHAnsi" w:eastAsiaTheme="minorEastAsia" w:cstheme="minorBidi"/>
          <w:b w:val="0"/>
          <w:bCs w:val="0"/>
          <w:szCs w:val="22"/>
          <w14:ligatures w14:val="standardContextual"/>
        </w:rPr>
      </w:pPr>
      <w:bookmarkStart w:id="2" w:name="_Hlk182308374"/>
      <w:r>
        <w:fldChar w:fldCharType="begin"/>
      </w:r>
      <w:r>
        <w:instrText xml:space="preserve"> HYPERLINK \l "_Toc169624368" </w:instrText>
      </w:r>
      <w:r>
        <w:fldChar w:fldCharType="separate"/>
      </w:r>
      <w:r>
        <w:rPr>
          <w:rStyle w:val="10"/>
        </w:rPr>
        <w:t>四、综合评价情况</w:t>
      </w:r>
      <w:r>
        <w:tab/>
      </w:r>
      <w:r>
        <w:rPr>
          <w:rFonts w:hint="eastAsia"/>
        </w:rPr>
        <w:t>6</w:t>
      </w:r>
      <w:r>
        <w:fldChar w:fldCharType="end"/>
      </w:r>
    </w:p>
    <w:bookmarkEnd w:id="2"/>
    <w:p w14:paraId="7B20A597">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"_Toc169624369" </w:instrText>
      </w:r>
      <w:r>
        <w:fldChar w:fldCharType="separate"/>
      </w:r>
      <w:r>
        <w:rPr>
          <w:rStyle w:val="10"/>
          <w:rFonts w:ascii="仿宋_GB2312"/>
        </w:rPr>
        <w:t>（一）资金管理</w:t>
      </w:r>
      <w:r>
        <w:tab/>
      </w:r>
      <w:r>
        <w:rPr>
          <w:rFonts w:hint="eastAsia"/>
        </w:rPr>
        <w:t>6</w:t>
      </w:r>
      <w:r>
        <w:fldChar w:fldCharType="end"/>
      </w:r>
    </w:p>
    <w:p w14:paraId="31B43577">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"_Toc169624370" </w:instrText>
      </w:r>
      <w:r>
        <w:fldChar w:fldCharType="separate"/>
      </w:r>
      <w:r>
        <w:rPr>
          <w:rStyle w:val="10"/>
          <w:rFonts w:ascii="仿宋_GB2312"/>
        </w:rPr>
        <w:t>（二）项目管理</w:t>
      </w:r>
      <w:r>
        <w:tab/>
      </w:r>
      <w:r>
        <w:rPr>
          <w:rFonts w:hint="eastAsia"/>
        </w:rPr>
        <w:t>6</w:t>
      </w:r>
      <w:r>
        <w:rPr>
          <w:rFonts w:hint="eastAsia"/>
        </w:rPr>
        <w:fldChar w:fldCharType="end"/>
      </w:r>
    </w:p>
    <w:p w14:paraId="6D60AD40">
      <w:pPr>
        <w:pStyle w:val="6"/>
      </w:pPr>
      <w:r>
        <w:fldChar w:fldCharType="begin"/>
      </w:r>
      <w:r>
        <w:instrText xml:space="preserve"> HYPERLINK \l "_Toc169624371" </w:instrText>
      </w:r>
      <w:r>
        <w:fldChar w:fldCharType="separate"/>
      </w:r>
      <w:r>
        <w:rPr>
          <w:rStyle w:val="10"/>
          <w:rFonts w:ascii="仿宋_GB2312"/>
        </w:rPr>
        <w:t>（三）</w:t>
      </w:r>
      <w:r>
        <w:rPr>
          <w:rStyle w:val="10"/>
          <w:rFonts w:hint="eastAsia" w:ascii="仿宋_GB2312"/>
        </w:rPr>
        <w:t>使用成效及通报情况</w:t>
      </w:r>
      <w:r>
        <w:tab/>
      </w:r>
      <w:r>
        <w:rPr>
          <w:rFonts w:hint="eastAsia"/>
        </w:rPr>
        <w:t>6</w:t>
      </w:r>
      <w:r>
        <w:rPr>
          <w:rFonts w:hint="eastAsia"/>
        </w:rPr>
        <w:fldChar w:fldCharType="end"/>
      </w:r>
    </w:p>
    <w:p w14:paraId="5457C429">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"_Toc169624368" </w:instrText>
      </w:r>
      <w:r>
        <w:fldChar w:fldCharType="separate"/>
      </w:r>
      <w:r>
        <w:rPr>
          <w:rStyle w:val="10"/>
          <w:rFonts w:hint="eastAsia"/>
        </w:rPr>
        <w:t>五</w:t>
      </w:r>
      <w:r>
        <w:rPr>
          <w:rStyle w:val="10"/>
        </w:rPr>
        <w:t>、</w:t>
      </w:r>
      <w:r>
        <w:rPr>
          <w:rStyle w:val="10"/>
          <w:rFonts w:hint="eastAsia"/>
        </w:rPr>
        <w:t>存在的问题及建议</w:t>
      </w:r>
      <w:r>
        <w:tab/>
      </w:r>
      <w:r>
        <w:fldChar w:fldCharType="begin"/>
      </w:r>
      <w:r>
        <w:instrText xml:space="preserve"> PAGEREF _Toc169624368 \h </w:instrText>
      </w:r>
      <w:r>
        <w:fldChar w:fldCharType="separate"/>
      </w:r>
      <w:r>
        <w:t>7</w:t>
      </w:r>
      <w:r>
        <w:fldChar w:fldCharType="end"/>
      </w:r>
      <w:r>
        <w:fldChar w:fldCharType="end"/>
      </w:r>
    </w:p>
    <w:p w14:paraId="73540054">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"_Toc169624372" </w:instrText>
      </w:r>
      <w:r>
        <w:fldChar w:fldCharType="separate"/>
      </w:r>
      <w:r>
        <w:rPr>
          <w:rStyle w:val="10"/>
          <w:rFonts w:ascii="仿宋_GB2312"/>
        </w:rPr>
        <w:t>（一）存在问题</w:t>
      </w:r>
      <w:r>
        <w:tab/>
      </w:r>
      <w:r>
        <w:rPr>
          <w:rFonts w:hint="eastAsia"/>
        </w:rPr>
        <w:t>7</w:t>
      </w:r>
      <w:r>
        <w:rPr>
          <w:rFonts w:hint="eastAsia"/>
        </w:rPr>
        <w:fldChar w:fldCharType="end"/>
      </w:r>
    </w:p>
    <w:p w14:paraId="2F980D95">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"_Toc169624373" </w:instrText>
      </w:r>
      <w:r>
        <w:fldChar w:fldCharType="separate"/>
      </w:r>
      <w:r>
        <w:rPr>
          <w:rStyle w:val="10"/>
          <w:rFonts w:ascii="仿宋_GB2312"/>
        </w:rPr>
        <w:t>（二）建议</w:t>
      </w:r>
      <w:r>
        <w:tab/>
      </w:r>
      <w:r>
        <w:rPr>
          <w:rFonts w:hint="eastAsia"/>
        </w:rPr>
        <w:t>7</w:t>
      </w:r>
      <w:r>
        <w:rPr>
          <w:rFonts w:hint="eastAsia"/>
        </w:rPr>
        <w:fldChar w:fldCharType="end"/>
      </w:r>
    </w:p>
    <w:p w14:paraId="2C15E0D6">
      <w:pPr>
        <w:pStyle w:val="12"/>
        <w:spacing w:line="460" w:lineRule="exact"/>
        <w:rPr>
          <w:rFonts w:ascii="Arial Narrow" w:hAnsi="Arial Narrow" w:eastAsia="仿宋_GB2312"/>
          <w:bCs/>
          <w:w w:val="80"/>
        </w:rPr>
        <w:sectPr>
          <w:footerReference r:id="rId6" w:type="first"/>
          <w:footerReference r:id="rId4" w:type="default"/>
          <w:headerReference r:id="rId3" w:type="even"/>
          <w:footerReference r:id="rId5" w:type="even"/>
          <w:pgSz w:w="11907" w:h="16840"/>
          <w:pgMar w:top="1418" w:right="1418" w:bottom="1134" w:left="1701" w:header="851" w:footer="851" w:gutter="0"/>
          <w:pgNumType w:start="1"/>
          <w:cols w:space="425" w:num="1"/>
          <w:docGrid w:linePitch="312" w:charSpace="0"/>
        </w:sectPr>
      </w:pPr>
      <w:r>
        <w:rPr>
          <w:rStyle w:val="10"/>
          <w:color w:val="auto"/>
          <w:sz w:val="21"/>
          <w:szCs w:val="21"/>
          <w:u w:val="none"/>
        </w:rPr>
        <w:fldChar w:fldCharType="end"/>
      </w:r>
    </w:p>
    <w:p w14:paraId="0EC0CAC8">
      <w:pPr>
        <w:spacing w:line="360" w:lineRule="auto"/>
        <w:jc w:val="right"/>
        <w:rPr>
          <w:rFonts w:ascii="Arial Narrow" w:hAnsi="Arial Narrow"/>
          <w:bCs/>
          <w:w w:val="80"/>
          <w:sz w:val="28"/>
          <w:szCs w:val="28"/>
        </w:rPr>
      </w:pPr>
    </w:p>
    <w:p w14:paraId="7E30A77B">
      <w:pPr>
        <w:spacing w:line="360" w:lineRule="auto"/>
        <w:jc w:val="right"/>
        <w:rPr>
          <w:rFonts w:ascii="Arial Narrow" w:hAnsi="Arial Narrow"/>
          <w:bCs/>
          <w:w w:val="80"/>
          <w:sz w:val="28"/>
          <w:szCs w:val="28"/>
        </w:rPr>
      </w:pPr>
    </w:p>
    <w:p w14:paraId="5D8BDBE9">
      <w:pPr>
        <w:widowControl/>
        <w:jc w:val="distribute"/>
        <w:rPr>
          <w:rFonts w:ascii="Arial Narrow" w:hAnsi="Arial Narrow" w:eastAsia="仿宋_GB2312" w:cs="楷体"/>
          <w:bCs/>
          <w:kern w:val="0"/>
          <w:sz w:val="28"/>
          <w:szCs w:val="28"/>
        </w:rPr>
      </w:pPr>
      <w:r>
        <w:rPr>
          <w:rFonts w:ascii="Arial Narrow" w:hAnsi="Arial Narrow" w:eastAsia="楷体" w:cs="楷体"/>
          <w:b/>
          <w:kern w:val="0"/>
          <w:sz w:val="72"/>
          <w:szCs w:val="72"/>
        </w:rPr>
        <w:t>重庆铭鸿金全会计师事务所</w:t>
      </w:r>
    </w:p>
    <w:p w14:paraId="3DDBC21D">
      <w:pPr>
        <w:widowControl/>
        <w:spacing w:line="360" w:lineRule="auto"/>
        <w:ind w:right="-2"/>
        <w:jc w:val="distribute"/>
        <w:rPr>
          <w:rFonts w:hint="eastAsia" w:ascii="MS Mincho" w:hAnsi="MS Mincho" w:eastAsia="MS Mincho"/>
          <w:kern w:val="0"/>
          <w:sz w:val="28"/>
          <w:szCs w:val="28"/>
          <w:lang w:eastAsia="zh-TW"/>
        </w:rPr>
      </w:pPr>
      <w:r>
        <w:rPr>
          <w:rFonts w:ascii="MS Mincho" w:hAnsi="MS Mincho" w:eastAsia="MS Mincho"/>
          <w:b/>
          <w:kern w:val="0"/>
          <w:sz w:val="32"/>
          <w:szCs w:val="20"/>
          <w:lang w:eastAsia="zh-TW"/>
        </w:rPr>
        <w:t>Chongqing</w:t>
      </w:r>
      <w:r>
        <w:rPr>
          <w:rFonts w:ascii="MS Mincho" w:hAnsi="MS Mincho" w:eastAsia="MS Mincho"/>
          <w:b/>
          <w:kern w:val="0"/>
          <w:sz w:val="32"/>
          <w:szCs w:val="20"/>
        </w:rPr>
        <w:t>MingHongJinQuan</w:t>
      </w:r>
      <w:r>
        <w:rPr>
          <w:rFonts w:ascii="MS Mincho" w:hAnsi="MS Mincho" w:eastAsia="MS Mincho"/>
          <w:b/>
          <w:kern w:val="0"/>
          <w:sz w:val="32"/>
          <w:szCs w:val="20"/>
          <w:lang w:eastAsia="zh-TW"/>
        </w:rPr>
        <w:t>CertifiedPublicAccountants</w:t>
      </w:r>
    </w:p>
    <w:p w14:paraId="549C6814">
      <w:pPr>
        <w:spacing w:line="360" w:lineRule="auto"/>
        <w:jc w:val="center"/>
        <w:rPr>
          <w:rFonts w:ascii="Arial Narrow" w:hAnsi="Arial Narrow" w:eastAsia="仿宋_GB2312"/>
          <w:sz w:val="28"/>
          <w:szCs w:val="28"/>
        </w:rPr>
      </w:pPr>
      <w:r>
        <w:rPr>
          <w:rFonts w:ascii="Arial Narrow" w:hAnsi="Arial Narrow" w:eastAsia="仿宋_GB2312"/>
          <w:kern w:val="0"/>
          <w:sz w:val="28"/>
          <w:szCs w:val="28"/>
        </w:rPr>
        <w:t>铭</w:t>
      </w:r>
      <w:r>
        <w:rPr>
          <w:rFonts w:ascii="Arial Narrow" w:hAnsi="Arial Narrow" w:eastAsia="仿宋_GB2312"/>
          <w:sz w:val="28"/>
          <w:szCs w:val="28"/>
        </w:rPr>
        <w:t>鸿</w:t>
      </w:r>
      <w:r>
        <w:rPr>
          <w:rFonts w:hint="eastAsia" w:ascii="Arial Narrow" w:hAnsi="Arial Narrow" w:eastAsia="仿宋_GB2312"/>
          <w:sz w:val="28"/>
          <w:szCs w:val="28"/>
        </w:rPr>
        <w:t>咨字〔2024〕</w:t>
      </w:r>
      <w:r>
        <w:rPr>
          <w:rFonts w:ascii="Arial Narrow" w:hAnsi="Arial Narrow" w:eastAsia="仿宋_GB2312"/>
          <w:sz w:val="28"/>
          <w:szCs w:val="28"/>
        </w:rPr>
        <w:t>第</w:t>
      </w:r>
      <w:r>
        <w:rPr>
          <w:rFonts w:hint="eastAsia" w:ascii="Arial Narrow" w:hAnsi="Arial Narrow" w:eastAsia="仿宋_GB2312"/>
          <w:sz w:val="28"/>
          <w:szCs w:val="28"/>
        </w:rPr>
        <w:t>0062号</w:t>
      </w:r>
    </w:p>
    <w:p w14:paraId="36FAFCCC">
      <w:pPr>
        <w:spacing w:line="360" w:lineRule="auto"/>
        <w:jc w:val="distribute"/>
        <w:rPr>
          <w:rFonts w:ascii="Arial Narrow" w:hAnsi="Arial Narrow"/>
          <w:w w:val="94"/>
        </w:rPr>
      </w:pPr>
      <w:r>
        <w:rPr>
          <w:rFonts w:hint="eastAsia" w:ascii="宋体" w:hAnsi="宋体" w:cs="宋体"/>
          <w:b/>
          <w:bCs/>
          <w:w w:val="94"/>
          <w:sz w:val="36"/>
          <w:szCs w:val="36"/>
        </w:rPr>
        <w:t>━━━━━━━━━━━━</w:t>
      </w:r>
      <w:r>
        <w:rPr>
          <w:rFonts w:ascii="Segoe UI Symbol" w:hAnsi="Segoe UI Symbol" w:cs="Segoe UI Symbol"/>
          <w:b/>
          <w:bCs/>
          <w:w w:val="94"/>
          <w:sz w:val="36"/>
          <w:szCs w:val="36"/>
        </w:rPr>
        <w:t>★</w:t>
      </w:r>
      <w:r>
        <w:rPr>
          <w:rFonts w:hint="eastAsia" w:ascii="宋体" w:hAnsi="宋体" w:cs="宋体"/>
          <w:b/>
          <w:bCs/>
          <w:w w:val="94"/>
          <w:sz w:val="36"/>
          <w:szCs w:val="36"/>
        </w:rPr>
        <w:t>━━━━━━━━━━━</w:t>
      </w:r>
      <w:bookmarkStart w:id="3" w:name="_Hlk51614207"/>
      <w:r>
        <w:rPr>
          <w:rFonts w:hint="eastAsia" w:ascii="宋体" w:hAnsi="宋体" w:cs="宋体"/>
          <w:b/>
          <w:bCs/>
          <w:w w:val="94"/>
          <w:sz w:val="36"/>
          <w:szCs w:val="36"/>
        </w:rPr>
        <w:t>━</w:t>
      </w:r>
      <w:bookmarkEnd w:id="3"/>
    </w:p>
    <w:p w14:paraId="27296464">
      <w:pPr>
        <w:adjustRightInd w:val="0"/>
        <w:snapToGrid w:val="0"/>
        <w:spacing w:line="360" w:lineRule="auto"/>
        <w:jc w:val="center"/>
        <w:rPr>
          <w:rStyle w:val="10"/>
          <w:rFonts w:ascii="Arial Narrow" w:hAnsi="Arial Narrow" w:eastAsia="仿宋_GB2312"/>
          <w:b/>
          <w:color w:val="auto"/>
          <w:sz w:val="36"/>
          <w:szCs w:val="36"/>
          <w:u w:val="none"/>
        </w:rPr>
      </w:pPr>
      <w:r>
        <w:rPr>
          <w:rStyle w:val="10"/>
          <w:rFonts w:hint="eastAsia" w:ascii="Arial Narrow" w:hAnsi="Arial Narrow" w:eastAsia="仿宋_GB2312"/>
          <w:b/>
          <w:color w:val="auto"/>
          <w:sz w:val="36"/>
          <w:szCs w:val="36"/>
          <w:u w:val="none"/>
        </w:rPr>
        <w:t>重庆市铜梁区小林镇鱼龙村长五间蔬菜基地建设项目</w:t>
      </w:r>
    </w:p>
    <w:p w14:paraId="1B76A2DE">
      <w:pPr>
        <w:adjustRightInd w:val="0"/>
        <w:snapToGrid w:val="0"/>
        <w:spacing w:line="360" w:lineRule="auto"/>
        <w:jc w:val="center"/>
        <w:rPr>
          <w:rFonts w:ascii="Arial Narrow" w:hAnsi="Arial Narrow" w:eastAsia="仿宋_GB2312"/>
          <w:b/>
          <w:sz w:val="36"/>
          <w:szCs w:val="36"/>
        </w:rPr>
      </w:pPr>
      <w:r>
        <w:rPr>
          <w:rStyle w:val="10"/>
          <w:rFonts w:hint="eastAsia" w:ascii="Arial Narrow" w:hAnsi="Arial Narrow" w:eastAsia="仿宋_GB2312"/>
          <w:b/>
          <w:color w:val="auto"/>
          <w:sz w:val="36"/>
          <w:szCs w:val="36"/>
          <w:u w:val="none"/>
        </w:rPr>
        <w:t>财政专项衔接资金</w:t>
      </w:r>
      <w:r>
        <w:rPr>
          <w:rFonts w:hint="eastAsia" w:ascii="仿宋_GB2312" w:eastAsia="仿宋_GB2312"/>
          <w:b/>
          <w:sz w:val="36"/>
          <w:szCs w:val="36"/>
        </w:rPr>
        <w:t>绩效评价报告</w:t>
      </w:r>
    </w:p>
    <w:p w14:paraId="03885122">
      <w:pPr>
        <w:pStyle w:val="13"/>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为深入贯彻落实党的十九大“全面实施绩效管理”决策部署，进一步提高政府投入资金的使用效益，促进公共服务资源的优化配置，根据《中华人民共和国预算法》、《项目支出绩效评价管理办法》</w:t>
      </w:r>
      <w:r>
        <w:rPr>
          <w:rFonts w:hint="eastAsia" w:ascii="Arial Narrow" w:hAnsi="Arial Narrow" w:eastAsia="仿宋_GB2312"/>
          <w:color w:val="auto"/>
        </w:rPr>
        <w:t>（财预〔2020〕1</w:t>
      </w:r>
      <w:r>
        <w:rPr>
          <w:rFonts w:ascii="Arial Narrow" w:hAnsi="Arial Narrow" w:eastAsia="仿宋_GB2312"/>
          <w:color w:val="auto"/>
        </w:rPr>
        <w:t>0</w:t>
      </w:r>
      <w:r>
        <w:rPr>
          <w:rFonts w:hint="eastAsia" w:ascii="Arial Narrow" w:hAnsi="Arial Narrow" w:eastAsia="仿宋_GB2312"/>
          <w:color w:val="auto"/>
        </w:rPr>
        <w:t>号）</w:t>
      </w:r>
      <w:r>
        <w:rPr>
          <w:rFonts w:ascii="Arial Narrow" w:hAnsi="Arial Narrow" w:eastAsia="仿宋_GB2312"/>
          <w:color w:val="auto"/>
        </w:rPr>
        <w:t>《重庆市市级政策和项目预算绩效管理办法（试行）》</w:t>
      </w:r>
      <w:r>
        <w:rPr>
          <w:rFonts w:hint="eastAsia" w:ascii="Arial Narrow" w:hAnsi="Arial Narrow" w:eastAsia="仿宋_GB2312"/>
          <w:color w:val="auto"/>
        </w:rPr>
        <w:t>（渝财绩〔2019〕1</w:t>
      </w:r>
      <w:r>
        <w:rPr>
          <w:rFonts w:ascii="Arial Narrow" w:hAnsi="Arial Narrow" w:eastAsia="仿宋_GB2312"/>
          <w:color w:val="auto"/>
        </w:rPr>
        <w:t>9</w:t>
      </w:r>
      <w:r>
        <w:rPr>
          <w:rFonts w:hint="eastAsia" w:ascii="Arial Narrow" w:hAnsi="Arial Narrow" w:eastAsia="仿宋_GB2312"/>
          <w:color w:val="auto"/>
        </w:rPr>
        <w:t>号）</w:t>
      </w:r>
      <w:r>
        <w:rPr>
          <w:rFonts w:ascii="Arial Narrow" w:hAnsi="Arial Narrow" w:eastAsia="仿宋_GB2312"/>
          <w:color w:val="auto"/>
        </w:rPr>
        <w:t>，受</w:t>
      </w:r>
      <w:r>
        <w:rPr>
          <w:rFonts w:hint="eastAsia" w:ascii="Arial Narrow" w:hAnsi="Arial Narrow" w:eastAsia="仿宋_GB2312"/>
          <w:color w:val="auto"/>
        </w:rPr>
        <w:t>重庆市铜梁区财政局</w:t>
      </w:r>
      <w:r>
        <w:rPr>
          <w:rFonts w:ascii="Arial Narrow" w:hAnsi="Arial Narrow" w:eastAsia="仿宋_GB2312"/>
          <w:color w:val="auto"/>
        </w:rPr>
        <w:t>（以下简称“</w:t>
      </w:r>
      <w:r>
        <w:rPr>
          <w:rFonts w:hint="eastAsia" w:ascii="Arial Narrow" w:hAnsi="Arial Narrow" w:eastAsia="仿宋_GB2312"/>
          <w:color w:val="auto"/>
        </w:rPr>
        <w:t>财政局</w:t>
      </w:r>
      <w:r>
        <w:rPr>
          <w:rFonts w:ascii="Arial Narrow" w:hAnsi="Arial Narrow" w:eastAsia="仿宋_GB2312"/>
          <w:color w:val="auto"/>
        </w:rPr>
        <w:t>”）的委托，我们对</w:t>
      </w:r>
      <w:r>
        <w:rPr>
          <w:rFonts w:hint="eastAsia" w:ascii="Arial Narrow" w:hAnsi="Arial Narrow" w:eastAsia="仿宋_GB2312"/>
          <w:color w:val="auto"/>
        </w:rPr>
        <w:t>重庆市铜梁区小林镇（以下简称“小林镇”）鱼龙村长五间蔬菜基地建设项目财政专项衔接资金</w:t>
      </w:r>
      <w:r>
        <w:rPr>
          <w:rFonts w:ascii="Arial Narrow" w:hAnsi="Arial Narrow" w:eastAsia="仿宋_GB2312"/>
          <w:color w:val="auto"/>
        </w:rPr>
        <w:t>进行绩效评价，现将评价情况报告如下：</w:t>
      </w:r>
    </w:p>
    <w:p w14:paraId="740F58FC">
      <w:pPr>
        <w:spacing w:before="240" w:beforeLines="100" w:line="360" w:lineRule="auto"/>
        <w:ind w:firstLine="482" w:firstLineChars="200"/>
        <w:jc w:val="left"/>
        <w:outlineLvl w:val="0"/>
        <w:rPr>
          <w:rFonts w:ascii="Arial Narrow" w:hAnsi="Arial Narrow" w:eastAsia="仿宋_GB2312"/>
          <w:b/>
          <w:sz w:val="24"/>
        </w:rPr>
      </w:pPr>
      <w:bookmarkStart w:id="4" w:name="_Toc169624358"/>
      <w:r>
        <w:rPr>
          <w:rFonts w:ascii="Arial Narrow" w:hAnsi="Arial Narrow" w:eastAsia="仿宋_GB2312"/>
          <w:b/>
          <w:sz w:val="24"/>
        </w:rPr>
        <w:t>一、基本情况</w:t>
      </w:r>
      <w:bookmarkEnd w:id="4"/>
    </w:p>
    <w:p w14:paraId="4CA982C3">
      <w:pPr>
        <w:spacing w:before="120" w:beforeLines="50" w:line="360" w:lineRule="auto"/>
        <w:ind w:firstLine="482" w:firstLineChars="200"/>
        <w:jc w:val="left"/>
        <w:outlineLvl w:val="0"/>
        <w:rPr>
          <w:rFonts w:ascii="Arial Narrow" w:hAnsi="Arial Narrow" w:eastAsia="仿宋" w:cs="宋体"/>
          <w:b/>
          <w:bCs/>
          <w:kern w:val="0"/>
          <w:sz w:val="24"/>
        </w:rPr>
      </w:pPr>
      <w:bookmarkStart w:id="5" w:name="_Toc169624359"/>
      <w:r>
        <w:rPr>
          <w:rFonts w:hint="eastAsia" w:ascii="Arial Narrow" w:hAnsi="Arial Narrow" w:eastAsia="仿宋" w:cs="宋体"/>
          <w:b/>
          <w:bCs/>
          <w:kern w:val="0"/>
          <w:sz w:val="24"/>
        </w:rPr>
        <w:t>（一）项目情况</w:t>
      </w:r>
      <w:bookmarkEnd w:id="5"/>
    </w:p>
    <w:p w14:paraId="59A70E6D">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1.小林镇鱼龙村长五间蔬菜基地建设项目</w:t>
      </w:r>
    </w:p>
    <w:p w14:paraId="7E7B01E3">
      <w:pPr>
        <w:spacing w:line="360" w:lineRule="auto"/>
        <w:ind w:firstLine="480" w:firstLineChars="200"/>
        <w:rPr>
          <w:rFonts w:ascii="Arial Narrow" w:hAnsi="Arial Narrow" w:eastAsia="仿宋_GB2312"/>
          <w:sz w:val="24"/>
          <w:szCs w:val="32"/>
        </w:rPr>
      </w:pPr>
      <w:r>
        <w:rPr>
          <w:rFonts w:hint="eastAsia" w:ascii="Arial Narrow" w:hAnsi="Arial Narrow" w:eastAsia="仿宋_GB2312" w:cs="宋体"/>
          <w:kern w:val="0"/>
          <w:sz w:val="24"/>
        </w:rPr>
        <w:t>实施单位：</w:t>
      </w:r>
      <w:r>
        <w:rPr>
          <w:rFonts w:hint="eastAsia" w:ascii="Arial Narrow" w:hAnsi="Arial Narrow" w:eastAsia="仿宋_GB2312"/>
          <w:sz w:val="24"/>
          <w:szCs w:val="32"/>
        </w:rPr>
        <w:t>铜梁区小林镇鱼龙村股份经济联合合作社</w:t>
      </w:r>
    </w:p>
    <w:p w14:paraId="08C4BAC3">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项目内容：1.新建蔬菜大棚7000</w:t>
      </w:r>
      <w:r>
        <w:rPr>
          <w:rFonts w:hint="eastAsia" w:ascii="Segoe UI Symbol" w:hAnsi="Segoe UI Symbol" w:eastAsia="仿宋_GB2312" w:cs="Segoe UI Symbol"/>
          <w:kern w:val="0"/>
          <w:sz w:val="24"/>
        </w:rPr>
        <w:t>㎡；2.新安装棚内滴灌7000㎡；3.新建冷藏库一座；4.新建管理用房21㎡。</w:t>
      </w:r>
    </w:p>
    <w:p w14:paraId="31C806A1">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项目资金安排情况：该项目2023年计划投入50万元，均申请财政专项衔接资金。</w:t>
      </w:r>
    </w:p>
    <w:p w14:paraId="5CEEDC9E">
      <w:pPr>
        <w:spacing w:line="360" w:lineRule="auto"/>
        <w:ind w:firstLine="482" w:firstLineChars="200"/>
        <w:jc w:val="left"/>
        <w:outlineLvl w:val="0"/>
        <w:rPr>
          <w:rFonts w:ascii="Arial Narrow" w:hAnsi="Arial Narrow" w:eastAsia="仿宋_GB2312"/>
          <w:b/>
          <w:sz w:val="24"/>
        </w:rPr>
      </w:pPr>
      <w:bookmarkStart w:id="6" w:name="_Toc169624360"/>
      <w:r>
        <w:rPr>
          <w:rFonts w:ascii="Arial Narrow" w:hAnsi="Arial Narrow" w:eastAsia="仿宋_GB2312"/>
          <w:b/>
          <w:sz w:val="24"/>
        </w:rPr>
        <w:t>二、绩效评价工作情况</w:t>
      </w:r>
      <w:bookmarkEnd w:id="6"/>
    </w:p>
    <w:p w14:paraId="46084B68">
      <w:pPr>
        <w:spacing w:line="360" w:lineRule="auto"/>
        <w:ind w:firstLine="482" w:firstLineChars="200"/>
        <w:jc w:val="left"/>
        <w:outlineLvl w:val="0"/>
        <w:rPr>
          <w:rFonts w:ascii="Arial Narrow" w:hAnsi="Arial Narrow" w:eastAsia="仿宋_GB2312"/>
          <w:b/>
          <w:sz w:val="24"/>
        </w:rPr>
      </w:pPr>
      <w:bookmarkStart w:id="7" w:name="_Toc169624361"/>
      <w:bookmarkStart w:id="8" w:name="_Toc513775099"/>
      <w:r>
        <w:rPr>
          <w:rFonts w:ascii="Arial Narrow" w:hAnsi="Arial Narrow" w:eastAsia="仿宋_GB2312"/>
          <w:b/>
          <w:sz w:val="24"/>
        </w:rPr>
        <w:t>（一）绩效评价目的</w:t>
      </w:r>
      <w:bookmarkEnd w:id="7"/>
      <w:bookmarkEnd w:id="8"/>
    </w:p>
    <w:p w14:paraId="744AAC5D">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通过实施财政重点绩效评价，总结项目实施主要成效，分析影响项目绩效的主要问题及成因，为进一步加强财政资金管理、提高资金使用效益提供依据。</w:t>
      </w:r>
    </w:p>
    <w:p w14:paraId="41DDFE5B">
      <w:pPr>
        <w:spacing w:line="360" w:lineRule="auto"/>
        <w:ind w:firstLine="482" w:firstLineChars="200"/>
        <w:jc w:val="left"/>
        <w:outlineLvl w:val="0"/>
        <w:rPr>
          <w:rFonts w:ascii="Arial Narrow" w:hAnsi="Arial Narrow" w:eastAsia="仿宋_GB2312"/>
          <w:b/>
          <w:sz w:val="24"/>
        </w:rPr>
      </w:pPr>
      <w:bookmarkStart w:id="9" w:name="_Toc169624362"/>
      <w:bookmarkStart w:id="10" w:name="_Toc513775100"/>
    </w:p>
    <w:p w14:paraId="31B40D16">
      <w:pPr>
        <w:spacing w:line="360" w:lineRule="auto"/>
        <w:ind w:firstLine="482" w:firstLineChars="200"/>
        <w:jc w:val="left"/>
        <w:outlineLvl w:val="0"/>
        <w:rPr>
          <w:rFonts w:ascii="Arial Narrow" w:hAnsi="Arial Narrow" w:eastAsia="仿宋_GB2312"/>
          <w:b/>
          <w:sz w:val="24"/>
        </w:rPr>
      </w:pPr>
      <w:r>
        <w:rPr>
          <w:rFonts w:ascii="Arial Narrow" w:hAnsi="Arial Narrow" w:eastAsia="仿宋_GB2312"/>
          <w:b/>
          <w:sz w:val="24"/>
        </w:rPr>
        <w:t>（二）绩效评价的</w:t>
      </w:r>
      <w:r>
        <w:rPr>
          <w:rFonts w:hint="eastAsia" w:ascii="Arial Narrow" w:hAnsi="Arial Narrow" w:eastAsia="仿宋_GB2312"/>
          <w:b/>
          <w:sz w:val="24"/>
        </w:rPr>
        <w:t>基本内容</w:t>
      </w:r>
      <w:bookmarkEnd w:id="9"/>
    </w:p>
    <w:p w14:paraId="0C440FB8">
      <w:pPr>
        <w:pStyle w:val="13"/>
        <w:spacing w:line="360" w:lineRule="auto"/>
        <w:ind w:firstLine="480" w:firstLineChars="200"/>
        <w:rPr>
          <w:rFonts w:ascii="Arial Narrow" w:hAnsi="Arial Narrow" w:eastAsia="仿宋_GB2312"/>
          <w:color w:val="auto"/>
        </w:rPr>
      </w:pPr>
      <w:bookmarkStart w:id="11" w:name="_Toc166332968"/>
      <w:r>
        <w:rPr>
          <w:rFonts w:hint="eastAsia" w:ascii="Arial Narrow" w:hAnsi="Arial Narrow" w:eastAsia="仿宋_GB2312"/>
          <w:color w:val="auto"/>
        </w:rPr>
        <w:t>1.绩效目标的设定情况；</w:t>
      </w:r>
    </w:p>
    <w:p w14:paraId="433BC03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2.资金投入和使用情况；</w:t>
      </w:r>
    </w:p>
    <w:p w14:paraId="7D2D9B1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3.为实现绩效目标制定的制度、采取的措施等；</w:t>
      </w:r>
    </w:p>
    <w:p w14:paraId="7F4F0AB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4.绩效目标的实现程度及效果；</w:t>
      </w:r>
    </w:p>
    <w:p w14:paraId="5D9A4381">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5.根据实际情况需要评价的其他内容。</w:t>
      </w:r>
    </w:p>
    <w:p w14:paraId="0131ADE7">
      <w:pPr>
        <w:spacing w:line="360" w:lineRule="auto"/>
        <w:ind w:firstLine="482" w:firstLineChars="200"/>
        <w:jc w:val="left"/>
        <w:outlineLvl w:val="0"/>
        <w:rPr>
          <w:rFonts w:ascii="Arial Narrow" w:hAnsi="Arial Narrow" w:eastAsia="仿宋_GB2312"/>
          <w:b/>
          <w:sz w:val="24"/>
        </w:rPr>
      </w:pPr>
      <w:bookmarkStart w:id="12" w:name="_Toc169624363"/>
      <w:r>
        <w:rPr>
          <w:rFonts w:ascii="Arial Narrow" w:hAnsi="Arial Narrow" w:eastAsia="仿宋_GB2312"/>
          <w:b/>
          <w:sz w:val="24"/>
        </w:rPr>
        <w:t>（三）绩效评价依据</w:t>
      </w:r>
      <w:bookmarkEnd w:id="10"/>
      <w:bookmarkEnd w:id="11"/>
      <w:bookmarkEnd w:id="12"/>
      <w:bookmarkStart w:id="13" w:name="_Toc335040595"/>
    </w:p>
    <w:bookmarkEnd w:id="13"/>
    <w:p w14:paraId="55D546F6">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.《重庆市铜梁区财政衔接推进乡村振兴补助资金绩效评价及考核办法》的通知（铜财〔2022〕678号）；</w:t>
      </w:r>
    </w:p>
    <w:p w14:paraId="075E8937">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.《重庆市铜梁区财政局关于开展2023年度项目财政重点绩效评价的通知》（铜财〔2024〕237号）；</w:t>
      </w:r>
    </w:p>
    <w:p w14:paraId="69C22B50">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3.《重庆市财政衔接推进乡村振兴补助资金绩效评价及考核办法》（渝财农〔2022〕2号)；</w:t>
      </w:r>
    </w:p>
    <w:p w14:paraId="040AD5BA">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4.《铜梁区区级政策和项目预算绩效管理办法(试行)》（铜财〔2022〕41号）；</w:t>
      </w:r>
    </w:p>
    <w:p w14:paraId="3ECFAE14">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5.《重庆市财政局等6部门关于加强财政衔接推进乡村振兴补助资金使用管理的实施意见》（渝财农〔2022〕73号）；</w:t>
      </w:r>
    </w:p>
    <w:p w14:paraId="612269DD">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6.《铜梁区巩固拓展脱贫攻坚成果和衔接乡村振兴项目库建设管理实施细则》（铜乡振〔2021〕7号）；</w:t>
      </w:r>
    </w:p>
    <w:p w14:paraId="6873103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7.《铜梁区财政衔接推进乡村振兴补助资金项目公告公示实施办法》（铜委农办〔2021〕19号）；</w:t>
      </w:r>
    </w:p>
    <w:p w14:paraId="169F6B5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8.</w:t>
      </w:r>
      <w:r>
        <w:rPr>
          <w:rFonts w:ascii="Arial Narrow" w:hAnsi="Arial Narrow" w:eastAsia="仿宋_GB2312"/>
          <w:color w:val="auto"/>
        </w:rPr>
        <w:t>《项目支出绩效评价管理办法》（财预</w:t>
      </w:r>
      <w:r>
        <w:rPr>
          <w:rFonts w:hint="eastAsia" w:ascii="Arial Narrow" w:hAnsi="Arial Narrow" w:eastAsia="仿宋_GB2312"/>
          <w:color w:val="auto"/>
        </w:rPr>
        <w:t>〔2020〕</w:t>
      </w:r>
      <w:r>
        <w:rPr>
          <w:rFonts w:ascii="Arial Narrow" w:hAnsi="Arial Narrow" w:eastAsia="仿宋_GB2312"/>
          <w:color w:val="auto"/>
        </w:rPr>
        <w:t>10号）</w:t>
      </w:r>
      <w:r>
        <w:rPr>
          <w:rFonts w:hint="eastAsia" w:ascii="Arial Narrow" w:hAnsi="Arial Narrow" w:eastAsia="仿宋_GB2312"/>
          <w:color w:val="auto"/>
        </w:rPr>
        <w:t>；</w:t>
      </w:r>
    </w:p>
    <w:p w14:paraId="5A42DB2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9.</w:t>
      </w:r>
      <w:r>
        <w:rPr>
          <w:rFonts w:ascii="Arial Narrow" w:hAnsi="Arial Narrow" w:eastAsia="仿宋_GB2312"/>
          <w:color w:val="auto"/>
        </w:rPr>
        <w:t>《重庆市市级政策和项目预算绩效管理办法》（渝财绩</w:t>
      </w:r>
      <w:r>
        <w:rPr>
          <w:rFonts w:hint="eastAsia" w:ascii="Arial Narrow" w:hAnsi="Arial Narrow" w:eastAsia="仿宋_GB2312"/>
          <w:color w:val="auto"/>
        </w:rPr>
        <w:t>〔2019〕</w:t>
      </w:r>
      <w:r>
        <w:rPr>
          <w:rFonts w:ascii="Arial Narrow" w:hAnsi="Arial Narrow" w:eastAsia="仿宋_GB2312"/>
          <w:color w:val="auto"/>
        </w:rPr>
        <w:t>19号）</w:t>
      </w:r>
      <w:r>
        <w:rPr>
          <w:rFonts w:hint="eastAsia" w:ascii="Arial Narrow" w:hAnsi="Arial Narrow" w:eastAsia="仿宋_GB2312"/>
          <w:color w:val="auto"/>
        </w:rPr>
        <w:t>；</w:t>
      </w:r>
    </w:p>
    <w:p w14:paraId="187735D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10.</w:t>
      </w:r>
      <w:r>
        <w:rPr>
          <w:rFonts w:ascii="Arial Narrow" w:hAnsi="Arial Narrow" w:eastAsia="仿宋_GB2312"/>
          <w:color w:val="auto"/>
        </w:rPr>
        <w:t>《会计师事务所财政支出绩效评价业务指引》（注协</w:t>
      </w:r>
      <w:bookmarkStart w:id="14" w:name="_Hlk162597612"/>
      <w:r>
        <w:rPr>
          <w:rFonts w:hint="eastAsia" w:ascii="Arial Narrow" w:hAnsi="Arial Narrow" w:eastAsia="仿宋_GB2312"/>
          <w:color w:val="auto"/>
        </w:rPr>
        <w:t>〔2016〕</w:t>
      </w:r>
      <w:bookmarkEnd w:id="14"/>
      <w:r>
        <w:rPr>
          <w:rFonts w:ascii="Arial Narrow" w:hAnsi="Arial Narrow" w:eastAsia="仿宋_GB2312"/>
          <w:color w:val="auto"/>
        </w:rPr>
        <w:t>10号）</w:t>
      </w:r>
      <w:r>
        <w:rPr>
          <w:rFonts w:hint="eastAsia" w:ascii="Arial Narrow" w:hAnsi="Arial Narrow" w:eastAsia="仿宋_GB2312"/>
          <w:color w:val="auto"/>
        </w:rPr>
        <w:t>；</w:t>
      </w:r>
    </w:p>
    <w:p w14:paraId="061564D5">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11.</w:t>
      </w:r>
      <w:r>
        <w:rPr>
          <w:rFonts w:ascii="Arial Narrow" w:hAnsi="Arial Narrow" w:eastAsia="仿宋_GB2312"/>
          <w:color w:val="auto"/>
        </w:rPr>
        <w:t>评价工作人员通过现场调查、核实等获得的资料等</w:t>
      </w:r>
      <w:r>
        <w:rPr>
          <w:rFonts w:hint="eastAsia" w:ascii="Arial Narrow" w:hAnsi="Arial Narrow" w:eastAsia="仿宋_GB2312"/>
          <w:color w:val="auto"/>
        </w:rPr>
        <w:t>。</w:t>
      </w:r>
    </w:p>
    <w:p w14:paraId="033EC186">
      <w:pPr>
        <w:spacing w:line="360" w:lineRule="auto"/>
        <w:ind w:firstLine="482" w:firstLineChars="200"/>
        <w:jc w:val="left"/>
        <w:outlineLvl w:val="0"/>
        <w:rPr>
          <w:rFonts w:ascii="Arial Narrow" w:hAnsi="Arial Narrow" w:eastAsia="仿宋_GB2312"/>
          <w:b/>
          <w:sz w:val="24"/>
        </w:rPr>
      </w:pPr>
      <w:bookmarkStart w:id="15" w:name="_Toc169624364"/>
      <w:r>
        <w:rPr>
          <w:rFonts w:ascii="Arial Narrow" w:hAnsi="Arial Narrow" w:eastAsia="仿宋_GB2312"/>
          <w:b/>
          <w:sz w:val="24"/>
        </w:rPr>
        <w:t>（四）绩效评价原则和指标体系</w:t>
      </w:r>
      <w:bookmarkEnd w:id="15"/>
    </w:p>
    <w:p w14:paraId="3C61DA9F">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绩效评价主要遵循以下原则：</w:t>
      </w:r>
    </w:p>
    <w:p w14:paraId="70B16C4D">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w:t>
      </w:r>
      <w:r>
        <w:rPr>
          <w:rFonts w:ascii="Arial Narrow" w:hAnsi="Arial Narrow" w:eastAsia="仿宋_GB2312"/>
          <w:color w:val="auto"/>
        </w:rPr>
        <w:t>相关性原则。应当与绩效目标有直接的联系，能够恰当反映目标的实现程度。</w:t>
      </w:r>
    </w:p>
    <w:p w14:paraId="67D4643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ascii="Arial Narrow" w:hAnsi="Arial Narrow" w:eastAsia="仿宋_GB2312"/>
          <w:color w:val="auto"/>
        </w:rPr>
        <w:t>重要性原则。应当优先使用最具评价对象代表性、最能反映评价要求的核心指标。</w:t>
      </w:r>
    </w:p>
    <w:p w14:paraId="0D4A6ACD">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（3）可比性原则。对同类评价对象要设定共性的绩效评价指标，以便于评价结果可以相互比较。</w:t>
      </w:r>
    </w:p>
    <w:p w14:paraId="6CC9CD40">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（4）系统性原则。应当将定量指标与定性指标相结合，系统反映财政支出所产生的社会效益和可持续影响等。</w:t>
      </w:r>
    </w:p>
    <w:p w14:paraId="7284A3AE">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（5）经济性原则。应当通俗易懂、简便易行，数据的获得应当考虑现实条件和可操作性，符合成本效益原则。</w:t>
      </w:r>
    </w:p>
    <w:p w14:paraId="50795407">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绩效评价指标体系</w:t>
      </w:r>
    </w:p>
    <w:p w14:paraId="26EE197E">
      <w:pPr>
        <w:pStyle w:val="13"/>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根据《重庆市铜梁区财政衔接推进乡村振兴补助资金绩效评价及考核办法》的通知（铜财〔2022〕678号</w:t>
      </w:r>
      <w:r>
        <w:rPr>
          <w:rFonts w:ascii="Arial Narrow" w:hAnsi="Arial Narrow" w:eastAsia="仿宋_GB2312"/>
          <w:color w:val="auto"/>
        </w:rPr>
        <w:t>)</w:t>
      </w:r>
      <w:r>
        <w:rPr>
          <w:rFonts w:hint="eastAsia" w:ascii="Arial Narrow" w:hAnsi="Arial Narrow" w:eastAsia="仿宋_GB2312"/>
          <w:color w:val="auto"/>
        </w:rPr>
        <w:t>，本次绩效评价及考核指标体系如下：</w:t>
      </w:r>
    </w:p>
    <w:p w14:paraId="2F13E9C1">
      <w:pPr>
        <w:pStyle w:val="13"/>
        <w:spacing w:line="360" w:lineRule="auto"/>
        <w:ind w:firstLine="482" w:firstLineChars="200"/>
        <w:jc w:val="center"/>
        <w:rPr>
          <w:rFonts w:ascii="Arial Narrow" w:hAnsi="Arial Narrow" w:eastAsia="仿宋_GB2312"/>
          <w:b/>
          <w:bCs/>
          <w:color w:val="auto"/>
        </w:rPr>
      </w:pPr>
      <w:r>
        <w:rPr>
          <w:rFonts w:hint="eastAsia" w:ascii="Arial Narrow" w:hAnsi="Arial Narrow" w:eastAsia="仿宋_GB2312"/>
          <w:b/>
          <w:bCs/>
          <w:color w:val="auto"/>
        </w:rPr>
        <w:t>铜梁区衔接资金项目绩效评价及考核指标评分表</w:t>
      </w:r>
    </w:p>
    <w:tbl>
      <w:tblPr>
        <w:tblStyle w:val="8"/>
        <w:tblW w:w="9491" w:type="dxa"/>
        <w:tblInd w:w="113" w:type="dxa"/>
        <w:tblLayout w:type="fixed"/>
        <w:tblCellMar>
          <w:top w:w="0" w:type="dxa"/>
          <w:left w:w="108" w:type="dxa"/>
          <w:bottom w:w="0" w:type="dxa"/>
          <w:right w:w="108" w:type="dxa"/>
        </w:tblCellMar>
      </w:tblPr>
      <w:tblGrid>
        <w:gridCol w:w="536"/>
        <w:gridCol w:w="1017"/>
        <w:gridCol w:w="1049"/>
        <w:gridCol w:w="536"/>
        <w:gridCol w:w="2762"/>
        <w:gridCol w:w="3591"/>
      </w:tblGrid>
      <w:tr w14:paraId="46276BD5">
        <w:tblPrEx>
          <w:tblCellMar>
            <w:top w:w="0" w:type="dxa"/>
            <w:left w:w="108" w:type="dxa"/>
            <w:bottom w:w="0" w:type="dxa"/>
            <w:right w:w="108" w:type="dxa"/>
          </w:tblCellMar>
        </w:tblPrEx>
        <w:trPr>
          <w:cantSplit/>
          <w:trHeight w:val="201" w:hRule="atLeast"/>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68BE81">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序号</w:t>
            </w:r>
          </w:p>
        </w:tc>
        <w:tc>
          <w:tcPr>
            <w:tcW w:w="1017" w:type="dxa"/>
            <w:tcBorders>
              <w:top w:val="single" w:color="auto" w:sz="4" w:space="0"/>
              <w:left w:val="nil"/>
              <w:bottom w:val="single" w:color="auto" w:sz="4" w:space="0"/>
              <w:right w:val="single" w:color="auto" w:sz="4" w:space="0"/>
            </w:tcBorders>
            <w:shd w:val="clear" w:color="auto" w:fill="auto"/>
            <w:noWrap/>
            <w:vAlign w:val="center"/>
          </w:tcPr>
          <w:p w14:paraId="656BC3C0">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一级指标</w:t>
            </w:r>
          </w:p>
        </w:tc>
        <w:tc>
          <w:tcPr>
            <w:tcW w:w="1049" w:type="dxa"/>
            <w:tcBorders>
              <w:top w:val="single" w:color="auto" w:sz="4" w:space="0"/>
              <w:left w:val="nil"/>
              <w:bottom w:val="single" w:color="auto" w:sz="4" w:space="0"/>
              <w:right w:val="single" w:color="auto" w:sz="4" w:space="0"/>
            </w:tcBorders>
            <w:shd w:val="clear" w:color="auto" w:fill="auto"/>
            <w:noWrap/>
            <w:vAlign w:val="center"/>
          </w:tcPr>
          <w:p w14:paraId="05765BF8">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08C0710D">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分值</w:t>
            </w:r>
          </w:p>
        </w:tc>
        <w:tc>
          <w:tcPr>
            <w:tcW w:w="2762" w:type="dxa"/>
            <w:tcBorders>
              <w:top w:val="single" w:color="auto" w:sz="4" w:space="0"/>
              <w:left w:val="nil"/>
              <w:bottom w:val="single" w:color="auto" w:sz="4" w:space="0"/>
              <w:right w:val="single" w:color="auto" w:sz="4" w:space="0"/>
            </w:tcBorders>
            <w:shd w:val="clear" w:color="auto" w:fill="auto"/>
            <w:noWrap/>
            <w:vAlign w:val="center"/>
          </w:tcPr>
          <w:p w14:paraId="16E2B23D">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指标释义</w:t>
            </w:r>
          </w:p>
        </w:tc>
        <w:tc>
          <w:tcPr>
            <w:tcW w:w="3591" w:type="dxa"/>
            <w:tcBorders>
              <w:top w:val="single" w:color="auto" w:sz="4" w:space="0"/>
              <w:left w:val="nil"/>
              <w:bottom w:val="single" w:color="auto" w:sz="4" w:space="0"/>
              <w:right w:val="single" w:color="auto" w:sz="4" w:space="0"/>
            </w:tcBorders>
            <w:shd w:val="clear" w:color="auto" w:fill="auto"/>
            <w:noWrap/>
            <w:vAlign w:val="center"/>
          </w:tcPr>
          <w:p w14:paraId="19C5596F">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评价标准</w:t>
            </w:r>
          </w:p>
        </w:tc>
      </w:tr>
      <w:tr w14:paraId="01E8EDF9">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317954E">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24E674F7">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资金管理（5分）</w:t>
            </w:r>
          </w:p>
        </w:tc>
        <w:tc>
          <w:tcPr>
            <w:tcW w:w="1049" w:type="dxa"/>
            <w:tcBorders>
              <w:top w:val="nil"/>
              <w:left w:val="nil"/>
              <w:bottom w:val="single" w:color="auto" w:sz="4" w:space="0"/>
              <w:right w:val="single" w:color="auto" w:sz="4" w:space="0"/>
            </w:tcBorders>
            <w:shd w:val="clear" w:color="auto" w:fill="auto"/>
            <w:vAlign w:val="center"/>
          </w:tcPr>
          <w:p w14:paraId="4CC18F84">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3AEF6C23">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2</w:t>
            </w:r>
          </w:p>
        </w:tc>
        <w:tc>
          <w:tcPr>
            <w:tcW w:w="2762" w:type="dxa"/>
            <w:tcBorders>
              <w:top w:val="nil"/>
              <w:left w:val="nil"/>
              <w:bottom w:val="single" w:color="auto" w:sz="4" w:space="0"/>
              <w:right w:val="single" w:color="auto" w:sz="4" w:space="0"/>
            </w:tcBorders>
            <w:shd w:val="clear" w:color="auto" w:fill="auto"/>
            <w:vAlign w:val="center"/>
          </w:tcPr>
          <w:p w14:paraId="2D0553DD">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1" w:type="dxa"/>
            <w:tcBorders>
              <w:top w:val="nil"/>
              <w:left w:val="nil"/>
              <w:bottom w:val="single" w:color="auto" w:sz="4" w:space="0"/>
              <w:right w:val="single" w:color="auto" w:sz="4" w:space="0"/>
            </w:tcBorders>
            <w:shd w:val="clear" w:color="auto" w:fill="auto"/>
            <w:vAlign w:val="center"/>
          </w:tcPr>
          <w:p w14:paraId="77E4A478">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资金使用方向符合文件规定（2分）。</w:t>
            </w:r>
          </w:p>
        </w:tc>
      </w:tr>
      <w:tr w14:paraId="285C59A0">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04DD454">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2</w:t>
            </w:r>
          </w:p>
        </w:tc>
        <w:tc>
          <w:tcPr>
            <w:tcW w:w="1017" w:type="dxa"/>
            <w:vMerge w:val="continue"/>
            <w:tcBorders>
              <w:top w:val="nil"/>
              <w:left w:val="single" w:color="auto" w:sz="4" w:space="0"/>
              <w:bottom w:val="single" w:color="auto" w:sz="4" w:space="0"/>
              <w:right w:val="single" w:color="auto" w:sz="4" w:space="0"/>
            </w:tcBorders>
            <w:vAlign w:val="center"/>
          </w:tcPr>
          <w:p w14:paraId="3FC5A3FA">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0E3A2F7C">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1DD7DC99">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3</w:t>
            </w:r>
          </w:p>
        </w:tc>
        <w:tc>
          <w:tcPr>
            <w:tcW w:w="2762" w:type="dxa"/>
            <w:tcBorders>
              <w:top w:val="nil"/>
              <w:left w:val="nil"/>
              <w:bottom w:val="single" w:color="auto" w:sz="4" w:space="0"/>
              <w:right w:val="single" w:color="auto" w:sz="4" w:space="0"/>
            </w:tcBorders>
            <w:shd w:val="clear" w:color="auto" w:fill="auto"/>
            <w:vAlign w:val="center"/>
          </w:tcPr>
          <w:p w14:paraId="276641A2">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评价区级业务主管部门分解下达当年资金及次年提前批资金进度情况。</w:t>
            </w:r>
          </w:p>
        </w:tc>
        <w:tc>
          <w:tcPr>
            <w:tcW w:w="3591" w:type="dxa"/>
            <w:tcBorders>
              <w:top w:val="nil"/>
              <w:left w:val="nil"/>
              <w:bottom w:val="single" w:color="auto" w:sz="4" w:space="0"/>
              <w:right w:val="single" w:color="auto" w:sz="4" w:space="0"/>
            </w:tcBorders>
            <w:shd w:val="clear" w:color="auto" w:fill="auto"/>
            <w:vAlign w:val="center"/>
          </w:tcPr>
          <w:p w14:paraId="481FA2D1">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区财政局下达资金文件时间到区级业务主管部门下达项目及资金计划文件时间间隔≤30日（3分）。</w:t>
            </w:r>
          </w:p>
        </w:tc>
      </w:tr>
      <w:tr w14:paraId="31993342">
        <w:tblPrEx>
          <w:tblCellMar>
            <w:top w:w="0" w:type="dxa"/>
            <w:left w:w="108" w:type="dxa"/>
            <w:bottom w:w="0" w:type="dxa"/>
            <w:right w:w="108" w:type="dxa"/>
          </w:tblCellMar>
        </w:tblPrEx>
        <w:trPr>
          <w:cantSplit/>
          <w:trHeight w:val="108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7EDB524">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3</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6E45D11B">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项目管理（55分）</w:t>
            </w:r>
          </w:p>
        </w:tc>
        <w:tc>
          <w:tcPr>
            <w:tcW w:w="1049" w:type="dxa"/>
            <w:tcBorders>
              <w:top w:val="nil"/>
              <w:left w:val="nil"/>
              <w:bottom w:val="single" w:color="auto" w:sz="4" w:space="0"/>
              <w:right w:val="single" w:color="auto" w:sz="4" w:space="0"/>
            </w:tcBorders>
            <w:shd w:val="clear" w:color="auto" w:fill="auto"/>
            <w:vAlign w:val="center"/>
          </w:tcPr>
          <w:p w14:paraId="319C5C67">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5B05D283">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2762" w:type="dxa"/>
            <w:tcBorders>
              <w:top w:val="nil"/>
              <w:left w:val="nil"/>
              <w:bottom w:val="nil"/>
              <w:right w:val="nil"/>
            </w:tcBorders>
            <w:shd w:val="clear" w:color="auto" w:fill="auto"/>
            <w:vAlign w:val="center"/>
          </w:tcPr>
          <w:p w14:paraId="09EF055C">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评价落实《铜梁区巩固拓展脱贫攻坚成果和衔接乡村振兴项目库建设管理实施细则》（铜乡振〔2021〕7号）落实情况。根据抽查情况赋分。</w:t>
            </w:r>
          </w:p>
        </w:tc>
        <w:tc>
          <w:tcPr>
            <w:tcW w:w="3591" w:type="dxa"/>
            <w:tcBorders>
              <w:top w:val="nil"/>
              <w:left w:val="single" w:color="auto" w:sz="4" w:space="0"/>
              <w:bottom w:val="single" w:color="auto" w:sz="4" w:space="0"/>
              <w:right w:val="single" w:color="auto" w:sz="4" w:space="0"/>
            </w:tcBorders>
            <w:shd w:val="clear" w:color="auto" w:fill="auto"/>
            <w:vAlign w:val="center"/>
          </w:tcPr>
          <w:p w14:paraId="58771AAF">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1.项目入库及时充分、程序规范、内容完整（3分）；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2.入库项目具备实施条件（2分）；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3.衔接资金用于项目库之外的项目（-5分）。</w:t>
            </w:r>
          </w:p>
        </w:tc>
      </w:tr>
      <w:tr w14:paraId="336319B2">
        <w:tblPrEx>
          <w:tblCellMar>
            <w:top w:w="0" w:type="dxa"/>
            <w:left w:w="108" w:type="dxa"/>
            <w:bottom w:w="0" w:type="dxa"/>
            <w:right w:w="108" w:type="dxa"/>
          </w:tblCellMar>
        </w:tblPrEx>
        <w:trPr>
          <w:cantSplit/>
          <w:trHeight w:val="162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97EE0C2">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4</w:t>
            </w:r>
          </w:p>
        </w:tc>
        <w:tc>
          <w:tcPr>
            <w:tcW w:w="1017" w:type="dxa"/>
            <w:vMerge w:val="continue"/>
            <w:tcBorders>
              <w:top w:val="nil"/>
              <w:left w:val="single" w:color="auto" w:sz="4" w:space="0"/>
              <w:bottom w:val="single" w:color="auto" w:sz="4" w:space="0"/>
              <w:right w:val="single" w:color="auto" w:sz="4" w:space="0"/>
            </w:tcBorders>
            <w:vAlign w:val="center"/>
          </w:tcPr>
          <w:p w14:paraId="780611B3">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5E54BEF4">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1ABE830A">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10</w:t>
            </w:r>
          </w:p>
        </w:tc>
        <w:tc>
          <w:tcPr>
            <w:tcW w:w="2762" w:type="dxa"/>
            <w:tcBorders>
              <w:top w:val="single" w:color="auto" w:sz="4" w:space="0"/>
              <w:left w:val="nil"/>
              <w:bottom w:val="single" w:color="auto" w:sz="4" w:space="0"/>
              <w:right w:val="single" w:color="auto" w:sz="4" w:space="0"/>
            </w:tcBorders>
            <w:shd w:val="clear" w:color="auto" w:fill="auto"/>
            <w:vAlign w:val="center"/>
          </w:tcPr>
          <w:p w14:paraId="142A32F9">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评价具体项目实施方案明确绩效目标情况、开展跟踪监督绩效监控情况、事后评价情况等。根据抽查情况赋分。</w:t>
            </w:r>
          </w:p>
        </w:tc>
        <w:tc>
          <w:tcPr>
            <w:tcW w:w="3591" w:type="dxa"/>
            <w:tcBorders>
              <w:top w:val="nil"/>
              <w:left w:val="nil"/>
              <w:bottom w:val="single" w:color="auto" w:sz="4" w:space="0"/>
              <w:right w:val="single" w:color="auto" w:sz="4" w:space="0"/>
            </w:tcBorders>
            <w:shd w:val="clear" w:color="auto" w:fill="auto"/>
            <w:vAlign w:val="center"/>
          </w:tcPr>
          <w:p w14:paraId="05F2D172">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1.及时制定绩效目标、审核绩效目标（2分）；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2.开展绩效监控不少于1次（2分）；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3.对绩效目标偏离项目采取纠偏措施（2分）；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4.项目实施完毕后立即开展绩效自评，并形成绩效自评报告及绩效自评表。（2分）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5.项目绩效是否达到预期。（2分）</w:t>
            </w:r>
          </w:p>
        </w:tc>
      </w:tr>
      <w:tr w14:paraId="3A5C33D9">
        <w:tblPrEx>
          <w:tblCellMar>
            <w:top w:w="0" w:type="dxa"/>
            <w:left w:w="108" w:type="dxa"/>
            <w:bottom w:w="0" w:type="dxa"/>
            <w:right w:w="108" w:type="dxa"/>
          </w:tblCellMar>
        </w:tblPrEx>
        <w:trPr>
          <w:cantSplit/>
          <w:trHeight w:val="242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941358F">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1017" w:type="dxa"/>
            <w:vMerge w:val="continue"/>
            <w:tcBorders>
              <w:top w:val="nil"/>
              <w:left w:val="single" w:color="auto" w:sz="4" w:space="0"/>
              <w:bottom w:val="single" w:color="auto" w:sz="4" w:space="0"/>
              <w:right w:val="single" w:color="auto" w:sz="4" w:space="0"/>
            </w:tcBorders>
            <w:vAlign w:val="center"/>
          </w:tcPr>
          <w:p w14:paraId="5569BC55">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67BCE40C">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7D9DEB23">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6</w:t>
            </w:r>
          </w:p>
        </w:tc>
        <w:tc>
          <w:tcPr>
            <w:tcW w:w="2762" w:type="dxa"/>
            <w:tcBorders>
              <w:top w:val="nil"/>
              <w:left w:val="nil"/>
              <w:bottom w:val="single" w:color="auto" w:sz="4" w:space="0"/>
              <w:right w:val="single" w:color="auto" w:sz="4" w:space="0"/>
            </w:tcBorders>
            <w:shd w:val="clear" w:color="auto" w:fill="auto"/>
            <w:vAlign w:val="center"/>
          </w:tcPr>
          <w:p w14:paraId="69B91AE8">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评价有序推进项目前期工作、组织实施、项目验收、资料报送等情况。根据抽查情况赋分。</w:t>
            </w:r>
          </w:p>
        </w:tc>
        <w:tc>
          <w:tcPr>
            <w:tcW w:w="3591" w:type="dxa"/>
            <w:tcBorders>
              <w:top w:val="nil"/>
              <w:left w:val="nil"/>
              <w:bottom w:val="single" w:color="auto" w:sz="4" w:space="0"/>
              <w:right w:val="single" w:color="auto" w:sz="4" w:space="0"/>
            </w:tcBorders>
            <w:shd w:val="clear" w:color="auto" w:fill="auto"/>
            <w:vAlign w:val="center"/>
          </w:tcPr>
          <w:p w14:paraId="13F5F1F7">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1.项目实施方法存在变更是否按规定报批；（1分）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2.是否定期对项目实施情况进行监督检查，对检查中发现的问题进行整改；（2分）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3.是否按照项目实施节点按时提交项目报账资料；（1分）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4.日常管理资料是否及时归档整理；（1分）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5.项目完工后是否在规定时间内进行验收。（1分）</w:t>
            </w:r>
          </w:p>
        </w:tc>
      </w:tr>
      <w:tr w14:paraId="26F22BE5">
        <w:tblPrEx>
          <w:tblCellMar>
            <w:top w:w="0" w:type="dxa"/>
            <w:left w:w="108" w:type="dxa"/>
            <w:bottom w:w="0" w:type="dxa"/>
            <w:right w:w="108" w:type="dxa"/>
          </w:tblCellMar>
        </w:tblPrEx>
        <w:trPr>
          <w:cantSplit/>
          <w:trHeight w:val="405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03FE97F">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6</w:t>
            </w:r>
          </w:p>
        </w:tc>
        <w:tc>
          <w:tcPr>
            <w:tcW w:w="1017" w:type="dxa"/>
            <w:vMerge w:val="continue"/>
            <w:tcBorders>
              <w:top w:val="nil"/>
              <w:left w:val="single" w:color="auto" w:sz="4" w:space="0"/>
              <w:bottom w:val="single" w:color="auto" w:sz="4" w:space="0"/>
              <w:right w:val="single" w:color="auto" w:sz="4" w:space="0"/>
            </w:tcBorders>
            <w:vAlign w:val="center"/>
          </w:tcPr>
          <w:p w14:paraId="69B374E1">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08F6A225">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预算执行率情况</w:t>
            </w:r>
          </w:p>
        </w:tc>
        <w:tc>
          <w:tcPr>
            <w:tcW w:w="536" w:type="dxa"/>
            <w:tcBorders>
              <w:top w:val="nil"/>
              <w:left w:val="nil"/>
              <w:bottom w:val="single" w:color="auto" w:sz="4" w:space="0"/>
              <w:right w:val="single" w:color="auto" w:sz="4" w:space="0"/>
            </w:tcBorders>
            <w:shd w:val="clear" w:color="auto" w:fill="auto"/>
            <w:noWrap/>
            <w:vAlign w:val="center"/>
          </w:tcPr>
          <w:p w14:paraId="3C229E5F">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12</w:t>
            </w:r>
          </w:p>
        </w:tc>
        <w:tc>
          <w:tcPr>
            <w:tcW w:w="2762" w:type="dxa"/>
            <w:tcBorders>
              <w:top w:val="nil"/>
              <w:left w:val="nil"/>
              <w:bottom w:val="single" w:color="auto" w:sz="4" w:space="0"/>
              <w:right w:val="single" w:color="auto" w:sz="4" w:space="0"/>
            </w:tcBorders>
            <w:shd w:val="clear" w:color="auto" w:fill="auto"/>
            <w:vAlign w:val="center"/>
          </w:tcPr>
          <w:p w14:paraId="70336E83">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评价有序推进项目工作和资金支付情况。根据抽查情况赋分。</w:t>
            </w:r>
          </w:p>
        </w:tc>
        <w:tc>
          <w:tcPr>
            <w:tcW w:w="3591" w:type="dxa"/>
            <w:tcBorders>
              <w:top w:val="nil"/>
              <w:left w:val="nil"/>
              <w:bottom w:val="single" w:color="auto" w:sz="4" w:space="0"/>
              <w:right w:val="single" w:color="auto" w:sz="4" w:space="0"/>
            </w:tcBorders>
            <w:shd w:val="clear" w:color="auto" w:fill="auto"/>
            <w:vAlign w:val="center"/>
          </w:tcPr>
          <w:p w14:paraId="2E4E1171">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主要通过支出进度评价有序推进项目工作和资金支付情况，于7月末、10月中旬定期调度。</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1.7月末支出进度评分4分。资金支出进度达到全区平均进度或者序时进度的，得满分；未达到的按照与序时进度的比例扣分；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2.10月中旬支出进度评分4分。资金支出进度达到全区平均进度或者序时进度的，得满分；未达到的按照与序时进度的比例扣分；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6C62BEF9">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0912072">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7</w:t>
            </w:r>
          </w:p>
        </w:tc>
        <w:tc>
          <w:tcPr>
            <w:tcW w:w="1017" w:type="dxa"/>
            <w:vMerge w:val="continue"/>
            <w:tcBorders>
              <w:top w:val="nil"/>
              <w:left w:val="single" w:color="auto" w:sz="4" w:space="0"/>
              <w:bottom w:val="single" w:color="auto" w:sz="4" w:space="0"/>
              <w:right w:val="single" w:color="auto" w:sz="4" w:space="0"/>
            </w:tcBorders>
            <w:vAlign w:val="center"/>
          </w:tcPr>
          <w:p w14:paraId="2DDA1050">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5E08C84C">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跟踪督促及发现问题整改情况</w:t>
            </w:r>
          </w:p>
        </w:tc>
        <w:tc>
          <w:tcPr>
            <w:tcW w:w="536" w:type="dxa"/>
            <w:tcBorders>
              <w:top w:val="nil"/>
              <w:left w:val="nil"/>
              <w:bottom w:val="single" w:color="auto" w:sz="4" w:space="0"/>
              <w:right w:val="single" w:color="auto" w:sz="4" w:space="0"/>
            </w:tcBorders>
            <w:shd w:val="clear" w:color="auto" w:fill="auto"/>
            <w:noWrap/>
            <w:vAlign w:val="center"/>
          </w:tcPr>
          <w:p w14:paraId="19381FCE">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8</w:t>
            </w:r>
          </w:p>
        </w:tc>
        <w:tc>
          <w:tcPr>
            <w:tcW w:w="2762" w:type="dxa"/>
            <w:tcBorders>
              <w:top w:val="nil"/>
              <w:left w:val="nil"/>
              <w:bottom w:val="single" w:color="auto" w:sz="4" w:space="0"/>
              <w:right w:val="single" w:color="auto" w:sz="4" w:space="0"/>
            </w:tcBorders>
            <w:shd w:val="clear" w:color="auto" w:fill="auto"/>
            <w:vAlign w:val="center"/>
          </w:tcPr>
          <w:p w14:paraId="3D31DE24">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评价定期开展监督检查情况、发现问题整改情况。根据未处理问题比例扣减。根据抽查情况赋分。</w:t>
            </w:r>
          </w:p>
        </w:tc>
        <w:tc>
          <w:tcPr>
            <w:tcW w:w="3591" w:type="dxa"/>
            <w:tcBorders>
              <w:top w:val="nil"/>
              <w:left w:val="nil"/>
              <w:bottom w:val="single" w:color="auto" w:sz="4" w:space="0"/>
              <w:right w:val="single" w:color="auto" w:sz="4" w:space="0"/>
            </w:tcBorders>
            <w:shd w:val="clear" w:color="auto" w:fill="auto"/>
            <w:vAlign w:val="center"/>
          </w:tcPr>
          <w:p w14:paraId="53E52FBD">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1.定期开展项目实施和资金支出进度等跟踪督促情况，落实到位的得2分，未完全落实到位的酌情扣分；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2.跟踪督促及各类检查发现问题整改到位情况，满分5分，根据未整改问题比例扣减；</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3.全国12317防止返贫监测和乡村振兴咨询服务平台（简称12317平台）反馈问题处理情况，满分1分。</w:t>
            </w:r>
          </w:p>
        </w:tc>
      </w:tr>
      <w:tr w14:paraId="042CEC74">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3E32F5F">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8</w:t>
            </w:r>
          </w:p>
        </w:tc>
        <w:tc>
          <w:tcPr>
            <w:tcW w:w="1017" w:type="dxa"/>
            <w:vMerge w:val="continue"/>
            <w:tcBorders>
              <w:top w:val="nil"/>
              <w:left w:val="single" w:color="auto" w:sz="4" w:space="0"/>
              <w:bottom w:val="single" w:color="auto" w:sz="4" w:space="0"/>
              <w:right w:val="single" w:color="auto" w:sz="4" w:space="0"/>
            </w:tcBorders>
            <w:vAlign w:val="center"/>
          </w:tcPr>
          <w:p w14:paraId="1322305B">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29E710EB">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42CAEF6F">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5E27DA72">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评价账务处理，资产转固，收益管理、档案管理等情况。根据抽查情况赋分。</w:t>
            </w:r>
          </w:p>
        </w:tc>
        <w:tc>
          <w:tcPr>
            <w:tcW w:w="3591" w:type="dxa"/>
            <w:tcBorders>
              <w:top w:val="nil"/>
              <w:left w:val="nil"/>
              <w:bottom w:val="single" w:color="auto" w:sz="4" w:space="0"/>
              <w:right w:val="single" w:color="auto" w:sz="4" w:space="0"/>
            </w:tcBorders>
            <w:shd w:val="clear" w:color="auto" w:fill="auto"/>
            <w:vAlign w:val="center"/>
          </w:tcPr>
          <w:p w14:paraId="4BCA612A">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1.财务处理是否规范，原始凭证是否齐全，建成资产是否及时转固、收益管理是否合规；（4分）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2.档案管理是否完整、合规、真实。（1分）</w:t>
            </w:r>
          </w:p>
        </w:tc>
      </w:tr>
      <w:tr w14:paraId="31C4A3DD">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B43ABF7">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9</w:t>
            </w:r>
          </w:p>
        </w:tc>
        <w:tc>
          <w:tcPr>
            <w:tcW w:w="1017" w:type="dxa"/>
            <w:vMerge w:val="continue"/>
            <w:tcBorders>
              <w:top w:val="nil"/>
              <w:left w:val="single" w:color="auto" w:sz="4" w:space="0"/>
              <w:bottom w:val="single" w:color="auto" w:sz="4" w:space="0"/>
              <w:right w:val="single" w:color="auto" w:sz="4" w:space="0"/>
            </w:tcBorders>
            <w:vAlign w:val="center"/>
          </w:tcPr>
          <w:p w14:paraId="03A4A2FA">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4AEA5E90">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4030D99D">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9</w:t>
            </w:r>
          </w:p>
        </w:tc>
        <w:tc>
          <w:tcPr>
            <w:tcW w:w="2762" w:type="dxa"/>
            <w:tcBorders>
              <w:top w:val="nil"/>
              <w:left w:val="nil"/>
              <w:bottom w:val="single" w:color="auto" w:sz="4" w:space="0"/>
              <w:right w:val="single" w:color="auto" w:sz="4" w:space="0"/>
            </w:tcBorders>
            <w:shd w:val="clear" w:color="auto" w:fill="auto"/>
            <w:vAlign w:val="center"/>
          </w:tcPr>
          <w:p w14:paraId="70ED5892">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评价区级、镇级、村级落实《铜梁区财政衔接推进乡村振兴补助资金项目公告公示实施办法》（铜委农办〔2021〕19号）文件要求情况。根据抽查情况赋分。</w:t>
            </w:r>
          </w:p>
        </w:tc>
        <w:tc>
          <w:tcPr>
            <w:tcW w:w="3591" w:type="dxa"/>
            <w:tcBorders>
              <w:top w:val="nil"/>
              <w:left w:val="nil"/>
              <w:bottom w:val="single" w:color="auto" w:sz="4" w:space="0"/>
              <w:right w:val="single" w:color="auto" w:sz="4" w:space="0"/>
            </w:tcBorders>
            <w:shd w:val="clear" w:color="auto" w:fill="auto"/>
            <w:vAlign w:val="center"/>
          </w:tcPr>
          <w:p w14:paraId="4D33CC58">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分区级、镇级、村级进行评价。</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1.抽查区级公示公开情况，满分3分，未完整公开酌情扣分；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2.抽查镇级公示公开情况，满分3分，未完整公开酌情扣分；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3.抽查村级公示公开情况，满分3分，未完整公开酌情扣分。</w:t>
            </w:r>
          </w:p>
        </w:tc>
      </w:tr>
      <w:tr w14:paraId="68869FA8">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4BC5134">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10</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477CC738">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使用成效及通报情况（40分）</w:t>
            </w:r>
          </w:p>
        </w:tc>
        <w:tc>
          <w:tcPr>
            <w:tcW w:w="1049" w:type="dxa"/>
            <w:tcBorders>
              <w:top w:val="nil"/>
              <w:left w:val="nil"/>
              <w:bottom w:val="single" w:color="auto" w:sz="4" w:space="0"/>
              <w:right w:val="single" w:color="auto" w:sz="4" w:space="0"/>
            </w:tcBorders>
            <w:shd w:val="clear" w:color="auto" w:fill="auto"/>
            <w:vAlign w:val="center"/>
          </w:tcPr>
          <w:p w14:paraId="41EC4B62">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40AE9281">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35</w:t>
            </w:r>
          </w:p>
        </w:tc>
        <w:tc>
          <w:tcPr>
            <w:tcW w:w="2762" w:type="dxa"/>
            <w:tcBorders>
              <w:top w:val="nil"/>
              <w:left w:val="nil"/>
              <w:bottom w:val="single" w:color="auto" w:sz="4" w:space="0"/>
              <w:right w:val="single" w:color="auto" w:sz="4" w:space="0"/>
            </w:tcBorders>
            <w:shd w:val="clear" w:color="auto" w:fill="auto"/>
            <w:vAlign w:val="center"/>
          </w:tcPr>
          <w:p w14:paraId="43C05A0C">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评价项目是否达到预期成效，后续管护是否存在问题等。根据抽查情况赋分。</w:t>
            </w:r>
          </w:p>
        </w:tc>
        <w:tc>
          <w:tcPr>
            <w:tcW w:w="3591" w:type="dxa"/>
            <w:tcBorders>
              <w:top w:val="nil"/>
              <w:left w:val="nil"/>
              <w:bottom w:val="single" w:color="auto" w:sz="4" w:space="0"/>
              <w:right w:val="single" w:color="auto" w:sz="4" w:space="0"/>
            </w:tcBorders>
            <w:shd w:val="clear" w:color="auto" w:fill="auto"/>
            <w:vAlign w:val="center"/>
          </w:tcPr>
          <w:p w14:paraId="48F1C5BE">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满分35分，根据抽查项目情况赋分。项目管理各环节，每存在一例不符合相关规定的，扣0.5分，扣完为止。</w:t>
            </w:r>
          </w:p>
        </w:tc>
      </w:tr>
      <w:tr w14:paraId="44543DBC">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80D71BA">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11</w:t>
            </w:r>
          </w:p>
        </w:tc>
        <w:tc>
          <w:tcPr>
            <w:tcW w:w="1017" w:type="dxa"/>
            <w:vMerge w:val="continue"/>
            <w:tcBorders>
              <w:top w:val="nil"/>
              <w:left w:val="single" w:color="auto" w:sz="4" w:space="0"/>
              <w:bottom w:val="single" w:color="auto" w:sz="4" w:space="0"/>
              <w:right w:val="single" w:color="auto" w:sz="4" w:space="0"/>
            </w:tcBorders>
            <w:vAlign w:val="center"/>
          </w:tcPr>
          <w:p w14:paraId="31E29235">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05D649C">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523B9144">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13FA8417">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评价日常表现情况。</w:t>
            </w:r>
          </w:p>
        </w:tc>
        <w:tc>
          <w:tcPr>
            <w:tcW w:w="3591" w:type="dxa"/>
            <w:tcBorders>
              <w:top w:val="nil"/>
              <w:left w:val="nil"/>
              <w:bottom w:val="single" w:color="auto" w:sz="4" w:space="0"/>
              <w:right w:val="single" w:color="auto" w:sz="4" w:space="0"/>
            </w:tcBorders>
            <w:shd w:val="clear" w:color="auto" w:fill="auto"/>
            <w:vAlign w:val="center"/>
          </w:tcPr>
          <w:p w14:paraId="0C8557BB">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29629099">
        <w:tblPrEx>
          <w:tblCellMar>
            <w:top w:w="0" w:type="dxa"/>
            <w:left w:w="108" w:type="dxa"/>
            <w:bottom w:w="0" w:type="dxa"/>
            <w:right w:w="108" w:type="dxa"/>
          </w:tblCellMar>
        </w:tblPrEx>
        <w:trPr>
          <w:cantSplit/>
          <w:trHeight w:val="134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E107CD0">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12</w:t>
            </w:r>
          </w:p>
        </w:tc>
        <w:tc>
          <w:tcPr>
            <w:tcW w:w="1017" w:type="dxa"/>
            <w:vMerge w:val="restart"/>
            <w:tcBorders>
              <w:top w:val="nil"/>
              <w:left w:val="single" w:color="auto" w:sz="4" w:space="0"/>
              <w:bottom w:val="single" w:color="000000" w:sz="4" w:space="0"/>
              <w:right w:val="single" w:color="auto" w:sz="4" w:space="0"/>
            </w:tcBorders>
            <w:shd w:val="clear" w:color="auto" w:fill="auto"/>
            <w:vAlign w:val="center"/>
          </w:tcPr>
          <w:p w14:paraId="5D2FA1E4">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加减分指标</w:t>
            </w:r>
          </w:p>
        </w:tc>
        <w:tc>
          <w:tcPr>
            <w:tcW w:w="1049" w:type="dxa"/>
            <w:tcBorders>
              <w:top w:val="nil"/>
              <w:left w:val="nil"/>
              <w:bottom w:val="single" w:color="auto" w:sz="4" w:space="0"/>
              <w:right w:val="single" w:color="auto" w:sz="4" w:space="0"/>
            </w:tcBorders>
            <w:shd w:val="clear" w:color="auto" w:fill="auto"/>
            <w:vAlign w:val="center"/>
          </w:tcPr>
          <w:p w14:paraId="56A8F88D">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加分项</w:t>
            </w:r>
          </w:p>
        </w:tc>
        <w:tc>
          <w:tcPr>
            <w:tcW w:w="536" w:type="dxa"/>
            <w:tcBorders>
              <w:top w:val="nil"/>
              <w:left w:val="nil"/>
              <w:bottom w:val="single" w:color="auto" w:sz="4" w:space="0"/>
              <w:right w:val="single" w:color="auto" w:sz="4" w:space="0"/>
            </w:tcBorders>
            <w:shd w:val="clear" w:color="auto" w:fill="auto"/>
            <w:vAlign w:val="center"/>
          </w:tcPr>
          <w:p w14:paraId="7504B102">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20B14F10">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评价机制创新情况。最高加5分。</w:t>
            </w:r>
          </w:p>
        </w:tc>
        <w:tc>
          <w:tcPr>
            <w:tcW w:w="3591" w:type="dxa"/>
            <w:tcBorders>
              <w:top w:val="nil"/>
              <w:left w:val="nil"/>
              <w:bottom w:val="single" w:color="auto" w:sz="4" w:space="0"/>
              <w:right w:val="single" w:color="auto" w:sz="4" w:space="0"/>
            </w:tcBorders>
            <w:shd w:val="clear" w:color="auto" w:fill="auto"/>
            <w:vAlign w:val="center"/>
          </w:tcPr>
          <w:p w14:paraId="4034B08F">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1.在财政衔接资金分配、使用、监管等方面存在机制创新；（2分）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2.国家、市级对我区财政衔接资金绩效评价中，被财政部、国家乡村振兴局及其第三方总结经验做法，并调研推广的。（3分）</w:t>
            </w:r>
          </w:p>
        </w:tc>
      </w:tr>
      <w:tr w14:paraId="5B87CE27">
        <w:tblPrEx>
          <w:tblCellMar>
            <w:top w:w="0" w:type="dxa"/>
            <w:left w:w="108" w:type="dxa"/>
            <w:bottom w:w="0" w:type="dxa"/>
            <w:right w:w="108" w:type="dxa"/>
          </w:tblCellMar>
        </w:tblPrEx>
        <w:trPr>
          <w:cantSplit/>
          <w:trHeight w:val="8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D7E21F4">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13</w:t>
            </w:r>
          </w:p>
        </w:tc>
        <w:tc>
          <w:tcPr>
            <w:tcW w:w="1017" w:type="dxa"/>
            <w:vMerge w:val="continue"/>
            <w:tcBorders>
              <w:top w:val="nil"/>
              <w:left w:val="single" w:color="auto" w:sz="4" w:space="0"/>
              <w:bottom w:val="single" w:color="000000" w:sz="4" w:space="0"/>
              <w:right w:val="single" w:color="auto" w:sz="4" w:space="0"/>
            </w:tcBorders>
            <w:vAlign w:val="center"/>
          </w:tcPr>
          <w:p w14:paraId="510FD04A">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2309144F">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扣分项</w:t>
            </w:r>
          </w:p>
        </w:tc>
        <w:tc>
          <w:tcPr>
            <w:tcW w:w="536" w:type="dxa"/>
            <w:tcBorders>
              <w:top w:val="nil"/>
              <w:left w:val="nil"/>
              <w:bottom w:val="single" w:color="auto" w:sz="4" w:space="0"/>
              <w:right w:val="single" w:color="auto" w:sz="4" w:space="0"/>
            </w:tcBorders>
            <w:shd w:val="clear" w:color="auto" w:fill="auto"/>
            <w:vAlign w:val="center"/>
          </w:tcPr>
          <w:p w14:paraId="331BAD82">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10</w:t>
            </w:r>
          </w:p>
        </w:tc>
        <w:tc>
          <w:tcPr>
            <w:tcW w:w="2762" w:type="dxa"/>
            <w:tcBorders>
              <w:top w:val="nil"/>
              <w:left w:val="nil"/>
              <w:bottom w:val="single" w:color="auto" w:sz="4" w:space="0"/>
              <w:right w:val="single" w:color="auto" w:sz="4" w:space="0"/>
            </w:tcBorders>
            <w:shd w:val="clear" w:color="auto" w:fill="auto"/>
            <w:vAlign w:val="center"/>
          </w:tcPr>
          <w:p w14:paraId="51B30055">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反映提供材料的真实性，有效性以及相关工作合法合规情况。（用于负面清单事项）</w:t>
            </w:r>
          </w:p>
        </w:tc>
        <w:tc>
          <w:tcPr>
            <w:tcW w:w="3591" w:type="dxa"/>
            <w:tcBorders>
              <w:top w:val="nil"/>
              <w:left w:val="nil"/>
              <w:bottom w:val="single" w:color="auto" w:sz="4" w:space="0"/>
              <w:right w:val="single" w:color="auto" w:sz="4" w:space="0"/>
            </w:tcBorders>
            <w:shd w:val="clear" w:color="auto" w:fill="auto"/>
            <w:vAlign w:val="center"/>
          </w:tcPr>
          <w:p w14:paraId="13B03810">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考核材料、数据中存在虚假信息的，或经有关部门监督检查发现问题的，视情节严重程度扣1-10分。</w:t>
            </w:r>
          </w:p>
        </w:tc>
      </w:tr>
    </w:tbl>
    <w:p w14:paraId="7B17D153">
      <w:pPr>
        <w:spacing w:before="120" w:beforeLines="50" w:line="360" w:lineRule="auto"/>
        <w:ind w:firstLine="482" w:firstLineChars="200"/>
        <w:jc w:val="left"/>
        <w:outlineLvl w:val="0"/>
        <w:rPr>
          <w:rFonts w:ascii="Arial Narrow" w:hAnsi="Arial Narrow" w:eastAsia="仿宋_GB2312"/>
          <w:b/>
          <w:sz w:val="24"/>
        </w:rPr>
      </w:pPr>
      <w:bookmarkStart w:id="16" w:name="_Toc169624365"/>
      <w:r>
        <w:rPr>
          <w:rFonts w:ascii="Arial Narrow" w:hAnsi="Arial Narrow" w:eastAsia="仿宋_GB2312"/>
          <w:b/>
          <w:sz w:val="24"/>
        </w:rPr>
        <w:t>（五）绩效评价标准和评价方法</w:t>
      </w:r>
      <w:bookmarkEnd w:id="16"/>
    </w:p>
    <w:p w14:paraId="093BA514">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绩效评价标准</w:t>
      </w:r>
    </w:p>
    <w:p w14:paraId="48C93FBE">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绩效评价标准采用定量评分，满分为100分。指标分值我们是根据确定的指标内容及项目实施的具体情况综合分析确定的，详见附件。</w:t>
      </w:r>
    </w:p>
    <w:p w14:paraId="28249105">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绩效评价结果分为优（得分</w:t>
      </w:r>
      <w:bookmarkStart w:id="17" w:name="_Hlk162596803"/>
      <w:r>
        <w:rPr>
          <w:rFonts w:ascii="Arial Narrow" w:hAnsi="Arial Narrow" w:eastAsia="仿宋_GB2312"/>
          <w:color w:val="auto"/>
        </w:rPr>
        <w:t>≥90</w:t>
      </w:r>
      <w:bookmarkEnd w:id="17"/>
      <w:r>
        <w:rPr>
          <w:rFonts w:ascii="Arial Narrow" w:hAnsi="Arial Narrow" w:eastAsia="仿宋_GB2312"/>
          <w:color w:val="auto"/>
        </w:rPr>
        <w:t>）、良</w:t>
      </w:r>
      <w:bookmarkStart w:id="18" w:name="_Hlk168473502"/>
      <w:r>
        <w:rPr>
          <w:rFonts w:ascii="Arial Narrow" w:hAnsi="Arial Narrow" w:eastAsia="仿宋_GB2312"/>
          <w:color w:val="auto"/>
        </w:rPr>
        <w:t>（90＞得分≥80）</w:t>
      </w:r>
      <w:bookmarkEnd w:id="18"/>
      <w:r>
        <w:rPr>
          <w:rFonts w:ascii="Arial Narrow" w:hAnsi="Arial Narrow" w:eastAsia="仿宋_GB2312"/>
          <w:color w:val="auto"/>
        </w:rPr>
        <w:t>、中（80＞得分≥60）、差（得分＜60）四个等级，按百分制综合得分高低按分值划段确定。</w:t>
      </w:r>
    </w:p>
    <w:p w14:paraId="4257A79C">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绩效评价方法</w:t>
      </w:r>
    </w:p>
    <w:p w14:paraId="440E45EA">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绩效评价技术方法主要有成本效益分析法、比较法、因素分析法、最低成本法、公众评判法等。</w:t>
      </w:r>
    </w:p>
    <w:p w14:paraId="258388F4">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成本效益分析法。是指将一定时期内的支出与效益进行对比分析，以评价绩效目标的实现程度。</w:t>
      </w:r>
    </w:p>
    <w:p w14:paraId="242E20A5">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比较法。是指通过对绩效目标与实施效果、历史与当期情况、不同部门和地区同类支出的比较，综合分析绩效目标实现程度。</w:t>
      </w:r>
    </w:p>
    <w:p w14:paraId="335625E2">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因素分析法。是指通过综合分析影响绩效目标实现、实施效果的内外因素，评价绩效目标实现程度。</w:t>
      </w:r>
    </w:p>
    <w:p w14:paraId="65624E64">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最低成本法。是指对效益确定不易计量的多个同类对象的实施成本进行比较，评价绩效目标实现程度。</w:t>
      </w:r>
    </w:p>
    <w:p w14:paraId="13FF7E6E">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公众评判法。是指通过专家评估、公众问卷及抽样调查等对预算支出效果进行评判，评价绩效目标实现程度。</w:t>
      </w:r>
    </w:p>
    <w:p w14:paraId="0BFD825B">
      <w:pPr>
        <w:spacing w:line="360" w:lineRule="auto"/>
        <w:ind w:firstLine="482" w:firstLineChars="200"/>
        <w:jc w:val="left"/>
        <w:outlineLvl w:val="0"/>
        <w:rPr>
          <w:rFonts w:ascii="Arial Narrow" w:hAnsi="Arial Narrow" w:eastAsia="仿宋_GB2312"/>
          <w:b/>
          <w:sz w:val="24"/>
        </w:rPr>
      </w:pPr>
      <w:bookmarkStart w:id="19" w:name="_Toc437528932"/>
      <w:bookmarkStart w:id="20" w:name="_Toc169624366"/>
      <w:r>
        <w:rPr>
          <w:rFonts w:ascii="Arial Narrow" w:hAnsi="Arial Narrow" w:eastAsia="仿宋_GB2312"/>
          <w:b/>
          <w:sz w:val="24"/>
        </w:rPr>
        <w:t>（六）绩效评价</w:t>
      </w:r>
      <w:bookmarkEnd w:id="19"/>
      <w:r>
        <w:rPr>
          <w:rFonts w:ascii="Arial Narrow" w:hAnsi="Arial Narrow" w:eastAsia="仿宋_GB2312"/>
          <w:b/>
          <w:sz w:val="24"/>
        </w:rPr>
        <w:t>工作过程</w:t>
      </w:r>
      <w:bookmarkEnd w:id="20"/>
    </w:p>
    <w:p w14:paraId="43BED8BD">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1.经铜梁区财政局确定为“2023年财政专项衔接资金项目”项目绩效评价服务单位后我所</w:t>
      </w:r>
      <w:r>
        <w:rPr>
          <w:rFonts w:ascii="Arial Narrow" w:hAnsi="Arial Narrow" w:eastAsia="仿宋_GB2312"/>
          <w:color w:val="auto"/>
        </w:rPr>
        <w:t>成立</w:t>
      </w:r>
      <w:r>
        <w:rPr>
          <w:rFonts w:hint="eastAsia" w:ascii="Arial Narrow" w:hAnsi="Arial Narrow" w:eastAsia="仿宋_GB2312"/>
          <w:color w:val="auto"/>
        </w:rPr>
        <w:t>了</w:t>
      </w:r>
      <w:r>
        <w:rPr>
          <w:rFonts w:ascii="Arial Narrow" w:hAnsi="Arial Narrow" w:eastAsia="仿宋_GB2312"/>
          <w:color w:val="auto"/>
        </w:rPr>
        <w:t>绩效</w:t>
      </w:r>
      <w:r>
        <w:rPr>
          <w:rFonts w:hint="eastAsia" w:ascii="Arial Narrow" w:hAnsi="Arial Narrow" w:eastAsia="仿宋_GB2312"/>
          <w:color w:val="auto"/>
        </w:rPr>
        <w:t>评价</w:t>
      </w:r>
      <w:r>
        <w:rPr>
          <w:rFonts w:ascii="Arial Narrow" w:hAnsi="Arial Narrow" w:eastAsia="仿宋_GB2312"/>
          <w:color w:val="auto"/>
        </w:rPr>
        <w:t>工作小组。</w:t>
      </w:r>
    </w:p>
    <w:p w14:paraId="21573FDA">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2.根据项目实际情况收集项目基础资料及数据深入了解项目整体情况。</w:t>
      </w:r>
    </w:p>
    <w:p w14:paraId="41DA217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3.组织实施现场调查、检查、走访等具体工作。</w:t>
      </w:r>
    </w:p>
    <w:p w14:paraId="5C9A9CD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4.依据收集到的项目相关资料和数据，比照经贵单位审定的评价指标体系的评分标准，分别对项目评价打分，汇总后加权平均形成综合评价得分，并对该项目的绩效评价等级进行确认。</w:t>
      </w:r>
    </w:p>
    <w:p w14:paraId="431D0FB1">
      <w:pPr>
        <w:spacing w:line="360" w:lineRule="auto"/>
        <w:ind w:firstLine="482" w:firstLineChars="200"/>
        <w:jc w:val="left"/>
        <w:outlineLvl w:val="0"/>
        <w:rPr>
          <w:rFonts w:ascii="Arial Narrow" w:hAnsi="Arial Narrow" w:eastAsia="仿宋_GB2312"/>
          <w:b/>
          <w:sz w:val="24"/>
        </w:rPr>
      </w:pPr>
      <w:bookmarkStart w:id="21" w:name="_Toc437528933"/>
      <w:bookmarkStart w:id="22" w:name="_Toc169624367"/>
      <w:r>
        <w:rPr>
          <w:rFonts w:ascii="Arial Narrow" w:hAnsi="Arial Narrow" w:eastAsia="仿宋_GB2312"/>
          <w:b/>
          <w:sz w:val="24"/>
        </w:rPr>
        <w:t>三、</w:t>
      </w:r>
      <w:r>
        <w:rPr>
          <w:rFonts w:hint="eastAsia" w:ascii="Arial Narrow" w:hAnsi="Arial Narrow" w:eastAsia="仿宋_GB2312"/>
          <w:b/>
          <w:sz w:val="24"/>
        </w:rPr>
        <w:t>项目</w:t>
      </w:r>
      <w:r>
        <w:rPr>
          <w:rFonts w:ascii="Arial Narrow" w:hAnsi="Arial Narrow" w:eastAsia="仿宋_GB2312"/>
          <w:b/>
          <w:sz w:val="24"/>
        </w:rPr>
        <w:t>评价</w:t>
      </w:r>
      <w:bookmarkEnd w:id="21"/>
      <w:r>
        <w:rPr>
          <w:rFonts w:ascii="Arial Narrow" w:hAnsi="Arial Narrow" w:eastAsia="仿宋_GB2312"/>
          <w:b/>
          <w:sz w:val="24"/>
        </w:rPr>
        <w:t>结论</w:t>
      </w:r>
      <w:bookmarkEnd w:id="22"/>
    </w:p>
    <w:p w14:paraId="303406D3">
      <w:pPr>
        <w:spacing w:line="360" w:lineRule="auto"/>
        <w:ind w:left="420" w:leftChars="200"/>
        <w:jc w:val="left"/>
        <w:rPr>
          <w:rFonts w:ascii="Arial Narrow" w:hAnsi="Arial Narrow" w:eastAsia="仿宋_GB2312" w:cs="宋体"/>
          <w:kern w:val="0"/>
          <w:sz w:val="24"/>
        </w:rPr>
      </w:pPr>
      <w:r>
        <w:rPr>
          <w:rFonts w:hint="eastAsia" w:ascii="Arial Narrow" w:hAnsi="Arial Narrow" w:eastAsia="仿宋_GB2312" w:cs="宋体"/>
          <w:kern w:val="0"/>
          <w:sz w:val="24"/>
        </w:rPr>
        <w:t>小林镇鱼龙村长五间蔬菜基地建设项目</w:t>
      </w:r>
      <w:r>
        <w:rPr>
          <w:rFonts w:ascii="Arial Narrow" w:hAnsi="Arial Narrow" w:eastAsia="仿宋_GB2312" w:cs="宋体"/>
          <w:kern w:val="0"/>
          <w:sz w:val="24"/>
        </w:rPr>
        <w:t>绩效评价得分</w:t>
      </w:r>
      <w:r>
        <w:rPr>
          <w:rFonts w:hint="eastAsia" w:ascii="Arial Narrow" w:hAnsi="Arial Narrow" w:eastAsia="仿宋_GB2312" w:cs="宋体"/>
          <w:kern w:val="0"/>
          <w:sz w:val="24"/>
        </w:rPr>
        <w:t>97.00</w:t>
      </w:r>
      <w:r>
        <w:rPr>
          <w:rFonts w:ascii="Arial Narrow" w:hAnsi="Arial Narrow" w:eastAsia="仿宋_GB2312" w:cs="宋体"/>
          <w:kern w:val="0"/>
          <w:sz w:val="24"/>
        </w:rPr>
        <w:t>分，绩效评价等级为：</w:t>
      </w:r>
      <w:r>
        <w:rPr>
          <w:rFonts w:hint="eastAsia" w:ascii="Arial Narrow" w:hAnsi="Arial Narrow" w:eastAsia="仿宋_GB2312" w:cs="宋体"/>
          <w:kern w:val="0"/>
          <w:sz w:val="24"/>
        </w:rPr>
        <w:t>优。</w:t>
      </w:r>
    </w:p>
    <w:p w14:paraId="34318D30">
      <w:pPr>
        <w:spacing w:line="360" w:lineRule="auto"/>
        <w:ind w:firstLine="482" w:firstLineChars="200"/>
        <w:outlineLvl w:val="0"/>
        <w:rPr>
          <w:rFonts w:ascii="Arial Narrow" w:hAnsi="Arial Narrow" w:eastAsia="仿宋_GB2312"/>
          <w:b/>
          <w:sz w:val="24"/>
        </w:rPr>
      </w:pPr>
      <w:bookmarkStart w:id="23" w:name="_Toc169624368"/>
      <w:r>
        <w:rPr>
          <w:rFonts w:hint="eastAsia" w:ascii="Arial Narrow" w:hAnsi="Arial Narrow" w:eastAsia="仿宋_GB2312"/>
          <w:b/>
          <w:sz w:val="24"/>
        </w:rPr>
        <w:t>四、</w:t>
      </w:r>
      <w:r>
        <w:rPr>
          <w:rFonts w:ascii="Arial Narrow" w:hAnsi="Arial Narrow" w:eastAsia="仿宋_GB2312"/>
          <w:b/>
          <w:sz w:val="24"/>
        </w:rPr>
        <w:t>综合评价情况</w:t>
      </w:r>
      <w:bookmarkEnd w:id="23"/>
    </w:p>
    <w:p w14:paraId="18264924">
      <w:pPr>
        <w:spacing w:line="360" w:lineRule="auto"/>
        <w:ind w:firstLine="482" w:firstLineChars="200"/>
        <w:jc w:val="left"/>
        <w:outlineLvl w:val="0"/>
        <w:rPr>
          <w:rFonts w:ascii="仿宋_GB2312" w:eastAsia="仿宋_GB2312"/>
          <w:b/>
          <w:sz w:val="24"/>
        </w:rPr>
      </w:pPr>
      <w:bookmarkStart w:id="24" w:name="_Toc169624369"/>
      <w:r>
        <w:rPr>
          <w:rFonts w:hint="eastAsia" w:ascii="仿宋_GB2312" w:eastAsia="仿宋_GB2312"/>
          <w:b/>
          <w:sz w:val="24"/>
        </w:rPr>
        <w:t>（一）资金管理</w:t>
      </w:r>
      <w:bookmarkEnd w:id="24"/>
    </w:p>
    <w:p w14:paraId="3FA91A2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1.财政衔接资金安排情况</w:t>
      </w:r>
    </w:p>
    <w:p w14:paraId="2D1C619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按照《重庆市财政局关于提前下达2023年市财政衔接推进乡村振兴补助资金预算的通知》(渝财农〔2022〕146)、《重庆市铜梁区财政局关于提前下达2023年中央财政衔接推进乡村振兴补助资金预算的通知》（铜财〔2022〕550号）、《重庆市铜梁区财政局关于下达2023年区级财政衔接推进乡村振兴补助资金预算的通知》(铜财〔2023〕46号)等相关政策性文件规定落实衔接资金。</w:t>
      </w:r>
    </w:p>
    <w:p w14:paraId="42734D0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2.资金分解下达进度</w:t>
      </w:r>
    </w:p>
    <w:p w14:paraId="3D1B80A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该项目资金从区财政局下达资金文件时间到区级业务主管部门下达项目及资金计划文件时间间隔小于30天。</w:t>
      </w:r>
    </w:p>
    <w:p w14:paraId="629F2F60">
      <w:pPr>
        <w:spacing w:line="360" w:lineRule="auto"/>
        <w:ind w:firstLine="482" w:firstLineChars="200"/>
        <w:jc w:val="left"/>
        <w:outlineLvl w:val="0"/>
        <w:rPr>
          <w:rFonts w:ascii="仿宋_GB2312" w:eastAsia="仿宋_GB2312"/>
          <w:b/>
          <w:sz w:val="24"/>
        </w:rPr>
      </w:pPr>
      <w:bookmarkStart w:id="25" w:name="_Toc169624370"/>
      <w:r>
        <w:rPr>
          <w:rFonts w:hint="eastAsia" w:ascii="仿宋_GB2312" w:eastAsia="仿宋_GB2312"/>
          <w:b/>
          <w:sz w:val="24"/>
        </w:rPr>
        <w:t>（二）项目管理</w:t>
      </w:r>
      <w:bookmarkEnd w:id="25"/>
    </w:p>
    <w:p w14:paraId="6CE9179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1.项目库建设管理情况</w:t>
      </w:r>
    </w:p>
    <w:p w14:paraId="5D0BB00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项目入库及时充分、程序规范、内容完整，制定和切合实际的实施方案，具备实施条件，衔接资金未用于项目库之外的项目。</w:t>
      </w:r>
    </w:p>
    <w:p w14:paraId="40B0DC1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2.项目绩效管理情况</w:t>
      </w:r>
    </w:p>
    <w:p w14:paraId="11715BD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kern w:val="0"/>
          <w:sz w:val="24"/>
        </w:rPr>
        <w:t>项目及时制定了明确的绩效目标，实施过程中对绩效目标进行监控，对绩效目标偏离项目采取纠偏措施，在项目实施完毕后开展了绩效自评，并形成绩效自评表、自评报告。</w:t>
      </w:r>
      <w:r>
        <w:rPr>
          <w:rFonts w:hint="eastAsia" w:ascii="Arial Narrow" w:hAnsi="Arial Narrow" w:eastAsia="仿宋_GB2312"/>
          <w:sz w:val="24"/>
        </w:rPr>
        <w:t>项目绩效基本达到预期。</w:t>
      </w:r>
    </w:p>
    <w:p w14:paraId="7596ED3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3.项目建设管理情况</w:t>
      </w:r>
    </w:p>
    <w:p w14:paraId="71583BF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项目实施方案不存在变更情况，实施过程中由重庆市铜梁区小林镇人民政府进行监督检查，检查中未发现重大问题，项目按照实施节点按时提交项目报账资料。</w:t>
      </w:r>
    </w:p>
    <w:p w14:paraId="5E85EA2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4.预算执行率情况</w:t>
      </w:r>
    </w:p>
    <w:p w14:paraId="4774C4B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该项目12月中旬资金预算执行率才达到100%。</w:t>
      </w:r>
    </w:p>
    <w:p w14:paraId="573A42C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5.跟踪督促及发现问题整改情况</w:t>
      </w:r>
    </w:p>
    <w:p w14:paraId="53BF5D8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通过实施单位提供的监控表、自评表等资料显示，本项目实施单位定期开展项目实施和资金支出进度等跟踪督促，跟踪督促及各类检查发现问题整改到位。</w:t>
      </w:r>
    </w:p>
    <w:p w14:paraId="432DFD1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6.账务处理及档案管理等情况</w:t>
      </w:r>
    </w:p>
    <w:p w14:paraId="6B00871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未见本项目资金支出的会计凭证，其他档案资料完整。</w:t>
      </w:r>
    </w:p>
    <w:p w14:paraId="2F12380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7.信息公开和公告公示制度落实情况</w:t>
      </w:r>
    </w:p>
    <w:p w14:paraId="771C627D">
      <w:pPr>
        <w:adjustRightInd w:val="0"/>
        <w:snapToGrid w:val="0"/>
        <w:spacing w:line="360" w:lineRule="auto"/>
        <w:ind w:firstLine="480" w:firstLineChars="200"/>
        <w:rPr>
          <w:rFonts w:ascii="Arial Narrow" w:hAnsi="Arial Narrow" w:eastAsia="仿宋_GB2312"/>
          <w:sz w:val="24"/>
        </w:rPr>
      </w:pPr>
      <w:bookmarkStart w:id="26" w:name="_Toc169624371"/>
      <w:r>
        <w:rPr>
          <w:rFonts w:hint="eastAsia" w:ascii="Arial Narrow" w:hAnsi="Arial Narrow" w:eastAsia="仿宋_GB2312"/>
          <w:sz w:val="24"/>
        </w:rPr>
        <w:t>重庆市铜梁区小林镇人民政府对该项目入库情况、资金计划完成情况等进行了公告公示。</w:t>
      </w:r>
    </w:p>
    <w:p w14:paraId="0EC8D5F0">
      <w:pPr>
        <w:spacing w:line="360" w:lineRule="auto"/>
        <w:ind w:firstLine="482" w:firstLineChars="200"/>
        <w:jc w:val="left"/>
        <w:outlineLvl w:val="0"/>
        <w:rPr>
          <w:rFonts w:ascii="仿宋_GB2312" w:eastAsia="仿宋_GB2312"/>
          <w:b/>
          <w:sz w:val="24"/>
        </w:rPr>
      </w:pPr>
      <w:r>
        <w:rPr>
          <w:rFonts w:hint="eastAsia" w:ascii="仿宋_GB2312" w:eastAsia="仿宋_GB2312"/>
          <w:b/>
          <w:sz w:val="24"/>
        </w:rPr>
        <w:t>（三）</w:t>
      </w:r>
      <w:bookmarkEnd w:id="26"/>
      <w:r>
        <w:rPr>
          <w:rFonts w:hint="eastAsia" w:ascii="仿宋_GB2312" w:eastAsia="仿宋_GB2312"/>
          <w:b/>
          <w:sz w:val="24"/>
        </w:rPr>
        <w:t>使用成效及通报情况</w:t>
      </w:r>
    </w:p>
    <w:p w14:paraId="6ED5607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1.资金使用效益</w:t>
      </w:r>
    </w:p>
    <w:p w14:paraId="09A5AD8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项目总体资金均专款专用，完成项目的质量能够达标，完成进行了自评、项目资金完整。</w:t>
      </w:r>
    </w:p>
    <w:p w14:paraId="239F5C6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2.通报情况</w:t>
      </w:r>
    </w:p>
    <w:p w14:paraId="7F3A547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项目实施管理日常表现良好，未被通报和问题反馈情况。</w:t>
      </w:r>
    </w:p>
    <w:p w14:paraId="46AA993A">
      <w:pPr>
        <w:adjustRightInd w:val="0"/>
        <w:snapToGrid w:val="0"/>
        <w:spacing w:line="360" w:lineRule="auto"/>
        <w:ind w:firstLine="482" w:firstLineChars="200"/>
        <w:rPr>
          <w:rFonts w:ascii="Arial Narrow" w:hAnsi="Arial Narrow" w:eastAsia="仿宋_GB2312"/>
          <w:b/>
          <w:sz w:val="24"/>
        </w:rPr>
      </w:pPr>
      <w:r>
        <w:rPr>
          <w:rFonts w:hint="eastAsia" w:ascii="Arial Narrow" w:hAnsi="Arial Narrow" w:eastAsia="仿宋_GB2312"/>
          <w:b/>
          <w:sz w:val="24"/>
        </w:rPr>
        <w:t>五</w:t>
      </w:r>
      <w:r>
        <w:rPr>
          <w:rFonts w:ascii="Arial Narrow" w:hAnsi="Arial Narrow" w:eastAsia="仿宋_GB2312"/>
          <w:b/>
          <w:sz w:val="24"/>
        </w:rPr>
        <w:t>、存在的问题和建议</w:t>
      </w:r>
    </w:p>
    <w:p w14:paraId="062BF40D">
      <w:pPr>
        <w:spacing w:line="360" w:lineRule="auto"/>
        <w:ind w:firstLine="482" w:firstLineChars="200"/>
        <w:jc w:val="left"/>
        <w:outlineLvl w:val="0"/>
        <w:rPr>
          <w:rFonts w:ascii="仿宋_GB2312" w:eastAsia="仿宋_GB2312"/>
          <w:b/>
          <w:sz w:val="24"/>
        </w:rPr>
      </w:pPr>
      <w:bookmarkStart w:id="27" w:name="_Toc169624372"/>
      <w:r>
        <w:rPr>
          <w:rFonts w:hint="eastAsia" w:ascii="仿宋_GB2312" w:eastAsia="仿宋_GB2312"/>
          <w:b/>
          <w:sz w:val="24"/>
        </w:rPr>
        <w:t>（一）存在问题</w:t>
      </w:r>
      <w:bookmarkEnd w:id="27"/>
    </w:p>
    <w:p w14:paraId="58A12B7B">
      <w:pPr>
        <w:adjustRightInd w:val="0"/>
        <w:snapToGrid w:val="0"/>
        <w:spacing w:line="360" w:lineRule="auto"/>
        <w:ind w:firstLine="480" w:firstLineChars="200"/>
        <w:rPr>
          <w:rFonts w:ascii="Arial Narrow" w:hAnsi="Arial Narrow" w:eastAsia="仿宋_GB2312"/>
          <w:sz w:val="24"/>
        </w:rPr>
      </w:pPr>
      <w:bookmarkStart w:id="28" w:name="_Toc169624373"/>
      <w:r>
        <w:rPr>
          <w:rFonts w:hint="eastAsia" w:ascii="Arial Narrow" w:hAnsi="Arial Narrow" w:eastAsia="仿宋_GB2312"/>
          <w:sz w:val="24"/>
        </w:rPr>
        <w:t>部分项目资金支付进度较晚。</w:t>
      </w:r>
    </w:p>
    <w:p w14:paraId="6763F072">
      <w:pPr>
        <w:spacing w:line="360" w:lineRule="auto"/>
        <w:ind w:firstLine="482" w:firstLineChars="200"/>
        <w:jc w:val="left"/>
        <w:outlineLvl w:val="0"/>
        <w:rPr>
          <w:rFonts w:ascii="仿宋_GB2312" w:eastAsia="仿宋_GB2312"/>
          <w:b/>
          <w:sz w:val="24"/>
        </w:rPr>
      </w:pPr>
      <w:r>
        <w:rPr>
          <w:rFonts w:hint="eastAsia" w:ascii="仿宋_GB2312" w:eastAsia="仿宋_GB2312"/>
          <w:b/>
          <w:sz w:val="24"/>
        </w:rPr>
        <w:t>（二）建议</w:t>
      </w:r>
      <w:bookmarkEnd w:id="28"/>
    </w:p>
    <w:p w14:paraId="794E9811">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严格按照财政资金预算执行，及时支付项目资金。</w:t>
      </w:r>
    </w:p>
    <w:p w14:paraId="44152341">
      <w:pPr>
        <w:adjustRightInd w:val="0"/>
        <w:snapToGrid w:val="0"/>
        <w:spacing w:line="360" w:lineRule="auto"/>
        <w:ind w:firstLine="480" w:firstLineChars="200"/>
        <w:rPr>
          <w:rStyle w:val="10"/>
          <w:rFonts w:ascii="Arial Narrow" w:hAnsi="Arial Narrow" w:eastAsia="仿宋_GB2312"/>
          <w:color w:val="auto"/>
          <w:sz w:val="24"/>
          <w:u w:val="none"/>
        </w:rPr>
      </w:pPr>
    </w:p>
    <w:p w14:paraId="791BB805">
      <w:pPr>
        <w:adjustRightInd w:val="0"/>
        <w:snapToGrid w:val="0"/>
        <w:spacing w:line="360" w:lineRule="auto"/>
        <w:ind w:firstLine="420" w:firstLineChars="200"/>
        <w:rPr>
          <w:rStyle w:val="10"/>
          <w:color w:val="auto"/>
          <w:u w:val="none"/>
        </w:rPr>
      </w:pPr>
    </w:p>
    <w:p w14:paraId="047C684A">
      <w:pPr>
        <w:adjustRightInd w:val="0"/>
        <w:snapToGrid w:val="0"/>
        <w:spacing w:line="360" w:lineRule="auto"/>
        <w:rPr>
          <w:rStyle w:val="10"/>
          <w:rFonts w:ascii="Arial Narrow" w:hAnsi="Arial Narrow" w:eastAsia="仿宋_GB2312"/>
          <w:color w:val="auto"/>
          <w:sz w:val="24"/>
          <w:u w:val="none"/>
        </w:rPr>
      </w:pPr>
    </w:p>
    <w:p w14:paraId="2CBA2250">
      <w:pPr>
        <w:adjustRightInd w:val="0"/>
        <w:snapToGrid w:val="0"/>
        <w:spacing w:line="360" w:lineRule="auto"/>
        <w:rPr>
          <w:rStyle w:val="10"/>
          <w:rFonts w:ascii="Arial Narrow" w:hAnsi="Arial Narrow" w:eastAsia="仿宋_GB2312"/>
          <w:color w:val="auto"/>
          <w:sz w:val="24"/>
          <w:u w:val="none"/>
        </w:rPr>
      </w:pPr>
    </w:p>
    <w:p w14:paraId="3D6D0D55">
      <w:pPr>
        <w:adjustRightInd w:val="0"/>
        <w:snapToGrid w:val="0"/>
        <w:spacing w:line="360" w:lineRule="auto"/>
        <w:rPr>
          <w:rStyle w:val="10"/>
          <w:rFonts w:ascii="Arial Narrow" w:hAnsi="Arial Narrow" w:eastAsia="仿宋_GB2312"/>
          <w:color w:val="auto"/>
          <w:sz w:val="24"/>
          <w:u w:val="none"/>
        </w:rPr>
      </w:pPr>
      <w:r>
        <w:rPr>
          <w:rStyle w:val="10"/>
          <w:rFonts w:ascii="Arial Narrow" w:hAnsi="Arial Narrow" w:eastAsia="仿宋_GB2312"/>
          <w:color w:val="auto"/>
          <w:sz w:val="24"/>
          <w:u w:val="none"/>
        </w:rPr>
        <w:t>附件：1、绩效评价指标体系及评分结果表；</w:t>
      </w:r>
    </w:p>
    <w:p w14:paraId="44998851">
      <w:pPr>
        <w:adjustRightInd w:val="0"/>
        <w:snapToGrid w:val="0"/>
        <w:spacing w:line="360" w:lineRule="auto"/>
        <w:ind w:firstLine="720" w:firstLineChars="300"/>
        <w:rPr>
          <w:rStyle w:val="10"/>
          <w:rFonts w:ascii="Arial Narrow" w:hAnsi="Arial Narrow" w:eastAsia="仿宋_GB2312"/>
          <w:color w:val="auto"/>
          <w:sz w:val="24"/>
          <w:u w:val="none"/>
        </w:rPr>
      </w:pPr>
      <w:r>
        <w:rPr>
          <w:rStyle w:val="10"/>
          <w:rFonts w:ascii="Arial Narrow" w:hAnsi="Arial Narrow" w:eastAsia="仿宋_GB2312"/>
          <w:color w:val="auto"/>
          <w:sz w:val="24"/>
          <w:u w:val="none"/>
        </w:rPr>
        <w:t>2、会计师事务所营业执照和资质复印件。</w:t>
      </w:r>
    </w:p>
    <w:p w14:paraId="5FBD7219">
      <w:pPr>
        <w:adjustRightInd w:val="0"/>
        <w:snapToGrid w:val="0"/>
        <w:spacing w:line="360" w:lineRule="auto"/>
        <w:ind w:firstLine="720" w:firstLineChars="300"/>
        <w:rPr>
          <w:rStyle w:val="10"/>
          <w:rFonts w:ascii="Arial Narrow" w:hAnsi="Arial Narrow" w:eastAsia="仿宋_GB2312"/>
          <w:color w:val="auto"/>
          <w:sz w:val="24"/>
          <w:u w:val="none"/>
        </w:rPr>
      </w:pPr>
    </w:p>
    <w:p w14:paraId="6CDFC2C9">
      <w:pPr>
        <w:adjustRightInd w:val="0"/>
        <w:snapToGrid w:val="0"/>
        <w:spacing w:line="360" w:lineRule="auto"/>
        <w:ind w:firstLine="720" w:firstLineChars="300"/>
        <w:rPr>
          <w:rStyle w:val="10"/>
          <w:rFonts w:ascii="Arial Narrow" w:hAnsi="Arial Narrow" w:eastAsia="仿宋_GB2312"/>
          <w:color w:val="auto"/>
          <w:sz w:val="24"/>
          <w:u w:val="none"/>
        </w:rPr>
      </w:pPr>
    </w:p>
    <w:p w14:paraId="537C6188">
      <w:pPr>
        <w:adjustRightInd w:val="0"/>
        <w:snapToGrid w:val="0"/>
        <w:spacing w:line="360" w:lineRule="auto"/>
        <w:ind w:firstLine="720" w:firstLineChars="300"/>
        <w:rPr>
          <w:rStyle w:val="10"/>
          <w:rFonts w:ascii="Arial Narrow" w:hAnsi="Arial Narrow" w:eastAsia="仿宋_GB2312"/>
          <w:color w:val="auto"/>
          <w:sz w:val="24"/>
          <w:u w:val="none"/>
        </w:rPr>
      </w:pPr>
    </w:p>
    <w:p w14:paraId="27AB5B24">
      <w:pPr>
        <w:adjustRightInd w:val="0"/>
        <w:snapToGrid w:val="0"/>
        <w:spacing w:line="360" w:lineRule="auto"/>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重庆铭鸿金全会计师事务所有限责任公司</w:t>
      </w:r>
    </w:p>
    <w:p w14:paraId="725E36C7">
      <w:pPr>
        <w:adjustRightInd w:val="0"/>
        <w:snapToGrid w:val="0"/>
        <w:spacing w:line="360" w:lineRule="auto"/>
        <w:ind w:right="960" w:firstLine="4800" w:firstLineChars="2000"/>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二</w:t>
      </w:r>
      <w:r>
        <w:rPr>
          <w:rStyle w:val="10"/>
          <w:rFonts w:hint="eastAsia" w:ascii="Arial Narrow" w:hAnsi="Arial Narrow" w:eastAsia="仿宋_GB2312"/>
          <w:color w:val="auto"/>
          <w:sz w:val="24"/>
          <w:u w:val="none"/>
          <w:lang w:val="en-US" w:eastAsia="zh-CN"/>
        </w:rPr>
        <w:t>〇</w:t>
      </w:r>
      <w:bookmarkStart w:id="29" w:name="_GoBack"/>
      <w:bookmarkEnd w:id="29"/>
      <w:r>
        <w:rPr>
          <w:rStyle w:val="10"/>
          <w:rFonts w:hint="eastAsia" w:ascii="Arial Narrow" w:hAnsi="Arial Narrow" w:eastAsia="仿宋_GB2312"/>
          <w:color w:val="auto"/>
          <w:sz w:val="24"/>
          <w:u w:val="none"/>
        </w:rPr>
        <w:t>二四年六月二十八日</w:t>
      </w:r>
    </w:p>
    <w:sectPr>
      <w:headerReference r:id="rId7" w:type="default"/>
      <w:footerReference r:id="rId8" w:type="default"/>
      <w:pgSz w:w="11907" w:h="16840" w:orient="landscape"/>
      <w:pgMar w:top="1418" w:right="1418" w:bottom="1134" w:left="1134" w:header="851" w:footer="851" w:gutter="0"/>
      <w:pgNumType w:start="1"/>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788E3">
    <w:pPr>
      <w:pStyle w:val="4"/>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FAD0F">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39992292"/>
      <w:docPartObj>
        <w:docPartGallery w:val="autotext"/>
      </w:docPartObj>
    </w:sdtPr>
    <w:sdtContent>
      <w:p w14:paraId="46A7C0EB">
        <w:pPr>
          <w:pStyle w:val="4"/>
          <w:jc w:val="center"/>
        </w:pPr>
        <w:r>
          <w:fldChar w:fldCharType="begin"/>
        </w:r>
        <w:r>
          <w:instrText xml:space="preserve">PAGE   \* MERGEFORMAT</w:instrText>
        </w:r>
        <w:r>
          <w:fldChar w:fldCharType="separate"/>
        </w:r>
        <w:r>
          <w:t>2</w:t>
        </w:r>
        <w:r>
          <w:fldChar w:fldCharType="end"/>
        </w:r>
      </w:p>
    </w:sdtContent>
  </w:sdt>
  <w:p w14:paraId="1B0F7D68">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F7BDC">
    <w:pPr>
      <w:pStyle w:val="4"/>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E6E64">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22056">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509BA"/>
    <w:rsid w:val="00060BD2"/>
    <w:rsid w:val="00063E0B"/>
    <w:rsid w:val="000769EE"/>
    <w:rsid w:val="000A02F2"/>
    <w:rsid w:val="000A21D2"/>
    <w:rsid w:val="000D1A3B"/>
    <w:rsid w:val="000E4529"/>
    <w:rsid w:val="000E6A52"/>
    <w:rsid w:val="000F5F6F"/>
    <w:rsid w:val="0010003E"/>
    <w:rsid w:val="00104568"/>
    <w:rsid w:val="00143A99"/>
    <w:rsid w:val="00152152"/>
    <w:rsid w:val="00164C87"/>
    <w:rsid w:val="001A42EB"/>
    <w:rsid w:val="001C6F32"/>
    <w:rsid w:val="001E0132"/>
    <w:rsid w:val="001E0520"/>
    <w:rsid w:val="001F3624"/>
    <w:rsid w:val="001F43AE"/>
    <w:rsid w:val="002155C2"/>
    <w:rsid w:val="00216472"/>
    <w:rsid w:val="00224D96"/>
    <w:rsid w:val="00226E7E"/>
    <w:rsid w:val="00276D1C"/>
    <w:rsid w:val="00282997"/>
    <w:rsid w:val="002C083D"/>
    <w:rsid w:val="002C36AE"/>
    <w:rsid w:val="002C5020"/>
    <w:rsid w:val="002C7EFA"/>
    <w:rsid w:val="003108EA"/>
    <w:rsid w:val="00324E2F"/>
    <w:rsid w:val="00331DC5"/>
    <w:rsid w:val="0035515E"/>
    <w:rsid w:val="0037066E"/>
    <w:rsid w:val="00384C3C"/>
    <w:rsid w:val="003879CE"/>
    <w:rsid w:val="003A00D8"/>
    <w:rsid w:val="003B42BF"/>
    <w:rsid w:val="003D77D9"/>
    <w:rsid w:val="0041202B"/>
    <w:rsid w:val="00414A58"/>
    <w:rsid w:val="004200C2"/>
    <w:rsid w:val="00420AA7"/>
    <w:rsid w:val="00421C71"/>
    <w:rsid w:val="004304C9"/>
    <w:rsid w:val="00470930"/>
    <w:rsid w:val="004C1F3A"/>
    <w:rsid w:val="004C38B4"/>
    <w:rsid w:val="004D1145"/>
    <w:rsid w:val="004D2A6E"/>
    <w:rsid w:val="004D4803"/>
    <w:rsid w:val="004E6833"/>
    <w:rsid w:val="004F7A0F"/>
    <w:rsid w:val="00501A64"/>
    <w:rsid w:val="00536985"/>
    <w:rsid w:val="00545DC8"/>
    <w:rsid w:val="00572DD6"/>
    <w:rsid w:val="005A631A"/>
    <w:rsid w:val="005E133F"/>
    <w:rsid w:val="005F01BA"/>
    <w:rsid w:val="0061001E"/>
    <w:rsid w:val="0061417A"/>
    <w:rsid w:val="0061419A"/>
    <w:rsid w:val="00624440"/>
    <w:rsid w:val="00655510"/>
    <w:rsid w:val="00693181"/>
    <w:rsid w:val="0069678B"/>
    <w:rsid w:val="006A58E0"/>
    <w:rsid w:val="006D14F7"/>
    <w:rsid w:val="006D3E06"/>
    <w:rsid w:val="006E75D6"/>
    <w:rsid w:val="006E7DA1"/>
    <w:rsid w:val="006F7CBD"/>
    <w:rsid w:val="0073019B"/>
    <w:rsid w:val="00730A8E"/>
    <w:rsid w:val="00740E9D"/>
    <w:rsid w:val="00741402"/>
    <w:rsid w:val="00761CBF"/>
    <w:rsid w:val="007733F0"/>
    <w:rsid w:val="007A6BE6"/>
    <w:rsid w:val="007C05DC"/>
    <w:rsid w:val="007C6C9C"/>
    <w:rsid w:val="007E03CF"/>
    <w:rsid w:val="00816051"/>
    <w:rsid w:val="008262CC"/>
    <w:rsid w:val="00827385"/>
    <w:rsid w:val="00842151"/>
    <w:rsid w:val="00856815"/>
    <w:rsid w:val="00864F7E"/>
    <w:rsid w:val="0088588F"/>
    <w:rsid w:val="008952B1"/>
    <w:rsid w:val="008D4F7C"/>
    <w:rsid w:val="008E609D"/>
    <w:rsid w:val="0090729E"/>
    <w:rsid w:val="009309C0"/>
    <w:rsid w:val="0093667D"/>
    <w:rsid w:val="00983033"/>
    <w:rsid w:val="00983CB7"/>
    <w:rsid w:val="0099227E"/>
    <w:rsid w:val="009957B8"/>
    <w:rsid w:val="0099666C"/>
    <w:rsid w:val="009C2341"/>
    <w:rsid w:val="009F1C42"/>
    <w:rsid w:val="00A066D6"/>
    <w:rsid w:val="00A14650"/>
    <w:rsid w:val="00A173D2"/>
    <w:rsid w:val="00A352D4"/>
    <w:rsid w:val="00A922C5"/>
    <w:rsid w:val="00A95CA5"/>
    <w:rsid w:val="00AC3880"/>
    <w:rsid w:val="00AD0284"/>
    <w:rsid w:val="00AE470F"/>
    <w:rsid w:val="00AF50E5"/>
    <w:rsid w:val="00AF58DD"/>
    <w:rsid w:val="00B134A6"/>
    <w:rsid w:val="00B25A79"/>
    <w:rsid w:val="00B7289F"/>
    <w:rsid w:val="00B90377"/>
    <w:rsid w:val="00BA0BD0"/>
    <w:rsid w:val="00BA212E"/>
    <w:rsid w:val="00BB3674"/>
    <w:rsid w:val="00BC2692"/>
    <w:rsid w:val="00BC7BED"/>
    <w:rsid w:val="00BD6FFD"/>
    <w:rsid w:val="00BE0FC1"/>
    <w:rsid w:val="00C02FB6"/>
    <w:rsid w:val="00C107C7"/>
    <w:rsid w:val="00C12443"/>
    <w:rsid w:val="00C15C20"/>
    <w:rsid w:val="00C33E5D"/>
    <w:rsid w:val="00C35442"/>
    <w:rsid w:val="00C36A73"/>
    <w:rsid w:val="00C60A62"/>
    <w:rsid w:val="00C7211C"/>
    <w:rsid w:val="00C81287"/>
    <w:rsid w:val="00C85CF0"/>
    <w:rsid w:val="00CA36FC"/>
    <w:rsid w:val="00CB54FB"/>
    <w:rsid w:val="00CC769D"/>
    <w:rsid w:val="00CD3FC6"/>
    <w:rsid w:val="00D1562E"/>
    <w:rsid w:val="00D254D3"/>
    <w:rsid w:val="00D26E16"/>
    <w:rsid w:val="00D40F1F"/>
    <w:rsid w:val="00D415D5"/>
    <w:rsid w:val="00D9153A"/>
    <w:rsid w:val="00DB55F0"/>
    <w:rsid w:val="00E00AC0"/>
    <w:rsid w:val="00E016BD"/>
    <w:rsid w:val="00E065AA"/>
    <w:rsid w:val="00E23D6E"/>
    <w:rsid w:val="00E27A95"/>
    <w:rsid w:val="00E66C12"/>
    <w:rsid w:val="00E709E2"/>
    <w:rsid w:val="00E71632"/>
    <w:rsid w:val="00E756EA"/>
    <w:rsid w:val="00E80BDA"/>
    <w:rsid w:val="00E943ED"/>
    <w:rsid w:val="00EA1C10"/>
    <w:rsid w:val="00EB474C"/>
    <w:rsid w:val="00ED0A8C"/>
    <w:rsid w:val="00EF1282"/>
    <w:rsid w:val="00F06B5C"/>
    <w:rsid w:val="00F36680"/>
    <w:rsid w:val="00F54C3F"/>
    <w:rsid w:val="00F61D28"/>
    <w:rsid w:val="00F64D50"/>
    <w:rsid w:val="00F6551E"/>
    <w:rsid w:val="00F84DF0"/>
    <w:rsid w:val="00F93053"/>
    <w:rsid w:val="00FA6718"/>
    <w:rsid w:val="00FD1A79"/>
    <w:rsid w:val="00FD5F18"/>
    <w:rsid w:val="00FE1E65"/>
    <w:rsid w:val="00FE5705"/>
    <w:rsid w:val="00FF5AA5"/>
    <w:rsid w:val="02717C9D"/>
    <w:rsid w:val="0C955D75"/>
    <w:rsid w:val="10FD0312"/>
    <w:rsid w:val="120E6874"/>
    <w:rsid w:val="178B2902"/>
    <w:rsid w:val="1A693672"/>
    <w:rsid w:val="270731DD"/>
    <w:rsid w:val="357129F4"/>
    <w:rsid w:val="371050B8"/>
    <w:rsid w:val="39937BE0"/>
    <w:rsid w:val="418B32D1"/>
    <w:rsid w:val="45947F31"/>
    <w:rsid w:val="4DF1278B"/>
    <w:rsid w:val="60087B46"/>
    <w:rsid w:val="629B4EDD"/>
    <w:rsid w:val="6C0B4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footer"/>
    <w:basedOn w:val="1"/>
    <w:link w:val="17"/>
    <w:qFormat/>
    <w:uiPriority w:val="99"/>
    <w:pPr>
      <w:tabs>
        <w:tab w:val="center" w:pos="4153"/>
        <w:tab w:val="right" w:pos="8306"/>
      </w:tabs>
      <w:snapToGrid w:val="0"/>
      <w:jc w:val="left"/>
    </w:pPr>
    <w:rPr>
      <w:sz w:val="18"/>
      <w:szCs w:val="18"/>
      <w:lang w:val="zh-CN"/>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6">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7">
    <w:name w:val="annotation subject"/>
    <w:basedOn w:val="3"/>
    <w:next w:val="3"/>
    <w:link w:val="15"/>
    <w:qFormat/>
    <w:uiPriority w:val="0"/>
    <w:rPr>
      <w:b/>
      <w:bCs/>
    </w:rPr>
  </w:style>
  <w:style w:type="character" w:styleId="10">
    <w:name w:val="Hyperlink"/>
    <w:qFormat/>
    <w:uiPriority w:val="99"/>
    <w:rPr>
      <w:color w:val="0000FF"/>
      <w:u w:val="single"/>
    </w:rPr>
  </w:style>
  <w:style w:type="character" w:styleId="11">
    <w:name w:val="annotation reference"/>
    <w:basedOn w:val="9"/>
    <w:uiPriority w:val="0"/>
    <w:rPr>
      <w:sz w:val="21"/>
      <w:szCs w:val="21"/>
    </w:rPr>
  </w:style>
  <w:style w:type="paragraph" w:customStyle="1" w:styleId="12">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4">
    <w:name w:val="批注文字 字符"/>
    <w:basedOn w:val="9"/>
    <w:link w:val="3"/>
    <w:qFormat/>
    <w:uiPriority w:val="0"/>
    <w:rPr>
      <w:kern w:val="2"/>
      <w:sz w:val="21"/>
      <w:szCs w:val="24"/>
    </w:rPr>
  </w:style>
  <w:style w:type="character" w:customStyle="1" w:styleId="15">
    <w:name w:val="批注主题 字符"/>
    <w:basedOn w:val="14"/>
    <w:link w:val="7"/>
    <w:qFormat/>
    <w:uiPriority w:val="0"/>
    <w:rPr>
      <w:b/>
      <w:bCs/>
      <w:kern w:val="2"/>
      <w:sz w:val="21"/>
      <w:szCs w:val="24"/>
    </w:rPr>
  </w:style>
  <w:style w:type="paragraph" w:styleId="16">
    <w:name w:val="List Paragraph"/>
    <w:basedOn w:val="1"/>
    <w:unhideWhenUsed/>
    <w:qFormat/>
    <w:uiPriority w:val="99"/>
    <w:pPr>
      <w:ind w:firstLine="420" w:firstLineChars="200"/>
    </w:pPr>
  </w:style>
  <w:style w:type="character" w:customStyle="1" w:styleId="17">
    <w:name w:val="页脚 字符"/>
    <w:basedOn w:val="9"/>
    <w:link w:val="4"/>
    <w:qFormat/>
    <w:uiPriority w:val="99"/>
    <w:rPr>
      <w:kern w:val="2"/>
      <w:sz w:val="18"/>
      <w:szCs w:val="18"/>
      <w:lang w:val="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00616-A4DC-48FD-B5E0-08469EFDF224}">
  <ds:schemaRefs/>
</ds:datastoreItem>
</file>

<file path=docProps/app.xml><?xml version="1.0" encoding="utf-8"?>
<Properties xmlns="http://schemas.openxmlformats.org/officeDocument/2006/extended-properties" xmlns:vt="http://schemas.openxmlformats.org/officeDocument/2006/docPropsVTypes">
  <Template>Normal</Template>
  <Pages>9</Pages>
  <Words>5261</Words>
  <Characters>5632</Characters>
  <Lines>47</Lines>
  <Paragraphs>13</Paragraphs>
  <TotalTime>484</TotalTime>
  <ScaleCrop>false</ScaleCrop>
  <LinksUpToDate>false</LinksUpToDate>
  <CharactersWithSpaces>5649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2024-06-07T06:02:00Z</cp:lastPrinted>
  <dcterms:modified xsi:type="dcterms:W3CDTF">2024-11-20T01:29:55Z</dcterms:modified>
  <cp:revision>118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