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073011">
      <w:pPr>
        <w:spacing w:line="360" w:lineRule="auto"/>
        <w:ind w:firstLine="723"/>
        <w:jc w:val="center"/>
        <w:rPr>
          <w:rFonts w:hint="default" w:ascii="Arial Narrow" w:hAnsi="Arial Narrow" w:eastAsia="仿宋_GB2312" w:cs="Arial Narrow"/>
          <w:b/>
          <w:bCs/>
          <w:sz w:val="36"/>
          <w:szCs w:val="36"/>
        </w:rPr>
      </w:pPr>
    </w:p>
    <w:p w14:paraId="5B9F3124">
      <w:pPr>
        <w:spacing w:line="360" w:lineRule="auto"/>
        <w:ind w:firstLine="723"/>
        <w:jc w:val="center"/>
        <w:rPr>
          <w:rFonts w:hint="default" w:ascii="Arial Narrow" w:hAnsi="Arial Narrow" w:eastAsia="仿宋_GB2312" w:cs="Arial Narrow"/>
          <w:b/>
          <w:bCs/>
          <w:sz w:val="36"/>
          <w:szCs w:val="36"/>
        </w:rPr>
      </w:pPr>
    </w:p>
    <w:p w14:paraId="5882C3B2">
      <w:pPr>
        <w:spacing w:line="360" w:lineRule="auto"/>
        <w:ind w:firstLine="723"/>
        <w:jc w:val="center"/>
        <w:rPr>
          <w:rFonts w:hint="default" w:ascii="Arial Narrow" w:hAnsi="Arial Narrow" w:eastAsia="仿宋_GB2312" w:cs="Arial Narrow"/>
          <w:b/>
          <w:bCs/>
          <w:sz w:val="36"/>
          <w:szCs w:val="36"/>
        </w:rPr>
      </w:pPr>
    </w:p>
    <w:p w14:paraId="631A444A">
      <w:pPr>
        <w:spacing w:line="360" w:lineRule="auto"/>
        <w:ind w:firstLine="723"/>
        <w:rPr>
          <w:rFonts w:hint="default" w:ascii="Arial Narrow" w:hAnsi="Arial Narrow" w:eastAsia="仿宋_GB2312" w:cs="Arial Narrow"/>
          <w:b/>
          <w:bCs/>
          <w:sz w:val="36"/>
          <w:szCs w:val="36"/>
          <w:highlight w:val="yellow"/>
        </w:rPr>
      </w:pPr>
    </w:p>
    <w:p w14:paraId="2083DEE1">
      <w:pPr>
        <w:adjustRightInd w:val="0"/>
        <w:snapToGrid w:val="0"/>
        <w:spacing w:line="360" w:lineRule="auto"/>
        <w:ind w:firstLine="361" w:firstLineChars="100"/>
        <w:rPr>
          <w:rFonts w:hint="default" w:ascii="Arial Narrow" w:hAnsi="Arial Narrow" w:eastAsia="仿宋_GB2312" w:cs="Arial Narrow"/>
          <w:b/>
          <w:spacing w:val="100"/>
          <w:sz w:val="32"/>
          <w:szCs w:val="32"/>
        </w:rPr>
      </w:pPr>
      <w:r>
        <w:rPr>
          <w:rFonts w:hint="default" w:ascii="Arial Narrow" w:hAnsi="Arial Narrow" w:eastAsia="仿宋_GB2312" w:cs="Arial Narrow"/>
          <w:b/>
          <w:sz w:val="36"/>
          <w:szCs w:val="36"/>
        </w:rPr>
        <w:t>重庆市铜梁区安溪镇人民政府2个项目财政衔接资金</w:t>
      </w:r>
    </w:p>
    <w:p w14:paraId="73594C9F">
      <w:pPr>
        <w:adjustRightInd w:val="0"/>
        <w:snapToGrid w:val="0"/>
        <w:spacing w:line="360" w:lineRule="auto"/>
        <w:ind w:firstLine="723"/>
        <w:jc w:val="center"/>
        <w:rPr>
          <w:rFonts w:hint="default" w:ascii="Arial Narrow" w:hAnsi="Arial Narrow" w:eastAsia="仿宋_GB2312" w:cs="Arial Narrow"/>
          <w:b/>
          <w:sz w:val="36"/>
          <w:szCs w:val="36"/>
        </w:rPr>
      </w:pPr>
    </w:p>
    <w:p w14:paraId="63B44736">
      <w:pPr>
        <w:adjustRightInd w:val="0"/>
        <w:snapToGrid w:val="0"/>
        <w:spacing w:line="360" w:lineRule="auto"/>
        <w:ind w:firstLine="1043"/>
        <w:jc w:val="center"/>
        <w:rPr>
          <w:rFonts w:hint="default" w:ascii="Arial Narrow" w:hAnsi="Arial Narrow" w:eastAsia="仿宋_GB2312" w:cs="Arial Narrow"/>
          <w:b/>
          <w:spacing w:val="100"/>
          <w:sz w:val="32"/>
          <w:szCs w:val="32"/>
        </w:rPr>
      </w:pPr>
    </w:p>
    <w:p w14:paraId="2786C9CB">
      <w:pPr>
        <w:adjustRightInd w:val="0"/>
        <w:snapToGrid w:val="0"/>
        <w:spacing w:line="360" w:lineRule="auto"/>
        <w:ind w:firstLine="1043"/>
        <w:jc w:val="center"/>
        <w:rPr>
          <w:rFonts w:hint="default" w:ascii="Arial Narrow" w:hAnsi="Arial Narrow" w:eastAsia="仿宋_GB2312" w:cs="Arial Narrow"/>
          <w:b/>
          <w:spacing w:val="100"/>
          <w:sz w:val="32"/>
          <w:szCs w:val="32"/>
        </w:rPr>
      </w:pPr>
    </w:p>
    <w:p w14:paraId="2FEB0F92">
      <w:pPr>
        <w:tabs>
          <w:tab w:val="center" w:pos="4393"/>
          <w:tab w:val="left" w:pos="7258"/>
        </w:tabs>
        <w:adjustRightInd w:val="0"/>
        <w:snapToGrid w:val="0"/>
        <w:spacing w:line="360" w:lineRule="auto"/>
        <w:ind w:firstLine="3148" w:firstLineChars="700"/>
        <w:rPr>
          <w:rFonts w:hint="default" w:ascii="Arial Narrow" w:hAnsi="Arial Narrow" w:eastAsia="仿宋_GB2312" w:cs="Arial Narrow"/>
          <w:b/>
          <w:w w:val="102"/>
          <w:sz w:val="44"/>
          <w:szCs w:val="44"/>
        </w:rPr>
      </w:pPr>
      <w:r>
        <w:rPr>
          <w:rFonts w:hint="default" w:ascii="Arial Narrow" w:hAnsi="Arial Narrow" w:eastAsia="仿宋_GB2312" w:cs="Arial Narrow"/>
          <w:b/>
          <w:w w:val="102"/>
          <w:sz w:val="44"/>
          <w:szCs w:val="44"/>
        </w:rPr>
        <w:t>绩效评价</w:t>
      </w:r>
      <w:bookmarkStart w:id="0" w:name="_Toc488637980"/>
      <w:bookmarkStart w:id="1" w:name="_Toc488804777"/>
      <w:r>
        <w:rPr>
          <w:rFonts w:hint="default" w:ascii="Arial Narrow" w:hAnsi="Arial Narrow" w:eastAsia="仿宋_GB2312" w:cs="Arial Narrow"/>
          <w:b/>
          <w:w w:val="102"/>
          <w:sz w:val="44"/>
          <w:szCs w:val="44"/>
        </w:rPr>
        <w:t>报告</w:t>
      </w:r>
    </w:p>
    <w:p w14:paraId="4935E3D3">
      <w:pPr>
        <w:spacing w:line="360" w:lineRule="auto"/>
        <w:ind w:firstLine="2560" w:firstLineChars="800"/>
        <w:rPr>
          <w:rFonts w:hint="default" w:ascii="Arial Narrow" w:hAnsi="Arial Narrow" w:eastAsia="仿宋_GB2312" w:cs="Arial Narrow"/>
          <w:bCs/>
          <w:sz w:val="32"/>
          <w:szCs w:val="32"/>
        </w:rPr>
      </w:pPr>
      <w:r>
        <w:rPr>
          <w:rFonts w:hint="default" w:ascii="Arial Narrow" w:hAnsi="Arial Narrow" w:eastAsia="仿宋_GB2312" w:cs="Arial Narrow"/>
          <w:bCs/>
          <w:sz w:val="32"/>
          <w:szCs w:val="32"/>
        </w:rPr>
        <w:t>铭鸿咨字【2024】第0004号</w:t>
      </w:r>
    </w:p>
    <w:p w14:paraId="1A333DF2">
      <w:pPr>
        <w:adjustRightInd w:val="0"/>
        <w:snapToGrid w:val="0"/>
        <w:spacing w:line="360" w:lineRule="auto"/>
        <w:ind w:firstLine="1043"/>
        <w:jc w:val="center"/>
        <w:rPr>
          <w:rFonts w:hint="default" w:ascii="Arial Narrow" w:hAnsi="Arial Narrow" w:eastAsia="仿宋_GB2312" w:cs="Arial Narrow"/>
          <w:b/>
          <w:spacing w:val="100"/>
          <w:sz w:val="32"/>
          <w:szCs w:val="32"/>
        </w:rPr>
      </w:pPr>
    </w:p>
    <w:p w14:paraId="1B301808">
      <w:pPr>
        <w:adjustRightInd w:val="0"/>
        <w:snapToGrid w:val="0"/>
        <w:spacing w:line="360" w:lineRule="auto"/>
        <w:ind w:firstLine="1043"/>
        <w:jc w:val="center"/>
        <w:rPr>
          <w:rFonts w:hint="default" w:ascii="Arial Narrow" w:hAnsi="Arial Narrow" w:eastAsia="仿宋_GB2312" w:cs="Arial Narrow"/>
          <w:b/>
          <w:spacing w:val="100"/>
          <w:sz w:val="32"/>
          <w:szCs w:val="32"/>
        </w:rPr>
      </w:pPr>
    </w:p>
    <w:p w14:paraId="61076F8C">
      <w:pPr>
        <w:adjustRightInd w:val="0"/>
        <w:snapToGrid w:val="0"/>
        <w:spacing w:line="360" w:lineRule="auto"/>
        <w:ind w:firstLine="1043"/>
        <w:jc w:val="center"/>
        <w:rPr>
          <w:rFonts w:hint="default" w:ascii="Arial Narrow" w:hAnsi="Arial Narrow" w:eastAsia="仿宋_GB2312" w:cs="Arial Narrow"/>
          <w:b/>
          <w:spacing w:val="100"/>
          <w:sz w:val="32"/>
          <w:szCs w:val="32"/>
        </w:rPr>
      </w:pPr>
    </w:p>
    <w:p w14:paraId="29286CEB">
      <w:pPr>
        <w:adjustRightInd w:val="0"/>
        <w:snapToGrid w:val="0"/>
        <w:spacing w:line="360" w:lineRule="auto"/>
        <w:ind w:firstLine="1043"/>
        <w:jc w:val="center"/>
        <w:rPr>
          <w:rFonts w:hint="default" w:ascii="Arial Narrow" w:hAnsi="Arial Narrow" w:eastAsia="仿宋_GB2312" w:cs="Arial Narrow"/>
          <w:b/>
          <w:spacing w:val="100"/>
          <w:sz w:val="32"/>
          <w:szCs w:val="32"/>
        </w:rPr>
      </w:pPr>
    </w:p>
    <w:p w14:paraId="0ED4C96D">
      <w:pPr>
        <w:adjustRightInd w:val="0"/>
        <w:snapToGrid w:val="0"/>
        <w:spacing w:line="360" w:lineRule="auto"/>
        <w:ind w:firstLine="1043"/>
        <w:jc w:val="center"/>
        <w:rPr>
          <w:rFonts w:hint="default" w:ascii="Arial Narrow" w:hAnsi="Arial Narrow" w:eastAsia="仿宋_GB2312" w:cs="Arial Narrow"/>
          <w:b/>
          <w:spacing w:val="100"/>
          <w:sz w:val="32"/>
          <w:szCs w:val="32"/>
        </w:rPr>
      </w:pPr>
    </w:p>
    <w:p w14:paraId="04C9042E">
      <w:pPr>
        <w:adjustRightInd w:val="0"/>
        <w:snapToGrid w:val="0"/>
        <w:spacing w:line="360" w:lineRule="auto"/>
        <w:ind w:firstLine="1043"/>
        <w:jc w:val="center"/>
        <w:rPr>
          <w:rFonts w:hint="default" w:ascii="Arial Narrow" w:hAnsi="Arial Narrow" w:eastAsia="仿宋_GB2312" w:cs="Arial Narrow"/>
          <w:b/>
          <w:spacing w:val="100"/>
          <w:sz w:val="32"/>
          <w:szCs w:val="32"/>
        </w:rPr>
      </w:pPr>
    </w:p>
    <w:p w14:paraId="5504DEA9">
      <w:pPr>
        <w:adjustRightInd w:val="0"/>
        <w:snapToGrid w:val="0"/>
        <w:spacing w:line="360" w:lineRule="auto"/>
        <w:ind w:firstLine="1043"/>
        <w:jc w:val="center"/>
        <w:rPr>
          <w:rFonts w:hint="default" w:ascii="Arial Narrow" w:hAnsi="Arial Narrow" w:eastAsia="仿宋_GB2312" w:cs="Arial Narrow"/>
          <w:b/>
          <w:spacing w:val="100"/>
          <w:sz w:val="32"/>
          <w:szCs w:val="32"/>
        </w:rPr>
      </w:pPr>
    </w:p>
    <w:p w14:paraId="71F4D143">
      <w:pPr>
        <w:spacing w:line="360" w:lineRule="auto"/>
        <w:ind w:firstLine="640"/>
        <w:jc w:val="center"/>
        <w:rPr>
          <w:rFonts w:hint="default" w:ascii="Arial Narrow" w:hAnsi="Arial Narrow" w:eastAsia="仿宋_GB2312" w:cs="Arial Narrow"/>
          <w:sz w:val="32"/>
          <w:szCs w:val="32"/>
        </w:rPr>
      </w:pPr>
    </w:p>
    <w:p w14:paraId="138AB69C">
      <w:pPr>
        <w:spacing w:line="360" w:lineRule="auto"/>
        <w:ind w:firstLine="640"/>
        <w:jc w:val="center"/>
        <w:rPr>
          <w:rFonts w:hint="default" w:ascii="Arial Narrow" w:hAnsi="Arial Narrow" w:eastAsia="仿宋_GB2312" w:cs="Arial Narrow"/>
          <w:sz w:val="32"/>
          <w:szCs w:val="32"/>
        </w:rPr>
      </w:pPr>
    </w:p>
    <w:p w14:paraId="00CACE93">
      <w:pPr>
        <w:spacing w:line="360" w:lineRule="auto"/>
        <w:ind w:firstLine="640"/>
        <w:jc w:val="center"/>
        <w:rPr>
          <w:rFonts w:hint="default" w:ascii="Arial Narrow" w:hAnsi="Arial Narrow" w:eastAsia="仿宋_GB2312" w:cs="Arial Narrow"/>
          <w:sz w:val="32"/>
          <w:szCs w:val="32"/>
        </w:rPr>
      </w:pPr>
    </w:p>
    <w:p w14:paraId="16DF5922">
      <w:pPr>
        <w:spacing w:line="360" w:lineRule="auto"/>
        <w:ind w:firstLine="640"/>
        <w:jc w:val="center"/>
        <w:rPr>
          <w:rFonts w:hint="default" w:ascii="Arial Narrow" w:hAnsi="Arial Narrow" w:eastAsia="仿宋_GB2312" w:cs="Arial Narrow"/>
          <w:sz w:val="32"/>
          <w:szCs w:val="32"/>
        </w:rPr>
      </w:pPr>
    </w:p>
    <w:p w14:paraId="4E2990BA">
      <w:pPr>
        <w:spacing w:line="360" w:lineRule="auto"/>
        <w:ind w:firstLine="640"/>
        <w:jc w:val="center"/>
        <w:rPr>
          <w:rFonts w:hint="default" w:ascii="Arial Narrow" w:hAnsi="Arial Narrow" w:eastAsia="仿宋_GB2312" w:cs="Arial Narrow"/>
          <w:sz w:val="32"/>
          <w:szCs w:val="32"/>
        </w:rPr>
      </w:pPr>
      <w:r>
        <w:rPr>
          <w:rFonts w:hint="default" w:ascii="Arial Narrow" w:hAnsi="Arial Narrow" w:eastAsia="仿宋_GB2312" w:cs="Arial Narrow"/>
          <w:sz w:val="32"/>
          <w:szCs w:val="32"/>
        </w:rPr>
        <w:t>重庆铭鸿金全会计师事务所有限责任公司</w:t>
      </w:r>
    </w:p>
    <w:p w14:paraId="5C51776F">
      <w:pPr>
        <w:spacing w:line="360" w:lineRule="auto"/>
        <w:ind w:firstLine="640"/>
        <w:jc w:val="center"/>
        <w:rPr>
          <w:rFonts w:hint="default" w:ascii="Arial Narrow" w:hAnsi="Arial Narrow" w:eastAsia="仿宋_GB2312" w:cs="Arial Narrow"/>
          <w:sz w:val="44"/>
          <w:szCs w:val="44"/>
        </w:rPr>
      </w:pPr>
      <w:r>
        <w:rPr>
          <w:rFonts w:hint="default" w:ascii="Arial Narrow" w:hAnsi="Arial Narrow" w:eastAsia="仿宋_GB2312" w:cs="Arial Narrow"/>
          <w:sz w:val="32"/>
          <w:szCs w:val="32"/>
        </w:rPr>
        <w:t>二</w:t>
      </w:r>
      <w:r>
        <w:rPr>
          <w:rFonts w:hint="eastAsia" w:ascii="Arial Narrow" w:hAnsi="Arial Narrow" w:eastAsia="仿宋_GB2312" w:cs="Arial Narrow"/>
          <w:sz w:val="32"/>
          <w:szCs w:val="32"/>
          <w:lang w:val="en-US" w:eastAsia="zh-CN"/>
        </w:rPr>
        <w:t>〇</w:t>
      </w:r>
      <w:r>
        <w:rPr>
          <w:rFonts w:hint="default" w:ascii="Arial Narrow" w:hAnsi="Arial Narrow" w:eastAsia="仿宋_GB2312" w:cs="Arial Narrow"/>
          <w:sz w:val="32"/>
          <w:szCs w:val="32"/>
        </w:rPr>
        <w:t>二</w:t>
      </w:r>
      <w:r>
        <w:rPr>
          <w:rFonts w:hint="eastAsia" w:ascii="Arial Narrow" w:hAnsi="Arial Narrow" w:eastAsia="仿宋_GB2312" w:cs="Arial Narrow"/>
          <w:sz w:val="32"/>
          <w:szCs w:val="32"/>
          <w:lang w:eastAsia="zh-CN"/>
        </w:rPr>
        <w:t>四</w:t>
      </w:r>
      <w:r>
        <w:rPr>
          <w:rFonts w:hint="default" w:ascii="Arial Narrow" w:hAnsi="Arial Narrow" w:eastAsia="仿宋_GB2312" w:cs="Arial Narrow"/>
          <w:sz w:val="32"/>
          <w:szCs w:val="32"/>
        </w:rPr>
        <w:t>年六月</w:t>
      </w:r>
      <w:r>
        <w:rPr>
          <w:rFonts w:hint="default" w:ascii="Arial Narrow" w:hAnsi="Arial Narrow" w:eastAsia="仿宋_GB2312" w:cs="Arial Narrow"/>
          <w:b/>
          <w:spacing w:val="100"/>
          <w:sz w:val="52"/>
          <w:szCs w:val="52"/>
        </w:rPr>
        <w:br w:type="page"/>
      </w:r>
      <w:bookmarkEnd w:id="0"/>
      <w:bookmarkEnd w:id="1"/>
      <w:r>
        <w:rPr>
          <w:rFonts w:hint="default" w:ascii="Arial Narrow" w:hAnsi="Arial Narrow" w:eastAsia="仿宋_GB2312" w:cs="Arial Narrow"/>
          <w:sz w:val="44"/>
          <w:szCs w:val="44"/>
        </w:rPr>
        <w:t>目录</w:t>
      </w:r>
    </w:p>
    <w:p w14:paraId="6EB67F7E">
      <w:pPr>
        <w:spacing w:line="360" w:lineRule="auto"/>
        <w:ind w:firstLine="480"/>
        <w:jc w:val="center"/>
        <w:rPr>
          <w:rFonts w:hint="default" w:ascii="Arial Narrow" w:hAnsi="Arial Narrow" w:eastAsia="仿宋_GB2312" w:cs="Arial Narrow"/>
          <w:sz w:val="24"/>
        </w:rPr>
      </w:pPr>
    </w:p>
    <w:p w14:paraId="4C576889">
      <w:pPr>
        <w:pStyle w:val="6"/>
        <w:tabs>
          <w:tab w:val="right" w:leader="dot" w:pos="8788"/>
          <w:tab w:val="clear" w:pos="8778"/>
        </w:tabs>
        <w:rPr>
          <w:rFonts w:hint="default" w:ascii="Arial Narrow" w:hAnsi="Arial Narrow" w:eastAsia="仿宋_GB2312" w:cs="Arial Narrow"/>
          <w:sz w:val="32"/>
          <w:szCs w:val="40"/>
        </w:rPr>
      </w:pPr>
      <w:r>
        <w:rPr>
          <w:rStyle w:val="10"/>
          <w:rFonts w:hint="default" w:ascii="Arial Narrow" w:hAnsi="Arial Narrow" w:eastAsia="仿宋_GB2312" w:cs="Arial Narrow"/>
          <w:b w:val="0"/>
          <w:bCs w:val="0"/>
          <w:color w:val="auto"/>
          <w:sz w:val="32"/>
          <w:szCs w:val="32"/>
          <w:u w:val="none"/>
        </w:rPr>
        <w:fldChar w:fldCharType="begin"/>
      </w:r>
      <w:r>
        <w:rPr>
          <w:rStyle w:val="10"/>
          <w:rFonts w:hint="default" w:ascii="Arial Narrow" w:hAnsi="Arial Narrow" w:eastAsia="仿宋_GB2312" w:cs="Arial Narrow"/>
          <w:b w:val="0"/>
          <w:bCs w:val="0"/>
          <w:color w:val="auto"/>
          <w:sz w:val="32"/>
          <w:szCs w:val="32"/>
          <w:u w:val="none"/>
        </w:rPr>
        <w:instrText xml:space="preserve"> TOC \o "1-3" \h \z \u </w:instrText>
      </w:r>
      <w:r>
        <w:rPr>
          <w:rStyle w:val="10"/>
          <w:rFonts w:hint="default" w:ascii="Arial Narrow" w:hAnsi="Arial Narrow" w:eastAsia="仿宋_GB2312" w:cs="Arial Narrow"/>
          <w:b w:val="0"/>
          <w:bCs w:val="0"/>
          <w:color w:val="auto"/>
          <w:sz w:val="32"/>
          <w:szCs w:val="32"/>
          <w:u w:val="none"/>
        </w:rPr>
        <w:fldChar w:fldCharType="separate"/>
      </w:r>
      <w:r>
        <w:rPr>
          <w:rFonts w:hint="default" w:ascii="Arial Narrow" w:hAnsi="Arial Narrow" w:eastAsia="仿宋_GB2312" w:cs="Arial Narrow"/>
          <w:bCs w:val="0"/>
          <w:color w:val="auto"/>
          <w:sz w:val="32"/>
          <w:szCs w:val="32"/>
          <w:u w:val="none"/>
        </w:rPr>
        <w:fldChar w:fldCharType="begin"/>
      </w:r>
      <w:r>
        <w:rPr>
          <w:rFonts w:hint="default" w:ascii="Arial Narrow" w:hAnsi="Arial Narrow" w:eastAsia="仿宋_GB2312" w:cs="Arial Narrow"/>
          <w:bCs w:val="0"/>
          <w:sz w:val="32"/>
          <w:szCs w:val="32"/>
        </w:rPr>
        <w:instrText xml:space="preserve"> HYPERLINK \l _Toc25024 </w:instrText>
      </w:r>
      <w:r>
        <w:rPr>
          <w:rFonts w:hint="default" w:ascii="Arial Narrow" w:hAnsi="Arial Narrow" w:eastAsia="仿宋_GB2312" w:cs="Arial Narrow"/>
          <w:bCs w:val="0"/>
          <w:sz w:val="32"/>
          <w:szCs w:val="32"/>
        </w:rPr>
        <w:fldChar w:fldCharType="separate"/>
      </w:r>
      <w:r>
        <w:rPr>
          <w:rFonts w:hint="default" w:ascii="Arial Narrow" w:hAnsi="Arial Narrow" w:eastAsia="仿宋_GB2312" w:cs="Arial Narrow"/>
          <w:sz w:val="32"/>
          <w:szCs w:val="40"/>
        </w:rPr>
        <w:t>一、基本情况</w:t>
      </w:r>
      <w:r>
        <w:rPr>
          <w:rFonts w:hint="default" w:ascii="Arial Narrow" w:hAnsi="Arial Narrow" w:eastAsia="仿宋_GB2312" w:cs="Arial Narrow"/>
          <w:sz w:val="32"/>
          <w:szCs w:val="40"/>
        </w:rPr>
        <w:tab/>
      </w:r>
      <w:r>
        <w:rPr>
          <w:rFonts w:hint="default" w:ascii="Arial Narrow" w:hAnsi="Arial Narrow" w:eastAsia="仿宋_GB2312" w:cs="Arial Narrow"/>
          <w:sz w:val="32"/>
          <w:szCs w:val="40"/>
        </w:rPr>
        <w:fldChar w:fldCharType="begin"/>
      </w:r>
      <w:r>
        <w:rPr>
          <w:rFonts w:hint="default" w:ascii="Arial Narrow" w:hAnsi="Arial Narrow" w:eastAsia="仿宋_GB2312" w:cs="Arial Narrow"/>
          <w:sz w:val="32"/>
          <w:szCs w:val="40"/>
        </w:rPr>
        <w:instrText xml:space="preserve"> PAGEREF _Toc25024 \h </w:instrText>
      </w:r>
      <w:r>
        <w:rPr>
          <w:rFonts w:hint="default" w:ascii="Arial Narrow" w:hAnsi="Arial Narrow" w:eastAsia="仿宋_GB2312" w:cs="Arial Narrow"/>
          <w:sz w:val="32"/>
          <w:szCs w:val="40"/>
        </w:rPr>
        <w:fldChar w:fldCharType="separate"/>
      </w:r>
      <w:r>
        <w:rPr>
          <w:rFonts w:hint="default" w:ascii="Arial Narrow" w:hAnsi="Arial Narrow" w:eastAsia="仿宋_GB2312" w:cs="Arial Narrow"/>
          <w:sz w:val="32"/>
          <w:szCs w:val="40"/>
        </w:rPr>
        <w:t>1</w:t>
      </w:r>
      <w:r>
        <w:rPr>
          <w:rFonts w:hint="default" w:ascii="Arial Narrow" w:hAnsi="Arial Narrow" w:eastAsia="仿宋_GB2312" w:cs="Arial Narrow"/>
          <w:sz w:val="32"/>
          <w:szCs w:val="40"/>
        </w:rPr>
        <w:fldChar w:fldCharType="end"/>
      </w:r>
      <w:r>
        <w:rPr>
          <w:rFonts w:hint="default" w:ascii="Arial Narrow" w:hAnsi="Arial Narrow" w:eastAsia="仿宋_GB2312" w:cs="Arial Narrow"/>
          <w:bCs w:val="0"/>
          <w:color w:val="auto"/>
          <w:sz w:val="32"/>
          <w:szCs w:val="32"/>
          <w:u w:val="none"/>
        </w:rPr>
        <w:fldChar w:fldCharType="end"/>
      </w:r>
    </w:p>
    <w:p w14:paraId="5265691B">
      <w:pPr>
        <w:pStyle w:val="6"/>
        <w:tabs>
          <w:tab w:val="right" w:leader="dot" w:pos="8788"/>
          <w:tab w:val="clear" w:pos="8778"/>
        </w:tabs>
        <w:rPr>
          <w:rFonts w:hint="default" w:ascii="Arial Narrow" w:hAnsi="Arial Narrow" w:eastAsia="仿宋_GB2312"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_Toc21780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kern w:val="0"/>
          <w:sz w:val="32"/>
          <w:szCs w:val="40"/>
        </w:rPr>
        <w:t>（一）项目情况</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_Toc21780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1</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1F3F9AA1">
      <w:pPr>
        <w:pStyle w:val="6"/>
        <w:tabs>
          <w:tab w:val="right" w:leader="dot" w:pos="8788"/>
          <w:tab w:val="clear" w:pos="8778"/>
        </w:tabs>
        <w:rPr>
          <w:rFonts w:hint="default" w:ascii="Arial Narrow" w:hAnsi="Arial Narrow" w:eastAsia="仿宋_GB2312" w:cs="Arial Narrow"/>
          <w:sz w:val="32"/>
          <w:szCs w:val="40"/>
        </w:rPr>
      </w:pPr>
      <w:r>
        <w:rPr>
          <w:rFonts w:hint="default" w:ascii="Arial Narrow" w:hAnsi="Arial Narrow" w:eastAsia="仿宋_GB2312" w:cs="Arial Narrow"/>
          <w:color w:val="auto"/>
          <w:sz w:val="32"/>
          <w:szCs w:val="32"/>
          <w:u w:val="none"/>
        </w:rPr>
        <w:fldChar w:fldCharType="begin"/>
      </w:r>
      <w:r>
        <w:rPr>
          <w:rFonts w:hint="default" w:ascii="Arial Narrow" w:hAnsi="Arial Narrow" w:eastAsia="仿宋_GB2312" w:cs="Arial Narrow"/>
          <w:sz w:val="32"/>
          <w:szCs w:val="32"/>
        </w:rPr>
        <w:instrText xml:space="preserve"> HYPERLINK \l _Toc27507 </w:instrText>
      </w:r>
      <w:r>
        <w:rPr>
          <w:rFonts w:hint="default" w:ascii="Arial Narrow" w:hAnsi="Arial Narrow" w:eastAsia="仿宋_GB2312" w:cs="Arial Narrow"/>
          <w:sz w:val="32"/>
          <w:szCs w:val="32"/>
        </w:rPr>
        <w:fldChar w:fldCharType="separate"/>
      </w:r>
      <w:r>
        <w:rPr>
          <w:rFonts w:hint="default" w:ascii="Arial Narrow" w:hAnsi="Arial Narrow" w:eastAsia="仿宋_GB2312" w:cs="Arial Narrow"/>
          <w:sz w:val="32"/>
          <w:szCs w:val="40"/>
        </w:rPr>
        <w:t>二、绩效评价工作情况</w:t>
      </w:r>
      <w:r>
        <w:rPr>
          <w:rFonts w:hint="default" w:ascii="Arial Narrow" w:hAnsi="Arial Narrow" w:eastAsia="仿宋_GB2312" w:cs="Arial Narrow"/>
          <w:sz w:val="32"/>
          <w:szCs w:val="40"/>
        </w:rPr>
        <w:tab/>
      </w:r>
      <w:r>
        <w:rPr>
          <w:rFonts w:hint="default" w:ascii="Arial Narrow" w:hAnsi="Arial Narrow" w:eastAsia="仿宋_GB2312" w:cs="Arial Narrow"/>
          <w:sz w:val="32"/>
          <w:szCs w:val="40"/>
        </w:rPr>
        <w:fldChar w:fldCharType="begin"/>
      </w:r>
      <w:r>
        <w:rPr>
          <w:rFonts w:hint="default" w:ascii="Arial Narrow" w:hAnsi="Arial Narrow" w:eastAsia="仿宋_GB2312" w:cs="Arial Narrow"/>
          <w:sz w:val="32"/>
          <w:szCs w:val="40"/>
        </w:rPr>
        <w:instrText xml:space="preserve"> PAGEREF _Toc27507 \h </w:instrText>
      </w:r>
      <w:r>
        <w:rPr>
          <w:rFonts w:hint="default" w:ascii="Arial Narrow" w:hAnsi="Arial Narrow" w:eastAsia="仿宋_GB2312" w:cs="Arial Narrow"/>
          <w:sz w:val="32"/>
          <w:szCs w:val="40"/>
        </w:rPr>
        <w:fldChar w:fldCharType="separate"/>
      </w:r>
      <w:r>
        <w:rPr>
          <w:rFonts w:hint="default" w:ascii="Arial Narrow" w:hAnsi="Arial Narrow" w:eastAsia="仿宋_GB2312" w:cs="Arial Narrow"/>
          <w:sz w:val="32"/>
          <w:szCs w:val="40"/>
        </w:rPr>
        <w:t>2</w:t>
      </w:r>
      <w:r>
        <w:rPr>
          <w:rFonts w:hint="default" w:ascii="Arial Narrow" w:hAnsi="Arial Narrow" w:eastAsia="仿宋_GB2312" w:cs="Arial Narrow"/>
          <w:sz w:val="32"/>
          <w:szCs w:val="40"/>
        </w:rPr>
        <w:fldChar w:fldCharType="end"/>
      </w:r>
      <w:r>
        <w:rPr>
          <w:rFonts w:hint="default" w:ascii="Arial Narrow" w:hAnsi="Arial Narrow" w:eastAsia="仿宋_GB2312" w:cs="Arial Narrow"/>
          <w:color w:val="auto"/>
          <w:sz w:val="32"/>
          <w:szCs w:val="32"/>
          <w:u w:val="none"/>
        </w:rPr>
        <w:fldChar w:fldCharType="end"/>
      </w:r>
    </w:p>
    <w:p w14:paraId="6192354C">
      <w:pPr>
        <w:pStyle w:val="6"/>
        <w:tabs>
          <w:tab w:val="right" w:leader="dot" w:pos="8788"/>
          <w:tab w:val="clear" w:pos="8778"/>
        </w:tabs>
        <w:rPr>
          <w:rFonts w:hint="default" w:ascii="Arial Narrow" w:hAnsi="Arial Narrow" w:eastAsia="仿宋_GB2312"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_Toc22256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（一）绩效评价目的</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_Toc22256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2</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02053B88">
      <w:pPr>
        <w:pStyle w:val="6"/>
        <w:tabs>
          <w:tab w:val="right" w:leader="dot" w:pos="8788"/>
          <w:tab w:val="clear" w:pos="8778"/>
        </w:tabs>
        <w:rPr>
          <w:rFonts w:hint="default" w:ascii="Arial Narrow" w:hAnsi="Arial Narrow" w:eastAsia="仿宋_GB2312"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_Toc18840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（二）绩效评价的基本内容</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_Toc18840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2</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22584873">
      <w:pPr>
        <w:pStyle w:val="6"/>
        <w:tabs>
          <w:tab w:val="right" w:leader="dot" w:pos="8788"/>
          <w:tab w:val="clear" w:pos="8778"/>
        </w:tabs>
        <w:rPr>
          <w:rFonts w:hint="default" w:ascii="Arial Narrow" w:hAnsi="Arial Narrow" w:eastAsia="仿宋_GB2312"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_Toc20345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（三）绩效评价依据</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_Toc20345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2</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2719691A">
      <w:pPr>
        <w:pStyle w:val="6"/>
        <w:tabs>
          <w:tab w:val="right" w:leader="dot" w:pos="8788"/>
          <w:tab w:val="clear" w:pos="8778"/>
        </w:tabs>
        <w:rPr>
          <w:rFonts w:hint="default" w:ascii="Arial Narrow" w:hAnsi="Arial Narrow" w:eastAsia="仿宋_GB2312"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_Toc27840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（四）绩效评价原则和指标体系</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_Toc27840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2</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58F1D308">
      <w:pPr>
        <w:pStyle w:val="6"/>
        <w:tabs>
          <w:tab w:val="right" w:leader="dot" w:pos="8788"/>
          <w:tab w:val="clear" w:pos="8778"/>
        </w:tabs>
        <w:rPr>
          <w:rFonts w:hint="default" w:ascii="Arial Narrow" w:hAnsi="Arial Narrow" w:eastAsia="仿宋_GB2312"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_Toc28381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（五）绩效评价标准和评价方法</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_Toc28381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5</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52002118">
      <w:pPr>
        <w:pStyle w:val="6"/>
        <w:tabs>
          <w:tab w:val="right" w:leader="dot" w:pos="8788"/>
          <w:tab w:val="clear" w:pos="8778"/>
        </w:tabs>
        <w:rPr>
          <w:rFonts w:hint="default" w:ascii="Arial Narrow" w:hAnsi="Arial Narrow" w:eastAsia="仿宋_GB2312"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_Toc26270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（六）绩效评价工作过程</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_Toc26270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5</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210323FE">
      <w:pPr>
        <w:pStyle w:val="6"/>
        <w:tabs>
          <w:tab w:val="right" w:leader="dot" w:pos="8788"/>
          <w:tab w:val="clear" w:pos="8778"/>
        </w:tabs>
        <w:rPr>
          <w:rFonts w:hint="default" w:ascii="Arial Narrow" w:hAnsi="Arial Narrow" w:eastAsia="仿宋_GB2312" w:cs="Arial Narrow"/>
          <w:sz w:val="32"/>
          <w:szCs w:val="40"/>
        </w:rPr>
      </w:pPr>
      <w:r>
        <w:rPr>
          <w:rFonts w:hint="default" w:ascii="Arial Narrow" w:hAnsi="Arial Narrow" w:eastAsia="仿宋_GB2312" w:cs="Arial Narrow"/>
          <w:color w:val="auto"/>
          <w:sz w:val="32"/>
          <w:szCs w:val="32"/>
          <w:u w:val="none"/>
        </w:rPr>
        <w:fldChar w:fldCharType="begin"/>
      </w:r>
      <w:r>
        <w:rPr>
          <w:rFonts w:hint="default" w:ascii="Arial Narrow" w:hAnsi="Arial Narrow" w:eastAsia="仿宋_GB2312" w:cs="Arial Narrow"/>
          <w:sz w:val="32"/>
          <w:szCs w:val="32"/>
        </w:rPr>
        <w:instrText xml:space="preserve"> HYPERLINK \l _Toc8510 </w:instrText>
      </w:r>
      <w:r>
        <w:rPr>
          <w:rFonts w:hint="default" w:ascii="Arial Narrow" w:hAnsi="Arial Narrow" w:eastAsia="仿宋_GB2312" w:cs="Arial Narrow"/>
          <w:sz w:val="32"/>
          <w:szCs w:val="32"/>
        </w:rPr>
        <w:fldChar w:fldCharType="separate"/>
      </w:r>
      <w:r>
        <w:rPr>
          <w:rFonts w:hint="default" w:ascii="Arial Narrow" w:hAnsi="Arial Narrow" w:eastAsia="仿宋_GB2312" w:cs="Arial Narrow"/>
          <w:sz w:val="32"/>
          <w:szCs w:val="40"/>
        </w:rPr>
        <w:t>三、项目评价结论</w:t>
      </w:r>
      <w:r>
        <w:rPr>
          <w:rFonts w:hint="default" w:ascii="Arial Narrow" w:hAnsi="Arial Narrow" w:eastAsia="仿宋_GB2312" w:cs="Arial Narrow"/>
          <w:sz w:val="32"/>
          <w:szCs w:val="40"/>
        </w:rPr>
        <w:tab/>
      </w:r>
      <w:r>
        <w:rPr>
          <w:rFonts w:hint="default" w:ascii="Arial Narrow" w:hAnsi="Arial Narrow" w:eastAsia="仿宋_GB2312" w:cs="Arial Narrow"/>
          <w:sz w:val="32"/>
          <w:szCs w:val="40"/>
        </w:rPr>
        <w:fldChar w:fldCharType="begin"/>
      </w:r>
      <w:r>
        <w:rPr>
          <w:rFonts w:hint="default" w:ascii="Arial Narrow" w:hAnsi="Arial Narrow" w:eastAsia="仿宋_GB2312" w:cs="Arial Narrow"/>
          <w:sz w:val="32"/>
          <w:szCs w:val="40"/>
        </w:rPr>
        <w:instrText xml:space="preserve"> PAGEREF _Toc8510 \h </w:instrText>
      </w:r>
      <w:r>
        <w:rPr>
          <w:rFonts w:hint="default" w:ascii="Arial Narrow" w:hAnsi="Arial Narrow" w:eastAsia="仿宋_GB2312" w:cs="Arial Narrow"/>
          <w:sz w:val="32"/>
          <w:szCs w:val="40"/>
        </w:rPr>
        <w:fldChar w:fldCharType="separate"/>
      </w:r>
      <w:r>
        <w:rPr>
          <w:rFonts w:hint="default" w:ascii="Arial Narrow" w:hAnsi="Arial Narrow" w:eastAsia="仿宋_GB2312" w:cs="Arial Narrow"/>
          <w:sz w:val="32"/>
          <w:szCs w:val="40"/>
        </w:rPr>
        <w:t>6</w:t>
      </w:r>
      <w:r>
        <w:rPr>
          <w:rFonts w:hint="default" w:ascii="Arial Narrow" w:hAnsi="Arial Narrow" w:eastAsia="仿宋_GB2312" w:cs="Arial Narrow"/>
          <w:sz w:val="32"/>
          <w:szCs w:val="40"/>
        </w:rPr>
        <w:fldChar w:fldCharType="end"/>
      </w:r>
      <w:r>
        <w:rPr>
          <w:rFonts w:hint="default" w:ascii="Arial Narrow" w:hAnsi="Arial Narrow" w:eastAsia="仿宋_GB2312" w:cs="Arial Narrow"/>
          <w:color w:val="auto"/>
          <w:sz w:val="32"/>
          <w:szCs w:val="32"/>
          <w:u w:val="none"/>
        </w:rPr>
        <w:fldChar w:fldCharType="end"/>
      </w:r>
    </w:p>
    <w:p w14:paraId="748023BF">
      <w:pPr>
        <w:pStyle w:val="6"/>
        <w:tabs>
          <w:tab w:val="right" w:leader="dot" w:pos="8788"/>
          <w:tab w:val="clear" w:pos="8778"/>
        </w:tabs>
        <w:rPr>
          <w:rFonts w:hint="default" w:ascii="Arial Narrow" w:hAnsi="Arial Narrow" w:eastAsia="仿宋_GB2312" w:cs="Arial Narrow"/>
          <w:sz w:val="32"/>
          <w:szCs w:val="40"/>
        </w:rPr>
      </w:pPr>
      <w:r>
        <w:rPr>
          <w:rFonts w:hint="default" w:ascii="Arial Narrow" w:hAnsi="Arial Narrow" w:eastAsia="仿宋_GB2312" w:cs="Arial Narrow"/>
          <w:color w:val="auto"/>
          <w:sz w:val="32"/>
          <w:szCs w:val="32"/>
          <w:u w:val="none"/>
        </w:rPr>
        <w:fldChar w:fldCharType="begin"/>
      </w:r>
      <w:r>
        <w:rPr>
          <w:rFonts w:hint="default" w:ascii="Arial Narrow" w:hAnsi="Arial Narrow" w:eastAsia="仿宋_GB2312" w:cs="Arial Narrow"/>
          <w:sz w:val="32"/>
          <w:szCs w:val="32"/>
        </w:rPr>
        <w:instrText xml:space="preserve"> HYPERLINK \l _Toc30499 </w:instrText>
      </w:r>
      <w:r>
        <w:rPr>
          <w:rFonts w:hint="default" w:ascii="Arial Narrow" w:hAnsi="Arial Narrow" w:eastAsia="仿宋_GB2312" w:cs="Arial Narrow"/>
          <w:sz w:val="32"/>
          <w:szCs w:val="32"/>
        </w:rPr>
        <w:fldChar w:fldCharType="separate"/>
      </w:r>
      <w:r>
        <w:rPr>
          <w:rFonts w:hint="default" w:ascii="Arial Narrow" w:hAnsi="Arial Narrow" w:eastAsia="仿宋_GB2312" w:cs="Arial Narrow"/>
          <w:sz w:val="32"/>
          <w:szCs w:val="40"/>
        </w:rPr>
        <w:t>四、综合评价情况</w:t>
      </w:r>
      <w:r>
        <w:rPr>
          <w:rFonts w:hint="default" w:ascii="Arial Narrow" w:hAnsi="Arial Narrow" w:eastAsia="仿宋_GB2312" w:cs="Arial Narrow"/>
          <w:sz w:val="32"/>
          <w:szCs w:val="40"/>
        </w:rPr>
        <w:tab/>
      </w:r>
      <w:r>
        <w:rPr>
          <w:rFonts w:hint="default" w:ascii="Arial Narrow" w:hAnsi="Arial Narrow" w:eastAsia="仿宋_GB2312" w:cs="Arial Narrow"/>
          <w:sz w:val="32"/>
          <w:szCs w:val="40"/>
        </w:rPr>
        <w:fldChar w:fldCharType="begin"/>
      </w:r>
      <w:r>
        <w:rPr>
          <w:rFonts w:hint="default" w:ascii="Arial Narrow" w:hAnsi="Arial Narrow" w:eastAsia="仿宋_GB2312" w:cs="Arial Narrow"/>
          <w:sz w:val="32"/>
          <w:szCs w:val="40"/>
        </w:rPr>
        <w:instrText xml:space="preserve"> PAGEREF _Toc30499 \h </w:instrText>
      </w:r>
      <w:r>
        <w:rPr>
          <w:rFonts w:hint="default" w:ascii="Arial Narrow" w:hAnsi="Arial Narrow" w:eastAsia="仿宋_GB2312" w:cs="Arial Narrow"/>
          <w:sz w:val="32"/>
          <w:szCs w:val="40"/>
        </w:rPr>
        <w:fldChar w:fldCharType="separate"/>
      </w:r>
      <w:r>
        <w:rPr>
          <w:rFonts w:hint="default" w:ascii="Arial Narrow" w:hAnsi="Arial Narrow" w:eastAsia="仿宋_GB2312" w:cs="Arial Narrow"/>
          <w:sz w:val="32"/>
          <w:szCs w:val="40"/>
        </w:rPr>
        <w:t>6</w:t>
      </w:r>
      <w:r>
        <w:rPr>
          <w:rFonts w:hint="default" w:ascii="Arial Narrow" w:hAnsi="Arial Narrow" w:eastAsia="仿宋_GB2312" w:cs="Arial Narrow"/>
          <w:sz w:val="32"/>
          <w:szCs w:val="40"/>
        </w:rPr>
        <w:fldChar w:fldCharType="end"/>
      </w:r>
      <w:r>
        <w:rPr>
          <w:rFonts w:hint="default" w:ascii="Arial Narrow" w:hAnsi="Arial Narrow" w:eastAsia="仿宋_GB2312" w:cs="Arial Narrow"/>
          <w:color w:val="auto"/>
          <w:sz w:val="32"/>
          <w:szCs w:val="32"/>
          <w:u w:val="none"/>
        </w:rPr>
        <w:fldChar w:fldCharType="end"/>
      </w:r>
    </w:p>
    <w:p w14:paraId="3B38B3F1">
      <w:pPr>
        <w:pStyle w:val="6"/>
        <w:tabs>
          <w:tab w:val="right" w:leader="dot" w:pos="8788"/>
          <w:tab w:val="clear" w:pos="8778"/>
        </w:tabs>
        <w:rPr>
          <w:rFonts w:hint="default" w:ascii="Arial Narrow" w:hAnsi="Arial Narrow" w:eastAsia="仿宋_GB2312"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_Toc25048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（一）资金管理</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_Toc25048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6</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70263A6E">
      <w:pPr>
        <w:pStyle w:val="6"/>
        <w:tabs>
          <w:tab w:val="right" w:leader="dot" w:pos="8788"/>
          <w:tab w:val="clear" w:pos="8778"/>
        </w:tabs>
        <w:rPr>
          <w:rFonts w:hint="default" w:ascii="Arial Narrow" w:hAnsi="Arial Narrow" w:eastAsia="仿宋_GB2312"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_Toc9083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（二）项目管理</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_Toc9083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6</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6576EE34">
      <w:pPr>
        <w:pStyle w:val="6"/>
        <w:tabs>
          <w:tab w:val="right" w:leader="dot" w:pos="8788"/>
          <w:tab w:val="clear" w:pos="8778"/>
        </w:tabs>
        <w:rPr>
          <w:rFonts w:hint="default" w:ascii="Arial Narrow" w:hAnsi="Arial Narrow" w:eastAsia="仿宋_GB2312"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_Toc17534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（三）使用成效及通报情况</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_Toc17534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7</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28175123">
      <w:pPr>
        <w:pStyle w:val="6"/>
        <w:tabs>
          <w:tab w:val="right" w:leader="dot" w:pos="8788"/>
          <w:tab w:val="clear" w:pos="8778"/>
        </w:tabs>
        <w:rPr>
          <w:rFonts w:hint="default" w:ascii="Arial Narrow" w:hAnsi="Arial Narrow" w:eastAsia="仿宋_GB2312" w:cs="Arial Narrow"/>
          <w:sz w:val="32"/>
          <w:szCs w:val="40"/>
        </w:rPr>
      </w:pPr>
      <w:r>
        <w:rPr>
          <w:rFonts w:hint="default" w:ascii="Arial Narrow" w:hAnsi="Arial Narrow" w:eastAsia="仿宋_GB2312" w:cs="Arial Narrow"/>
          <w:color w:val="auto"/>
          <w:sz w:val="32"/>
          <w:szCs w:val="32"/>
          <w:u w:val="none"/>
        </w:rPr>
        <w:fldChar w:fldCharType="begin"/>
      </w:r>
      <w:r>
        <w:rPr>
          <w:rFonts w:hint="default" w:ascii="Arial Narrow" w:hAnsi="Arial Narrow" w:eastAsia="仿宋_GB2312" w:cs="Arial Narrow"/>
          <w:sz w:val="32"/>
          <w:szCs w:val="32"/>
        </w:rPr>
        <w:instrText xml:space="preserve"> HYPERLINK \l _Toc11808 </w:instrText>
      </w:r>
      <w:r>
        <w:rPr>
          <w:rFonts w:hint="default" w:ascii="Arial Narrow" w:hAnsi="Arial Narrow" w:eastAsia="仿宋_GB2312" w:cs="Arial Narrow"/>
          <w:sz w:val="32"/>
          <w:szCs w:val="32"/>
        </w:rPr>
        <w:fldChar w:fldCharType="separate"/>
      </w:r>
      <w:r>
        <w:rPr>
          <w:rFonts w:hint="default" w:ascii="Arial Narrow" w:hAnsi="Arial Narrow" w:eastAsia="仿宋_GB2312" w:cs="Arial Narrow"/>
          <w:sz w:val="32"/>
          <w:szCs w:val="40"/>
        </w:rPr>
        <w:t>五、存在的问题和建议</w:t>
      </w:r>
      <w:r>
        <w:rPr>
          <w:rFonts w:hint="default" w:ascii="Arial Narrow" w:hAnsi="Arial Narrow" w:eastAsia="仿宋_GB2312" w:cs="Arial Narrow"/>
          <w:sz w:val="32"/>
          <w:szCs w:val="40"/>
        </w:rPr>
        <w:tab/>
      </w:r>
      <w:r>
        <w:rPr>
          <w:rFonts w:hint="default" w:ascii="Arial Narrow" w:hAnsi="Arial Narrow" w:eastAsia="仿宋_GB2312" w:cs="Arial Narrow"/>
          <w:sz w:val="32"/>
          <w:szCs w:val="40"/>
        </w:rPr>
        <w:fldChar w:fldCharType="begin"/>
      </w:r>
      <w:r>
        <w:rPr>
          <w:rFonts w:hint="default" w:ascii="Arial Narrow" w:hAnsi="Arial Narrow" w:eastAsia="仿宋_GB2312" w:cs="Arial Narrow"/>
          <w:sz w:val="32"/>
          <w:szCs w:val="40"/>
        </w:rPr>
        <w:instrText xml:space="preserve"> PAGEREF _Toc11808 \h </w:instrText>
      </w:r>
      <w:r>
        <w:rPr>
          <w:rFonts w:hint="default" w:ascii="Arial Narrow" w:hAnsi="Arial Narrow" w:eastAsia="仿宋_GB2312" w:cs="Arial Narrow"/>
          <w:sz w:val="32"/>
          <w:szCs w:val="40"/>
        </w:rPr>
        <w:fldChar w:fldCharType="separate"/>
      </w:r>
      <w:r>
        <w:rPr>
          <w:rFonts w:hint="default" w:ascii="Arial Narrow" w:hAnsi="Arial Narrow" w:eastAsia="仿宋_GB2312" w:cs="Arial Narrow"/>
          <w:sz w:val="32"/>
          <w:szCs w:val="40"/>
        </w:rPr>
        <w:t>7</w:t>
      </w:r>
      <w:r>
        <w:rPr>
          <w:rFonts w:hint="default" w:ascii="Arial Narrow" w:hAnsi="Arial Narrow" w:eastAsia="仿宋_GB2312" w:cs="Arial Narrow"/>
          <w:sz w:val="32"/>
          <w:szCs w:val="40"/>
        </w:rPr>
        <w:fldChar w:fldCharType="end"/>
      </w:r>
      <w:r>
        <w:rPr>
          <w:rFonts w:hint="default" w:ascii="Arial Narrow" w:hAnsi="Arial Narrow" w:eastAsia="仿宋_GB2312" w:cs="Arial Narrow"/>
          <w:color w:val="auto"/>
          <w:sz w:val="32"/>
          <w:szCs w:val="32"/>
          <w:u w:val="none"/>
        </w:rPr>
        <w:fldChar w:fldCharType="end"/>
      </w:r>
    </w:p>
    <w:p w14:paraId="3FE5200B">
      <w:pPr>
        <w:pStyle w:val="6"/>
        <w:tabs>
          <w:tab w:val="right" w:leader="dot" w:pos="8788"/>
          <w:tab w:val="clear" w:pos="8778"/>
        </w:tabs>
        <w:rPr>
          <w:rFonts w:hint="default" w:ascii="Arial Narrow" w:hAnsi="Arial Narrow" w:eastAsia="仿宋_GB2312"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_Toc20461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（一）存在问题</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_Toc20461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7</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2F8EAC08">
      <w:pPr>
        <w:pStyle w:val="6"/>
        <w:tabs>
          <w:tab w:val="right" w:leader="dot" w:pos="8788"/>
          <w:tab w:val="clear" w:pos="8778"/>
        </w:tabs>
        <w:rPr>
          <w:rFonts w:hint="default" w:ascii="Arial Narrow" w:hAnsi="Arial Narrow" w:eastAsia="仿宋_GB2312" w:cs="Arial Narrow"/>
          <w:b w:val="0"/>
          <w:bCs w:val="0"/>
          <w:sz w:val="32"/>
          <w:szCs w:val="40"/>
        </w:rPr>
      </w:pPr>
      <w:r>
        <w:rPr>
          <w:rFonts w:hint="default" w:ascii="Arial Narrow" w:hAnsi="Arial Narrow" w:eastAsia="仿宋_GB2312" w:cs="Arial Narrow"/>
          <w:b w:val="0"/>
          <w:bCs w:val="0"/>
          <w:color w:val="auto"/>
          <w:sz w:val="32"/>
          <w:szCs w:val="32"/>
          <w:u w:val="none"/>
        </w:rPr>
        <w:fldChar w:fldCharType="begin"/>
      </w:r>
      <w:r>
        <w:rPr>
          <w:rFonts w:hint="default" w:ascii="Arial Narrow" w:hAnsi="Arial Narrow" w:eastAsia="仿宋_GB2312" w:cs="Arial Narrow"/>
          <w:b w:val="0"/>
          <w:bCs w:val="0"/>
          <w:sz w:val="32"/>
          <w:szCs w:val="32"/>
        </w:rPr>
        <w:instrText xml:space="preserve"> HYPERLINK \l _Toc16475 </w:instrText>
      </w:r>
      <w:r>
        <w:rPr>
          <w:rFonts w:hint="default" w:ascii="Arial Narrow" w:hAnsi="Arial Narrow" w:eastAsia="仿宋_GB2312" w:cs="Arial Narrow"/>
          <w:b w:val="0"/>
          <w:bCs w:val="0"/>
          <w:sz w:val="32"/>
          <w:szCs w:val="32"/>
        </w:rPr>
        <w:fldChar w:fldCharType="separate"/>
      </w:r>
      <w:r>
        <w:rPr>
          <w:rFonts w:hint="default" w:ascii="Arial Narrow" w:hAnsi="Arial Narrow" w:eastAsia="仿宋_GB2312" w:cs="Arial Narrow"/>
          <w:b w:val="0"/>
          <w:bCs w:val="0"/>
          <w:sz w:val="32"/>
          <w:szCs w:val="40"/>
        </w:rPr>
        <w:t>（二）建议</w:t>
      </w:r>
      <w:r>
        <w:rPr>
          <w:rFonts w:hint="default" w:ascii="Arial Narrow" w:hAnsi="Arial Narrow" w:eastAsia="仿宋_GB2312" w:cs="Arial Narrow"/>
          <w:b w:val="0"/>
          <w:bCs w:val="0"/>
          <w:sz w:val="32"/>
          <w:szCs w:val="40"/>
        </w:rPr>
        <w:tab/>
      </w:r>
      <w:r>
        <w:rPr>
          <w:rFonts w:hint="default" w:ascii="Arial Narrow" w:hAnsi="Arial Narrow" w:eastAsia="仿宋_GB2312" w:cs="Arial Narrow"/>
          <w:b w:val="0"/>
          <w:bCs w:val="0"/>
          <w:sz w:val="32"/>
          <w:szCs w:val="40"/>
        </w:rPr>
        <w:fldChar w:fldCharType="begin"/>
      </w:r>
      <w:r>
        <w:rPr>
          <w:rFonts w:hint="default" w:ascii="Arial Narrow" w:hAnsi="Arial Narrow" w:eastAsia="仿宋_GB2312" w:cs="Arial Narrow"/>
          <w:b w:val="0"/>
          <w:bCs w:val="0"/>
          <w:sz w:val="32"/>
          <w:szCs w:val="40"/>
        </w:rPr>
        <w:instrText xml:space="preserve"> PAGEREF _Toc16475 \h </w:instrText>
      </w:r>
      <w:r>
        <w:rPr>
          <w:rFonts w:hint="default" w:ascii="Arial Narrow" w:hAnsi="Arial Narrow" w:eastAsia="仿宋_GB2312" w:cs="Arial Narrow"/>
          <w:b w:val="0"/>
          <w:bCs w:val="0"/>
          <w:sz w:val="32"/>
          <w:szCs w:val="40"/>
        </w:rPr>
        <w:fldChar w:fldCharType="separate"/>
      </w:r>
      <w:r>
        <w:rPr>
          <w:rFonts w:hint="default" w:ascii="Arial Narrow" w:hAnsi="Arial Narrow" w:eastAsia="仿宋_GB2312" w:cs="Arial Narrow"/>
          <w:b w:val="0"/>
          <w:bCs w:val="0"/>
          <w:sz w:val="32"/>
          <w:szCs w:val="40"/>
        </w:rPr>
        <w:t>7</w:t>
      </w:r>
      <w:r>
        <w:rPr>
          <w:rFonts w:hint="default" w:ascii="Arial Narrow" w:hAnsi="Arial Narrow" w:eastAsia="仿宋_GB2312" w:cs="Arial Narrow"/>
          <w:b w:val="0"/>
          <w:bCs w:val="0"/>
          <w:sz w:val="32"/>
          <w:szCs w:val="40"/>
        </w:rPr>
        <w:fldChar w:fldCharType="end"/>
      </w:r>
      <w:r>
        <w:rPr>
          <w:rFonts w:hint="default" w:ascii="Arial Narrow" w:hAnsi="Arial Narrow" w:eastAsia="仿宋_GB2312" w:cs="Arial Narrow"/>
          <w:b w:val="0"/>
          <w:bCs w:val="0"/>
          <w:color w:val="auto"/>
          <w:sz w:val="32"/>
          <w:szCs w:val="32"/>
          <w:u w:val="none"/>
        </w:rPr>
        <w:fldChar w:fldCharType="end"/>
      </w:r>
    </w:p>
    <w:p w14:paraId="6659ED64">
      <w:pPr>
        <w:pStyle w:val="12"/>
        <w:spacing w:line="460" w:lineRule="exact"/>
        <w:ind w:firstLine="420"/>
        <w:rPr>
          <w:rFonts w:hint="default" w:ascii="Arial Narrow" w:hAnsi="Arial Narrow" w:eastAsia="仿宋_GB2312" w:cs="Arial Narrow"/>
          <w:bCs/>
          <w:w w:val="80"/>
        </w:rPr>
        <w:sectPr>
          <w:footerReference r:id="rId3" w:type="default"/>
          <w:pgSz w:w="11907" w:h="16840"/>
          <w:pgMar w:top="1418" w:right="1418" w:bottom="1134" w:left="1701" w:header="851" w:footer="851" w:gutter="0"/>
          <w:pgNumType w:start="1"/>
          <w:cols w:space="425" w:num="1"/>
          <w:docGrid w:linePitch="312" w:charSpace="0"/>
        </w:sectPr>
      </w:pPr>
      <w:r>
        <w:rPr>
          <w:rFonts w:hint="default" w:ascii="Arial Narrow" w:hAnsi="Arial Narrow" w:eastAsia="仿宋_GB2312" w:cs="Arial Narrow"/>
          <w:color w:val="auto"/>
          <w:sz w:val="40"/>
          <w:szCs w:val="32"/>
          <w:u w:val="none"/>
        </w:rPr>
        <w:fldChar w:fldCharType="end"/>
      </w:r>
    </w:p>
    <w:p w14:paraId="4346F57B">
      <w:pPr>
        <w:widowControl/>
        <w:jc w:val="distribute"/>
        <w:rPr>
          <w:rFonts w:hint="default" w:ascii="Arial Narrow" w:hAnsi="Arial Narrow" w:eastAsia="仿宋_GB2312" w:cs="Arial Narrow"/>
          <w:bCs/>
          <w:kern w:val="0"/>
          <w:sz w:val="28"/>
          <w:szCs w:val="28"/>
        </w:rPr>
      </w:pPr>
      <w:r>
        <w:rPr>
          <w:rFonts w:hint="default" w:ascii="Arial Narrow" w:hAnsi="Arial Narrow" w:eastAsia="仿宋_GB2312" w:cs="Arial Narrow"/>
          <w:b/>
          <w:kern w:val="0"/>
          <w:sz w:val="72"/>
          <w:szCs w:val="72"/>
        </w:rPr>
        <w:t>重庆铭鸿金全会计师事务所</w:t>
      </w:r>
    </w:p>
    <w:p w14:paraId="357C1D34">
      <w:pPr>
        <w:widowControl/>
        <w:spacing w:line="360" w:lineRule="auto"/>
        <w:ind w:right="-2"/>
        <w:jc w:val="distribute"/>
        <w:rPr>
          <w:rFonts w:hint="default" w:ascii="Arial Narrow" w:hAnsi="Arial Narrow" w:eastAsia="仿宋_GB2312" w:cs="Arial Narrow"/>
          <w:kern w:val="0"/>
          <w:sz w:val="28"/>
          <w:szCs w:val="28"/>
          <w:lang w:eastAsia="zh-TW"/>
        </w:rPr>
      </w:pPr>
      <w:r>
        <w:rPr>
          <w:rFonts w:hint="default" w:ascii="Arial Narrow" w:hAnsi="Arial Narrow" w:eastAsia="仿宋_GB2312" w:cs="Arial Narrow"/>
          <w:b/>
          <w:kern w:val="0"/>
          <w:sz w:val="32"/>
          <w:szCs w:val="20"/>
          <w:lang w:eastAsia="zh-TW"/>
        </w:rPr>
        <w:t>Chongqing</w:t>
      </w:r>
      <w:r>
        <w:rPr>
          <w:rFonts w:hint="default" w:ascii="Arial Narrow" w:hAnsi="Arial Narrow" w:eastAsia="仿宋_GB2312" w:cs="Arial Narrow"/>
          <w:b/>
          <w:kern w:val="0"/>
          <w:sz w:val="32"/>
          <w:szCs w:val="20"/>
        </w:rPr>
        <w:t>MingHongJinQuan</w:t>
      </w:r>
      <w:r>
        <w:rPr>
          <w:rFonts w:hint="default" w:ascii="Arial Narrow" w:hAnsi="Arial Narrow" w:eastAsia="仿宋_GB2312" w:cs="Arial Narrow"/>
          <w:b/>
          <w:kern w:val="0"/>
          <w:sz w:val="32"/>
          <w:szCs w:val="20"/>
          <w:lang w:eastAsia="zh-TW"/>
        </w:rPr>
        <w:t>CertifiedPublicAccountants</w:t>
      </w:r>
    </w:p>
    <w:p w14:paraId="031023D7">
      <w:pPr>
        <w:spacing w:line="360" w:lineRule="auto"/>
        <w:jc w:val="center"/>
        <w:rPr>
          <w:rFonts w:hint="default" w:ascii="Arial Narrow" w:hAnsi="Arial Narrow" w:eastAsia="仿宋_GB2312" w:cs="Arial Narrow"/>
          <w:sz w:val="28"/>
          <w:szCs w:val="28"/>
        </w:rPr>
      </w:pPr>
      <w:r>
        <w:rPr>
          <w:rFonts w:hint="default" w:ascii="Arial Narrow" w:hAnsi="Arial Narrow" w:eastAsia="仿宋_GB2312" w:cs="Arial Narrow"/>
          <w:kern w:val="0"/>
          <w:sz w:val="28"/>
          <w:szCs w:val="28"/>
        </w:rPr>
        <w:t>铭</w:t>
      </w:r>
      <w:r>
        <w:rPr>
          <w:rFonts w:hint="default" w:ascii="Arial Narrow" w:hAnsi="Arial Narrow" w:eastAsia="仿宋_GB2312" w:cs="Arial Narrow"/>
          <w:sz w:val="28"/>
          <w:szCs w:val="28"/>
        </w:rPr>
        <w:t>鸿咨字〔2024〕第0004号</w:t>
      </w:r>
    </w:p>
    <w:p w14:paraId="4D3F5D32">
      <w:pPr>
        <w:spacing w:line="360" w:lineRule="auto"/>
        <w:ind w:firstLine="683"/>
        <w:jc w:val="distribute"/>
        <w:rPr>
          <w:rFonts w:hint="default" w:ascii="Arial Narrow" w:hAnsi="Arial Narrow" w:eastAsia="仿宋_GB2312" w:cs="Arial Narrow"/>
          <w:w w:val="94"/>
        </w:rPr>
      </w:pPr>
      <w:r>
        <w:rPr>
          <w:rFonts w:hint="default" w:ascii="Arial Narrow" w:hAnsi="Arial Narrow" w:eastAsia="仿宋_GB2312" w:cs="Arial Narrow"/>
          <w:b/>
          <w:bCs/>
          <w:w w:val="94"/>
          <w:sz w:val="36"/>
          <w:szCs w:val="36"/>
        </w:rPr>
        <w:t>━━━━━━━━━━━━★━━━━━━━━━━━</w:t>
      </w:r>
      <w:bookmarkStart w:id="2" w:name="_Hlk51614207"/>
      <w:r>
        <w:rPr>
          <w:rFonts w:hint="default" w:ascii="Arial Narrow" w:hAnsi="Arial Narrow" w:eastAsia="仿宋_GB2312" w:cs="Arial Narrow"/>
          <w:b/>
          <w:bCs/>
          <w:w w:val="94"/>
          <w:sz w:val="36"/>
          <w:szCs w:val="36"/>
        </w:rPr>
        <w:t>━</w:t>
      </w:r>
      <w:bookmarkEnd w:id="2"/>
    </w:p>
    <w:p w14:paraId="2F1A0AC9">
      <w:pPr>
        <w:adjustRightInd w:val="0"/>
        <w:snapToGrid w:val="0"/>
        <w:spacing w:line="360" w:lineRule="auto"/>
        <w:ind w:firstLine="723"/>
        <w:jc w:val="center"/>
        <w:rPr>
          <w:rStyle w:val="10"/>
          <w:rFonts w:hint="default" w:ascii="Arial Narrow" w:hAnsi="Arial Narrow" w:eastAsia="仿宋_GB2312" w:cs="Arial Narrow"/>
          <w:b/>
          <w:color w:val="auto"/>
          <w:sz w:val="36"/>
          <w:szCs w:val="36"/>
          <w:u w:val="none"/>
        </w:rPr>
      </w:pPr>
      <w:r>
        <w:rPr>
          <w:rStyle w:val="10"/>
          <w:rFonts w:hint="default" w:ascii="Arial Narrow" w:hAnsi="Arial Narrow" w:eastAsia="仿宋_GB2312" w:cs="Arial Narrow"/>
          <w:b/>
          <w:color w:val="auto"/>
          <w:sz w:val="36"/>
          <w:szCs w:val="36"/>
          <w:u w:val="none"/>
        </w:rPr>
        <w:t>重庆市铜梁区安溪镇人民政府2个项目</w:t>
      </w:r>
    </w:p>
    <w:p w14:paraId="5B38F94B">
      <w:pPr>
        <w:adjustRightInd w:val="0"/>
        <w:snapToGrid w:val="0"/>
        <w:spacing w:line="360" w:lineRule="auto"/>
        <w:ind w:firstLine="723"/>
        <w:jc w:val="center"/>
        <w:rPr>
          <w:rFonts w:hint="default" w:ascii="Arial Narrow" w:hAnsi="Arial Narrow" w:eastAsia="仿宋_GB2312" w:cs="Arial Narrow"/>
          <w:b/>
          <w:sz w:val="36"/>
          <w:szCs w:val="36"/>
        </w:rPr>
      </w:pPr>
      <w:r>
        <w:rPr>
          <w:rStyle w:val="10"/>
          <w:rFonts w:hint="default" w:ascii="Arial Narrow" w:hAnsi="Arial Narrow" w:eastAsia="仿宋_GB2312" w:cs="Arial Narrow"/>
          <w:b/>
          <w:color w:val="auto"/>
          <w:sz w:val="36"/>
          <w:szCs w:val="36"/>
          <w:u w:val="none"/>
        </w:rPr>
        <w:t>财政专项衔接资金</w:t>
      </w:r>
      <w:r>
        <w:rPr>
          <w:rFonts w:hint="default" w:ascii="Arial Narrow" w:hAnsi="Arial Narrow" w:eastAsia="仿宋_GB2312" w:cs="Arial Narrow"/>
          <w:b/>
          <w:sz w:val="36"/>
          <w:szCs w:val="36"/>
        </w:rPr>
        <w:t>绩效评价报告</w:t>
      </w:r>
    </w:p>
    <w:p w14:paraId="0E03C07E">
      <w:pPr>
        <w:spacing w:line="360" w:lineRule="auto"/>
        <w:ind w:firstLine="480" w:firstLineChars="200"/>
        <w:rPr>
          <w:rFonts w:hint="default" w:ascii="Arial Narrow" w:hAnsi="Arial Narrow" w:eastAsia="仿宋_GB2312" w:cs="Arial Narrow"/>
          <w:kern w:val="0"/>
          <w:sz w:val="24"/>
        </w:rPr>
      </w:pPr>
      <w:r>
        <w:rPr>
          <w:rFonts w:hint="default" w:ascii="Arial Narrow" w:hAnsi="Arial Narrow" w:eastAsia="仿宋_GB2312" w:cs="Arial Narrow"/>
          <w:sz w:val="24"/>
        </w:rPr>
        <w:t>为深入贯彻落实党的十九大</w:t>
      </w:r>
      <w:r>
        <w:rPr>
          <w:rFonts w:hint="eastAsia" w:ascii="Arial Narrow" w:hAnsi="Arial Narrow" w:eastAsia="仿宋_GB2312" w:cs="Arial Narrow"/>
          <w:sz w:val="24"/>
          <w:lang w:eastAsia="zh-CN"/>
        </w:rPr>
        <w:t>“</w:t>
      </w:r>
      <w:r>
        <w:rPr>
          <w:rFonts w:hint="default" w:ascii="Arial Narrow" w:hAnsi="Arial Narrow" w:eastAsia="仿宋_GB2312" w:cs="Arial Narrow"/>
          <w:sz w:val="24"/>
        </w:rPr>
        <w:t>全面实施绩效管理</w:t>
      </w:r>
      <w:r>
        <w:rPr>
          <w:rFonts w:hint="eastAsia" w:ascii="Arial Narrow" w:hAnsi="Arial Narrow" w:eastAsia="仿宋_GB2312" w:cs="Arial Narrow"/>
          <w:sz w:val="24"/>
          <w:lang w:eastAsia="zh-CN"/>
        </w:rPr>
        <w:t>”</w:t>
      </w:r>
      <w:r>
        <w:rPr>
          <w:rFonts w:hint="default" w:ascii="Arial Narrow" w:hAnsi="Arial Narrow" w:eastAsia="仿宋_GB2312" w:cs="Arial Narrow"/>
          <w:sz w:val="24"/>
        </w:rPr>
        <w:t>决策部署，进一步提高政府投入资金的使用效益，促进公共服务资源的优化配置，根据《中华人民共和国预算法》、《项目支出绩效评价管理办法》（财预〔2020〕10号）</w:t>
      </w:r>
      <w:r>
        <w:rPr>
          <w:rFonts w:hint="default" w:ascii="Arial Narrow" w:hAnsi="Arial Narrow" w:eastAsia="仿宋_GB2312" w:cs="Arial Narrow"/>
          <w:sz w:val="24"/>
          <w:lang w:eastAsia="zh-CN"/>
        </w:rPr>
        <w:t>、</w:t>
      </w:r>
      <w:r>
        <w:rPr>
          <w:rFonts w:hint="default" w:ascii="Arial Narrow" w:hAnsi="Arial Narrow" w:eastAsia="仿宋_GB2312" w:cs="Arial Narrow"/>
          <w:sz w:val="24"/>
        </w:rPr>
        <w:t>《重庆市市级政策和项目预算绩效管理办法（试行）》（渝财绩〔2019〕19号）</w:t>
      </w:r>
      <w:r>
        <w:rPr>
          <w:rFonts w:hint="eastAsia" w:ascii="Arial Narrow" w:hAnsi="Arial Narrow" w:eastAsia="仿宋_GB2312" w:cs="Arial Narrow"/>
          <w:sz w:val="24"/>
          <w:lang w:eastAsia="zh-CN"/>
        </w:rPr>
        <w:t>，</w:t>
      </w:r>
      <w:r>
        <w:rPr>
          <w:rFonts w:hint="default" w:ascii="Arial Narrow" w:hAnsi="Arial Narrow" w:eastAsia="仿宋_GB2312" w:cs="Arial Narrow"/>
          <w:sz w:val="24"/>
        </w:rPr>
        <w:t>受重庆市铜梁区财政局（以下简称</w:t>
      </w:r>
      <w:r>
        <w:rPr>
          <w:rFonts w:hint="eastAsia" w:ascii="Arial Narrow" w:hAnsi="Arial Narrow" w:eastAsia="仿宋_GB2312" w:cs="Arial Narrow"/>
          <w:sz w:val="24"/>
          <w:lang w:eastAsia="zh-CN"/>
        </w:rPr>
        <w:t>“</w:t>
      </w:r>
      <w:r>
        <w:rPr>
          <w:rFonts w:hint="default" w:ascii="Arial Narrow" w:hAnsi="Arial Narrow" w:eastAsia="仿宋_GB2312" w:cs="Arial Narrow"/>
          <w:sz w:val="24"/>
        </w:rPr>
        <w:t>财政局</w:t>
      </w:r>
      <w:r>
        <w:rPr>
          <w:rFonts w:hint="eastAsia" w:ascii="Arial Narrow" w:hAnsi="Arial Narrow" w:eastAsia="仿宋_GB2312" w:cs="Arial Narrow"/>
          <w:sz w:val="24"/>
          <w:lang w:eastAsia="zh-CN"/>
        </w:rPr>
        <w:t>”</w:t>
      </w:r>
      <w:r>
        <w:rPr>
          <w:rFonts w:hint="default" w:ascii="Arial Narrow" w:hAnsi="Arial Narrow" w:eastAsia="仿宋_GB2312" w:cs="Arial Narrow"/>
          <w:sz w:val="24"/>
        </w:rPr>
        <w:t>）的委托，我们对重庆市铜梁区安溪镇人民政府</w:t>
      </w:r>
      <w:r>
        <w:rPr>
          <w:rFonts w:hint="eastAsia" w:ascii="Arial Narrow" w:hAnsi="Arial Narrow" w:eastAsia="仿宋_GB2312" w:cs="Arial Narrow"/>
          <w:sz w:val="24"/>
          <w:lang w:eastAsia="zh-CN"/>
        </w:rPr>
        <w:t>“</w:t>
      </w:r>
      <w:r>
        <w:rPr>
          <w:rFonts w:hint="default" w:ascii="Arial Narrow" w:hAnsi="Arial Narrow" w:eastAsia="仿宋_GB2312" w:cs="Arial Narrow"/>
          <w:sz w:val="24"/>
        </w:rPr>
        <w:t>金滩村2023年光伏产业建设基地项目</w:t>
      </w:r>
      <w:r>
        <w:rPr>
          <w:rFonts w:hint="eastAsia" w:ascii="Arial Narrow" w:hAnsi="Arial Narrow" w:eastAsia="仿宋_GB2312" w:cs="Arial Narrow"/>
          <w:sz w:val="24"/>
          <w:lang w:eastAsia="zh-CN"/>
        </w:rPr>
        <w:t>”</w:t>
      </w:r>
      <w:r>
        <w:rPr>
          <w:rFonts w:hint="default" w:ascii="Arial Narrow" w:hAnsi="Arial Narrow" w:eastAsia="仿宋_GB2312" w:cs="Arial Narrow"/>
          <w:sz w:val="24"/>
        </w:rPr>
        <w:t>与</w:t>
      </w:r>
      <w:r>
        <w:rPr>
          <w:rFonts w:hint="eastAsia" w:ascii="Arial Narrow" w:hAnsi="Arial Narrow" w:eastAsia="仿宋_GB2312" w:cs="Arial Narrow"/>
          <w:sz w:val="24"/>
          <w:lang w:eastAsia="zh-CN"/>
        </w:rPr>
        <w:t>“</w:t>
      </w:r>
      <w:r>
        <w:rPr>
          <w:rFonts w:hint="default" w:ascii="Arial Narrow" w:hAnsi="Arial Narrow" w:eastAsia="仿宋_GB2312" w:cs="Arial Narrow"/>
          <w:kern w:val="0"/>
          <w:sz w:val="24"/>
        </w:rPr>
        <w:t>龙峰村2023年产业基地基础设施建设项目</w:t>
      </w:r>
      <w:r>
        <w:rPr>
          <w:rFonts w:hint="eastAsia" w:ascii="Arial Narrow" w:hAnsi="Arial Narrow" w:eastAsia="仿宋_GB2312" w:cs="Arial Narrow"/>
          <w:kern w:val="0"/>
          <w:sz w:val="24"/>
          <w:lang w:eastAsia="zh-CN"/>
        </w:rPr>
        <w:t>”</w:t>
      </w:r>
      <w:r>
        <w:rPr>
          <w:rFonts w:hint="default" w:ascii="Arial Narrow" w:hAnsi="Arial Narrow" w:eastAsia="仿宋_GB2312" w:cs="Arial Narrow"/>
          <w:sz w:val="24"/>
        </w:rPr>
        <w:t>财政专项衔接资</w:t>
      </w:r>
      <w:r>
        <w:rPr>
          <w:rFonts w:hint="default" w:ascii="Arial Narrow" w:hAnsi="Arial Narrow" w:eastAsia="仿宋_GB2312" w:cs="Arial Narrow"/>
          <w:sz w:val="24"/>
          <w:lang w:eastAsia="zh-CN"/>
        </w:rPr>
        <w:t>金进</w:t>
      </w:r>
      <w:r>
        <w:rPr>
          <w:rFonts w:hint="default" w:ascii="Arial Narrow" w:hAnsi="Arial Narrow" w:eastAsia="仿宋_GB2312" w:cs="Arial Narrow"/>
          <w:sz w:val="24"/>
        </w:rPr>
        <w:t>行绩效评价，现将评价情况报告如下：</w:t>
      </w:r>
    </w:p>
    <w:p w14:paraId="5C490F8F">
      <w:pPr>
        <w:spacing w:before="240" w:beforeLines="100" w:line="360" w:lineRule="auto"/>
        <w:ind w:firstLine="482" w:firstLineChars="200"/>
        <w:jc w:val="left"/>
        <w:outlineLvl w:val="0"/>
        <w:rPr>
          <w:rFonts w:hint="default" w:ascii="Arial Narrow" w:hAnsi="Arial Narrow" w:eastAsia="仿宋_GB2312" w:cs="Arial Narrow"/>
          <w:b/>
          <w:sz w:val="24"/>
        </w:rPr>
      </w:pPr>
      <w:bookmarkStart w:id="3" w:name="_Toc25024"/>
      <w:r>
        <w:rPr>
          <w:rFonts w:hint="default" w:ascii="Arial Narrow" w:hAnsi="Arial Narrow" w:eastAsia="仿宋_GB2312" w:cs="Arial Narrow"/>
          <w:b/>
          <w:sz w:val="24"/>
        </w:rPr>
        <w:t>一、基本情况</w:t>
      </w:r>
      <w:bookmarkEnd w:id="3"/>
    </w:p>
    <w:p w14:paraId="6326344C">
      <w:pPr>
        <w:spacing w:before="120" w:beforeLines="50" w:line="360" w:lineRule="auto"/>
        <w:ind w:firstLine="482" w:firstLineChars="200"/>
        <w:jc w:val="left"/>
        <w:outlineLvl w:val="0"/>
        <w:rPr>
          <w:rFonts w:hint="default" w:ascii="Arial Narrow" w:hAnsi="Arial Narrow" w:eastAsia="仿宋_GB2312" w:cs="Arial Narrow"/>
          <w:b/>
          <w:bCs/>
          <w:kern w:val="0"/>
          <w:sz w:val="24"/>
        </w:rPr>
      </w:pPr>
      <w:bookmarkStart w:id="4" w:name="_Toc21780"/>
      <w:r>
        <w:rPr>
          <w:rFonts w:hint="default" w:ascii="Arial Narrow" w:hAnsi="Arial Narrow" w:eastAsia="仿宋_GB2312" w:cs="Arial Narrow"/>
          <w:b/>
          <w:bCs/>
          <w:kern w:val="0"/>
          <w:sz w:val="24"/>
        </w:rPr>
        <w:t>（一）项目情况</w:t>
      </w:r>
      <w:bookmarkEnd w:id="4"/>
    </w:p>
    <w:p w14:paraId="2B1D8F49">
      <w:pPr>
        <w:spacing w:line="360" w:lineRule="auto"/>
        <w:ind w:firstLine="480" w:firstLineChars="200"/>
        <w:rPr>
          <w:rFonts w:hint="default" w:ascii="Arial Narrow" w:hAnsi="Arial Narrow" w:eastAsia="仿宋_GB2312" w:cs="Arial Narrow"/>
          <w:kern w:val="0"/>
          <w:sz w:val="24"/>
        </w:rPr>
      </w:pPr>
      <w:r>
        <w:rPr>
          <w:rFonts w:hint="default" w:ascii="Arial Narrow" w:hAnsi="Arial Narrow" w:eastAsia="仿宋_GB2312" w:cs="Arial Narrow"/>
          <w:kern w:val="0"/>
          <w:sz w:val="24"/>
        </w:rPr>
        <w:t>1.项目名称：安溪镇金滩村2023年光伏产业建设基地项目</w:t>
      </w:r>
    </w:p>
    <w:p w14:paraId="56E232D9">
      <w:pPr>
        <w:spacing w:line="360" w:lineRule="auto"/>
        <w:ind w:firstLine="480" w:firstLineChars="200"/>
        <w:rPr>
          <w:rFonts w:hint="default" w:ascii="Arial Narrow" w:hAnsi="Arial Narrow" w:eastAsia="仿宋_GB2312" w:cs="Arial Narrow"/>
          <w:kern w:val="0"/>
          <w:sz w:val="24"/>
        </w:rPr>
      </w:pPr>
      <w:r>
        <w:rPr>
          <w:rFonts w:hint="default" w:ascii="Arial Narrow" w:hAnsi="Arial Narrow" w:eastAsia="仿宋_GB2312" w:cs="Arial Narrow"/>
          <w:kern w:val="0"/>
          <w:sz w:val="24"/>
        </w:rPr>
        <w:t>实施单位：安溪镇金滩村股份经济联合社</w:t>
      </w:r>
    </w:p>
    <w:p w14:paraId="7F67BD25">
      <w:pPr>
        <w:spacing w:line="360" w:lineRule="auto"/>
        <w:ind w:firstLine="480" w:firstLineChars="200"/>
        <w:rPr>
          <w:rFonts w:hint="default" w:ascii="Arial Narrow" w:hAnsi="Arial Narrow" w:eastAsia="仿宋_GB2312" w:cs="Arial Narrow"/>
          <w:kern w:val="0"/>
          <w:sz w:val="24"/>
        </w:rPr>
      </w:pPr>
      <w:r>
        <w:rPr>
          <w:rFonts w:hint="default" w:ascii="Arial Narrow" w:hAnsi="Arial Narrow" w:eastAsia="仿宋_GB2312" w:cs="Arial Narrow"/>
          <w:kern w:val="0"/>
          <w:sz w:val="24"/>
        </w:rPr>
        <w:t>项目内容：建设250kw的太阳能分布式光伏发电设施</w:t>
      </w:r>
    </w:p>
    <w:p w14:paraId="2D882555">
      <w:pPr>
        <w:spacing w:line="360" w:lineRule="auto"/>
        <w:ind w:firstLine="480" w:firstLineChars="200"/>
        <w:rPr>
          <w:rFonts w:hint="default" w:ascii="Arial Narrow" w:hAnsi="Arial Narrow" w:eastAsia="仿宋_GB2312" w:cs="Arial Narrow"/>
          <w:kern w:val="0"/>
          <w:sz w:val="24"/>
        </w:rPr>
      </w:pPr>
      <w:r>
        <w:rPr>
          <w:rFonts w:hint="default" w:ascii="Arial Narrow" w:hAnsi="Arial Narrow" w:eastAsia="仿宋_GB2312" w:cs="Arial Narrow"/>
          <w:kern w:val="0"/>
          <w:sz w:val="24"/>
        </w:rPr>
        <w:t>项目资金安排情况：该项目2023年计划总投资111.6万元，上级补助资金100万元，其余为自筹资金。</w:t>
      </w:r>
    </w:p>
    <w:p w14:paraId="1F583406">
      <w:pPr>
        <w:spacing w:line="360" w:lineRule="auto"/>
        <w:ind w:firstLine="480" w:firstLineChars="200"/>
        <w:rPr>
          <w:rFonts w:hint="default" w:ascii="Arial Narrow" w:hAnsi="Arial Narrow" w:eastAsia="仿宋_GB2312" w:cs="Arial Narrow"/>
          <w:kern w:val="0"/>
          <w:sz w:val="24"/>
        </w:rPr>
      </w:pPr>
      <w:r>
        <w:rPr>
          <w:rFonts w:hint="default" w:ascii="Arial Narrow" w:hAnsi="Arial Narrow" w:eastAsia="仿宋_GB2312" w:cs="Arial Narrow"/>
          <w:kern w:val="0"/>
          <w:sz w:val="24"/>
        </w:rPr>
        <w:t>2.项目名称：安溪镇龙峰村2023年产业基地基础设施建设项目</w:t>
      </w:r>
    </w:p>
    <w:p w14:paraId="559D78FD">
      <w:pPr>
        <w:spacing w:line="360" w:lineRule="auto"/>
        <w:ind w:firstLine="480" w:firstLineChars="200"/>
        <w:rPr>
          <w:rFonts w:hint="default" w:ascii="Arial Narrow" w:hAnsi="Arial Narrow" w:eastAsia="仿宋_GB2312" w:cs="Arial Narrow"/>
          <w:kern w:val="0"/>
          <w:sz w:val="24"/>
        </w:rPr>
      </w:pPr>
      <w:r>
        <w:rPr>
          <w:rFonts w:hint="default" w:ascii="Arial Narrow" w:hAnsi="Arial Narrow" w:eastAsia="仿宋_GB2312" w:cs="Arial Narrow"/>
          <w:kern w:val="0"/>
          <w:sz w:val="24"/>
        </w:rPr>
        <w:t>实施单位：铜梁区安溪镇龙峰村股份经济联合社</w:t>
      </w:r>
    </w:p>
    <w:p w14:paraId="41B696D0">
      <w:pPr>
        <w:spacing w:line="360" w:lineRule="auto"/>
        <w:ind w:firstLine="480" w:firstLineChars="200"/>
        <w:rPr>
          <w:rFonts w:hint="default" w:ascii="Arial Narrow" w:hAnsi="Arial Narrow" w:eastAsia="仿宋_GB2312" w:cs="Arial Narrow"/>
          <w:kern w:val="0"/>
          <w:sz w:val="24"/>
        </w:rPr>
      </w:pPr>
      <w:r>
        <w:rPr>
          <w:rFonts w:hint="default" w:ascii="Arial Narrow" w:hAnsi="Arial Narrow" w:eastAsia="仿宋_GB2312" w:cs="Arial Narrow"/>
          <w:kern w:val="0"/>
          <w:sz w:val="24"/>
        </w:rPr>
        <w:t>项目内容：蚯蚓养殖基地新建薄膜温室3726平方米及棚内灌溉管网1000米设施；场地平整2000平方米；新建给排水工程；购买履带式翻推机1台。对虾养殖基地新建变压器1个，购买叶轮式增氧机10台，购买水车式增氧机10台。</w:t>
      </w:r>
    </w:p>
    <w:p w14:paraId="5F64DF72">
      <w:pPr>
        <w:spacing w:line="360" w:lineRule="auto"/>
        <w:ind w:firstLine="480" w:firstLineChars="200"/>
        <w:rPr>
          <w:rFonts w:hint="default" w:ascii="Arial Narrow" w:hAnsi="Arial Narrow" w:eastAsia="仿宋_GB2312" w:cs="Arial Narrow"/>
          <w:kern w:val="0"/>
          <w:sz w:val="24"/>
        </w:rPr>
      </w:pPr>
      <w:r>
        <w:rPr>
          <w:rFonts w:hint="default" w:ascii="Arial Narrow" w:hAnsi="Arial Narrow" w:eastAsia="仿宋_GB2312" w:cs="Arial Narrow"/>
          <w:kern w:val="0"/>
          <w:sz w:val="24"/>
        </w:rPr>
        <w:t>项目资金安排情况：该项目2023年计划总投资55.7074万元，上级补助资金50万元，其余为自筹资金。</w:t>
      </w:r>
    </w:p>
    <w:p w14:paraId="4FE4279E">
      <w:pPr>
        <w:spacing w:line="360" w:lineRule="auto"/>
        <w:ind w:firstLine="482" w:firstLineChars="200"/>
        <w:jc w:val="left"/>
        <w:outlineLvl w:val="0"/>
        <w:rPr>
          <w:rFonts w:hint="default" w:ascii="Arial Narrow" w:hAnsi="Arial Narrow" w:eastAsia="仿宋_GB2312" w:cs="Arial Narrow"/>
          <w:b/>
          <w:sz w:val="24"/>
        </w:rPr>
      </w:pPr>
      <w:bookmarkStart w:id="5" w:name="_Toc27507"/>
      <w:r>
        <w:rPr>
          <w:rFonts w:hint="default" w:ascii="Arial Narrow" w:hAnsi="Arial Narrow" w:eastAsia="仿宋_GB2312" w:cs="Arial Narrow"/>
          <w:b/>
          <w:sz w:val="24"/>
        </w:rPr>
        <w:t>二、绩效评价工作情况</w:t>
      </w:r>
      <w:bookmarkEnd w:id="5"/>
    </w:p>
    <w:p w14:paraId="2FF1CCA7">
      <w:pPr>
        <w:spacing w:line="360" w:lineRule="auto"/>
        <w:ind w:firstLine="482" w:firstLineChars="200"/>
        <w:jc w:val="left"/>
        <w:outlineLvl w:val="0"/>
        <w:rPr>
          <w:rFonts w:hint="default" w:ascii="Arial Narrow" w:hAnsi="Arial Narrow" w:eastAsia="仿宋_GB2312" w:cs="Arial Narrow"/>
          <w:b/>
          <w:sz w:val="24"/>
        </w:rPr>
      </w:pPr>
      <w:bookmarkStart w:id="6" w:name="_Toc513775099"/>
      <w:bookmarkStart w:id="7" w:name="_Toc22256"/>
      <w:r>
        <w:rPr>
          <w:rFonts w:hint="default" w:ascii="Arial Narrow" w:hAnsi="Arial Narrow" w:eastAsia="仿宋_GB2312" w:cs="Arial Narrow"/>
          <w:b/>
          <w:sz w:val="24"/>
        </w:rPr>
        <w:t>（一）绩效评价目的</w:t>
      </w:r>
      <w:bookmarkEnd w:id="6"/>
      <w:bookmarkEnd w:id="7"/>
    </w:p>
    <w:p w14:paraId="3538C94A">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通过实施财政重点绩效评价，总结项目实施主要成效，分析影响项目绩效的主要问题及成因，为进一步加强财政资金管理、提高资金使用效益提供依据。</w:t>
      </w:r>
    </w:p>
    <w:p w14:paraId="21034D41">
      <w:pPr>
        <w:spacing w:line="360" w:lineRule="auto"/>
        <w:ind w:firstLine="482" w:firstLineChars="200"/>
        <w:jc w:val="left"/>
        <w:outlineLvl w:val="0"/>
        <w:rPr>
          <w:rFonts w:hint="default" w:ascii="Arial Narrow" w:hAnsi="Arial Narrow" w:eastAsia="仿宋_GB2312" w:cs="Arial Narrow"/>
          <w:b/>
          <w:sz w:val="24"/>
        </w:rPr>
      </w:pPr>
      <w:bookmarkStart w:id="8" w:name="_Toc18840"/>
      <w:bookmarkStart w:id="9" w:name="_Toc513775100"/>
      <w:r>
        <w:rPr>
          <w:rFonts w:hint="default" w:ascii="Arial Narrow" w:hAnsi="Arial Narrow" w:eastAsia="仿宋_GB2312" w:cs="Arial Narrow"/>
          <w:b/>
          <w:sz w:val="24"/>
        </w:rPr>
        <w:t>（二）绩效评价的基本内容</w:t>
      </w:r>
      <w:bookmarkEnd w:id="8"/>
    </w:p>
    <w:p w14:paraId="4796E2E4">
      <w:pPr>
        <w:pStyle w:val="13"/>
        <w:spacing w:line="360" w:lineRule="auto"/>
        <w:ind w:firstLine="480" w:firstLineChars="200"/>
        <w:rPr>
          <w:rFonts w:hint="default" w:ascii="Arial Narrow" w:hAnsi="Arial Narrow" w:eastAsia="仿宋_GB2312" w:cs="Arial Narrow"/>
          <w:color w:val="auto"/>
        </w:rPr>
      </w:pPr>
      <w:bookmarkStart w:id="10" w:name="_Toc166332968"/>
      <w:r>
        <w:rPr>
          <w:rFonts w:hint="default" w:ascii="Arial Narrow" w:hAnsi="Arial Narrow" w:eastAsia="仿宋_GB2312" w:cs="Arial Narrow"/>
          <w:color w:val="auto"/>
        </w:rPr>
        <w:t>1.绩效目标的设定情况；</w:t>
      </w:r>
    </w:p>
    <w:p w14:paraId="11FD41ED">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2.资金投入和使用情况；</w:t>
      </w:r>
    </w:p>
    <w:p w14:paraId="2BEDA6A4">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3.为实现绩效目标制定的制度、采取的措施等；</w:t>
      </w:r>
    </w:p>
    <w:p w14:paraId="1F7C122F">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4.绩效目标的实现程度及效果；</w:t>
      </w:r>
    </w:p>
    <w:p w14:paraId="54623EB0">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5.根据实际情况需要评价的其他内容。</w:t>
      </w:r>
    </w:p>
    <w:p w14:paraId="14628B56">
      <w:pPr>
        <w:spacing w:line="360" w:lineRule="auto"/>
        <w:ind w:firstLine="482" w:firstLineChars="200"/>
        <w:jc w:val="left"/>
        <w:outlineLvl w:val="0"/>
        <w:rPr>
          <w:rFonts w:hint="default" w:ascii="Arial Narrow" w:hAnsi="Arial Narrow" w:eastAsia="仿宋_GB2312" w:cs="Arial Narrow"/>
          <w:b/>
          <w:sz w:val="24"/>
        </w:rPr>
      </w:pPr>
      <w:bookmarkStart w:id="11" w:name="_Toc20345"/>
      <w:r>
        <w:rPr>
          <w:rFonts w:hint="default" w:ascii="Arial Narrow" w:hAnsi="Arial Narrow" w:eastAsia="仿宋_GB2312" w:cs="Arial Narrow"/>
          <w:b/>
          <w:sz w:val="24"/>
        </w:rPr>
        <w:t>（三）绩效评价依据</w:t>
      </w:r>
      <w:bookmarkEnd w:id="9"/>
      <w:bookmarkEnd w:id="10"/>
      <w:bookmarkEnd w:id="11"/>
      <w:bookmarkStart w:id="12" w:name="_Toc335040595"/>
    </w:p>
    <w:bookmarkEnd w:id="12"/>
    <w:p w14:paraId="1BE0441A">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1.《重庆市铜梁区财政衔接推进乡村振兴补助资金绩效评价及考核办法》的通知（铜财〔2022〕678号）；</w:t>
      </w:r>
    </w:p>
    <w:p w14:paraId="3D29DDD0">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2.《重庆市铜梁区财政局关于开展2023年度项目财政重点绩效评价的通知》（铜财〔2024〕237号）；</w:t>
      </w:r>
    </w:p>
    <w:p w14:paraId="0CA913A2">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3.《重庆市财政衔接推进乡村振兴补助资金绩效评价及考核办法》（渝财农〔2022〕2号)；</w:t>
      </w:r>
    </w:p>
    <w:p w14:paraId="4DBBAD1B">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4.《铜梁区区级政策和项目预算绩效管理办法</w:t>
      </w:r>
      <w:r>
        <w:rPr>
          <w:rFonts w:hint="default" w:ascii="Arial Narrow" w:hAnsi="Arial Narrow" w:eastAsia="仿宋_GB2312" w:cs="Arial Narrow"/>
          <w:color w:val="auto"/>
          <w:lang w:eastAsia="zh-CN"/>
        </w:rPr>
        <w:t>（</w:t>
      </w:r>
      <w:r>
        <w:rPr>
          <w:rFonts w:hint="default" w:ascii="Arial Narrow" w:hAnsi="Arial Narrow" w:eastAsia="仿宋_GB2312" w:cs="Arial Narrow"/>
          <w:color w:val="auto"/>
        </w:rPr>
        <w:t>试行</w:t>
      </w:r>
      <w:r>
        <w:rPr>
          <w:rFonts w:hint="default" w:ascii="Arial Narrow" w:hAnsi="Arial Narrow" w:eastAsia="仿宋_GB2312" w:cs="Arial Narrow"/>
          <w:color w:val="auto"/>
          <w:lang w:eastAsia="zh-CN"/>
        </w:rPr>
        <w:t>）</w:t>
      </w:r>
      <w:r>
        <w:rPr>
          <w:rFonts w:hint="default" w:ascii="Arial Narrow" w:hAnsi="Arial Narrow" w:eastAsia="仿宋_GB2312" w:cs="Arial Narrow"/>
          <w:color w:val="auto"/>
        </w:rPr>
        <w:t>》（铜财〔2022〕41号）；</w:t>
      </w:r>
    </w:p>
    <w:p w14:paraId="4EFD2637">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5.《重庆市财政局等6部门关于加强财政衔接推进乡村振兴补助资金使用管理的实施意见》（渝财农〔2022〕73号）；</w:t>
      </w:r>
    </w:p>
    <w:p w14:paraId="2A848EB8">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6.《铜梁区巩固拓展脱贫攻坚成果和衔接乡村振兴项目库建设管理实施细则》（铜乡振〔2021〕7号）；</w:t>
      </w:r>
    </w:p>
    <w:p w14:paraId="2CCC6035">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7.《铜梁区财政衔接推进乡村振兴补助资金项目公告公示实施办法》（铜委农办〔2021〕19号）；</w:t>
      </w:r>
    </w:p>
    <w:p w14:paraId="2AF8A4ED">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8.《项目支出绩效评价管理办法》（财预〔2020〕10号）；</w:t>
      </w:r>
    </w:p>
    <w:p w14:paraId="5AD68BA7">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9.《重庆市市级政策和项目预算绩效管理办法》（渝财绩〔2019〕19号）；</w:t>
      </w:r>
    </w:p>
    <w:p w14:paraId="764143A8">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10.《会计师事务所财政支出绩效评价业务指引》（注协</w:t>
      </w:r>
      <w:bookmarkStart w:id="13" w:name="_Hlk162597612"/>
      <w:r>
        <w:rPr>
          <w:rFonts w:hint="default" w:ascii="Arial Narrow" w:hAnsi="Arial Narrow" w:eastAsia="仿宋_GB2312" w:cs="Arial Narrow"/>
          <w:color w:val="auto"/>
        </w:rPr>
        <w:t>〔2016〕</w:t>
      </w:r>
      <w:bookmarkEnd w:id="13"/>
      <w:r>
        <w:rPr>
          <w:rFonts w:hint="default" w:ascii="Arial Narrow" w:hAnsi="Arial Narrow" w:eastAsia="仿宋_GB2312" w:cs="Arial Narrow"/>
          <w:color w:val="auto"/>
        </w:rPr>
        <w:t>10号）；</w:t>
      </w:r>
    </w:p>
    <w:p w14:paraId="1488CD96">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11.评价工作人员通过现场调查、核实等获得的资料等。</w:t>
      </w:r>
    </w:p>
    <w:p w14:paraId="37492E8A">
      <w:pPr>
        <w:spacing w:line="360" w:lineRule="auto"/>
        <w:ind w:firstLine="482" w:firstLineChars="200"/>
        <w:jc w:val="left"/>
        <w:outlineLvl w:val="0"/>
        <w:rPr>
          <w:rFonts w:hint="default" w:ascii="Arial Narrow" w:hAnsi="Arial Narrow" w:eastAsia="仿宋_GB2312" w:cs="Arial Narrow"/>
          <w:b/>
          <w:sz w:val="24"/>
        </w:rPr>
      </w:pPr>
      <w:bookmarkStart w:id="14" w:name="_Toc27840"/>
      <w:r>
        <w:rPr>
          <w:rFonts w:hint="default" w:ascii="Arial Narrow" w:hAnsi="Arial Narrow" w:eastAsia="仿宋_GB2312" w:cs="Arial Narrow"/>
          <w:b/>
          <w:sz w:val="24"/>
        </w:rPr>
        <w:t>（四）绩效评价原则和指标体系</w:t>
      </w:r>
      <w:bookmarkEnd w:id="14"/>
    </w:p>
    <w:p w14:paraId="15F02717">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1.绩效评价主要遵循以下原则：</w:t>
      </w:r>
    </w:p>
    <w:p w14:paraId="1D542DDA">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（1）相关性原则。应当与绩效目标有直接的联系，能够恰当反映目标的实现程度。</w:t>
      </w:r>
    </w:p>
    <w:p w14:paraId="070FEFEE">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（2）重要性原则。应当优先使用最具评价对象代表性、最能反映评价要求的核心指标。</w:t>
      </w:r>
    </w:p>
    <w:p w14:paraId="16C2C3A9">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（3）可比性原则。对同类评价对象要设定共性的绩效评价指标，以便于评价结果可以相互比较。</w:t>
      </w:r>
    </w:p>
    <w:p w14:paraId="564CE679">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（4）系统性原则。应当将定量指标与定性指标相结合，系统反映财政支出所产生的社会效益和可持续影响等。</w:t>
      </w:r>
    </w:p>
    <w:p w14:paraId="5D1D351C">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（5）经济性原则。应当通俗易懂、简便易行，数据的获得应当考虑现实条件和可操作性，符合成本效益原则。</w:t>
      </w:r>
    </w:p>
    <w:p w14:paraId="7865D652">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2.绩效评价指标体系</w:t>
      </w:r>
    </w:p>
    <w:p w14:paraId="78257395">
      <w:pPr>
        <w:pStyle w:val="13"/>
        <w:spacing w:line="360" w:lineRule="auto"/>
        <w:ind w:firstLine="480" w:firstLineChars="200"/>
        <w:jc w:val="both"/>
        <w:rPr>
          <w:rFonts w:hint="default" w:ascii="Arial Narrow" w:hAnsi="Arial Narrow" w:eastAsia="仿宋_GB2312" w:cs="Arial Narrow"/>
          <w:color w:val="auto"/>
        </w:rPr>
      </w:pPr>
      <w:r>
        <w:rPr>
          <w:rFonts w:hint="default" w:ascii="Arial Narrow" w:hAnsi="Arial Narrow" w:eastAsia="仿宋_GB2312" w:cs="Arial Narrow"/>
          <w:color w:val="auto"/>
        </w:rPr>
        <w:t>根据《重庆市铜梁区财政衔接推进乡村振兴补助资金绩效评价及考核办法》的通知（铜财〔2022〕678号)，本次绩效评价及考核指标体系如下：</w:t>
      </w:r>
    </w:p>
    <w:p w14:paraId="22F6DA53">
      <w:pPr>
        <w:pStyle w:val="13"/>
        <w:spacing w:line="360" w:lineRule="auto"/>
        <w:ind w:firstLine="482" w:firstLineChars="200"/>
        <w:jc w:val="center"/>
        <w:rPr>
          <w:rFonts w:hint="default" w:ascii="Arial Narrow" w:hAnsi="Arial Narrow" w:eastAsia="仿宋_GB2312" w:cs="Arial Narrow"/>
          <w:b/>
          <w:bCs/>
          <w:color w:val="auto"/>
        </w:rPr>
      </w:pPr>
      <w:r>
        <w:rPr>
          <w:rFonts w:hint="default" w:ascii="Arial Narrow" w:hAnsi="Arial Narrow" w:eastAsia="仿宋_GB2312" w:cs="Arial Narrow"/>
          <w:b/>
          <w:bCs/>
          <w:color w:val="auto"/>
        </w:rPr>
        <w:t>铜梁区衔接资金项目绩效评价及考核指标评分表</w:t>
      </w:r>
    </w:p>
    <w:tbl>
      <w:tblPr>
        <w:tblStyle w:val="8"/>
        <w:tblW w:w="9491" w:type="dxa"/>
        <w:tblInd w:w="113" w:type="dxa"/>
        <w:tblLayout w:type="fixed"/>
        <w:tblCellMar>
          <w:top w:w="0" w:type="dxa"/>
          <w:left w:w="108" w:type="dxa"/>
          <w:bottom w:w="0" w:type="dxa"/>
          <w:right w:w="108" w:type="dxa"/>
        </w:tblCellMar>
      </w:tblPr>
      <w:tblGrid>
        <w:gridCol w:w="536"/>
        <w:gridCol w:w="996"/>
        <w:gridCol w:w="1025"/>
        <w:gridCol w:w="682"/>
        <w:gridCol w:w="2443"/>
        <w:gridCol w:w="3809"/>
      </w:tblGrid>
      <w:tr w14:paraId="7B1AE1A4">
        <w:tblPrEx>
          <w:tblCellMar>
            <w:top w:w="0" w:type="dxa"/>
            <w:left w:w="108" w:type="dxa"/>
            <w:bottom w:w="0" w:type="dxa"/>
            <w:right w:w="108" w:type="dxa"/>
          </w:tblCellMar>
        </w:tblPrEx>
        <w:trPr>
          <w:cantSplit/>
          <w:trHeight w:val="319" w:hRule="atLeast"/>
          <w:tblHeader/>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9ADB4E">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序号</w:t>
            </w:r>
          </w:p>
        </w:tc>
        <w:tc>
          <w:tcPr>
            <w:tcW w:w="996" w:type="dxa"/>
            <w:tcBorders>
              <w:top w:val="single" w:color="auto" w:sz="4" w:space="0"/>
              <w:left w:val="nil"/>
              <w:bottom w:val="single" w:color="auto" w:sz="4" w:space="0"/>
              <w:right w:val="single" w:color="auto" w:sz="4" w:space="0"/>
            </w:tcBorders>
            <w:shd w:val="clear" w:color="auto" w:fill="auto"/>
            <w:noWrap/>
            <w:vAlign w:val="center"/>
          </w:tcPr>
          <w:p w14:paraId="0EB3A2BE">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一级指标</w:t>
            </w:r>
          </w:p>
        </w:tc>
        <w:tc>
          <w:tcPr>
            <w:tcW w:w="1025" w:type="dxa"/>
            <w:tcBorders>
              <w:top w:val="single" w:color="auto" w:sz="4" w:space="0"/>
              <w:left w:val="nil"/>
              <w:bottom w:val="single" w:color="auto" w:sz="4" w:space="0"/>
              <w:right w:val="single" w:color="auto" w:sz="4" w:space="0"/>
            </w:tcBorders>
            <w:shd w:val="clear" w:color="auto" w:fill="auto"/>
            <w:noWrap/>
            <w:vAlign w:val="center"/>
          </w:tcPr>
          <w:p w14:paraId="52EFF67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二级指标</w:t>
            </w:r>
          </w:p>
        </w:tc>
        <w:tc>
          <w:tcPr>
            <w:tcW w:w="682" w:type="dxa"/>
            <w:tcBorders>
              <w:top w:val="single" w:color="auto" w:sz="4" w:space="0"/>
              <w:left w:val="nil"/>
              <w:bottom w:val="single" w:color="auto" w:sz="4" w:space="0"/>
              <w:right w:val="single" w:color="auto" w:sz="4" w:space="0"/>
            </w:tcBorders>
            <w:shd w:val="clear" w:color="auto" w:fill="auto"/>
            <w:noWrap/>
            <w:vAlign w:val="center"/>
          </w:tcPr>
          <w:p w14:paraId="3CAA597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分值</w:t>
            </w:r>
          </w:p>
        </w:tc>
        <w:tc>
          <w:tcPr>
            <w:tcW w:w="2443" w:type="dxa"/>
            <w:tcBorders>
              <w:top w:val="single" w:color="auto" w:sz="4" w:space="0"/>
              <w:left w:val="nil"/>
              <w:bottom w:val="single" w:color="auto" w:sz="4" w:space="0"/>
              <w:right w:val="single" w:color="auto" w:sz="4" w:space="0"/>
            </w:tcBorders>
            <w:shd w:val="clear" w:color="auto" w:fill="auto"/>
            <w:noWrap/>
            <w:vAlign w:val="center"/>
          </w:tcPr>
          <w:p w14:paraId="308DFB8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指标释义</w:t>
            </w:r>
          </w:p>
        </w:tc>
        <w:tc>
          <w:tcPr>
            <w:tcW w:w="3809" w:type="dxa"/>
            <w:tcBorders>
              <w:top w:val="single" w:color="auto" w:sz="4" w:space="0"/>
              <w:left w:val="nil"/>
              <w:bottom w:val="single" w:color="auto" w:sz="4" w:space="0"/>
              <w:right w:val="single" w:color="auto" w:sz="4" w:space="0"/>
            </w:tcBorders>
            <w:shd w:val="clear" w:color="auto" w:fill="auto"/>
            <w:noWrap/>
            <w:vAlign w:val="center"/>
          </w:tcPr>
          <w:p w14:paraId="3FDA474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评价标准</w:t>
            </w:r>
          </w:p>
        </w:tc>
      </w:tr>
      <w:tr w14:paraId="71B8948A">
        <w:tblPrEx>
          <w:tblCellMar>
            <w:top w:w="0" w:type="dxa"/>
            <w:left w:w="108" w:type="dxa"/>
            <w:bottom w:w="0" w:type="dxa"/>
            <w:right w:w="108" w:type="dxa"/>
          </w:tblCellMar>
        </w:tblPrEx>
        <w:trPr>
          <w:cantSplit/>
          <w:trHeight w:val="2330"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1F7D01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w:t>
            </w:r>
          </w:p>
        </w:tc>
        <w:tc>
          <w:tcPr>
            <w:tcW w:w="996" w:type="dxa"/>
            <w:vMerge w:val="restart"/>
            <w:tcBorders>
              <w:top w:val="nil"/>
              <w:left w:val="single" w:color="auto" w:sz="4" w:space="0"/>
              <w:bottom w:val="single" w:color="auto" w:sz="4" w:space="0"/>
              <w:right w:val="single" w:color="auto" w:sz="4" w:space="0"/>
            </w:tcBorders>
            <w:shd w:val="clear" w:color="auto" w:fill="auto"/>
            <w:vAlign w:val="center"/>
          </w:tcPr>
          <w:p w14:paraId="0B6FF6AE">
            <w:pPr>
              <w:widowControl/>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资金管理（5分）</w:t>
            </w:r>
          </w:p>
        </w:tc>
        <w:tc>
          <w:tcPr>
            <w:tcW w:w="1025" w:type="dxa"/>
            <w:tcBorders>
              <w:top w:val="nil"/>
              <w:left w:val="nil"/>
              <w:bottom w:val="single" w:color="auto" w:sz="4" w:space="0"/>
              <w:right w:val="single" w:color="auto" w:sz="4" w:space="0"/>
            </w:tcBorders>
            <w:shd w:val="clear" w:color="auto" w:fill="auto"/>
            <w:vAlign w:val="center"/>
          </w:tcPr>
          <w:p w14:paraId="35B54F68">
            <w:pPr>
              <w:widowControl/>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财政衔接资金安排情况</w:t>
            </w:r>
          </w:p>
        </w:tc>
        <w:tc>
          <w:tcPr>
            <w:tcW w:w="682" w:type="dxa"/>
            <w:tcBorders>
              <w:top w:val="nil"/>
              <w:left w:val="nil"/>
              <w:bottom w:val="single" w:color="auto" w:sz="4" w:space="0"/>
              <w:right w:val="single" w:color="auto" w:sz="4" w:space="0"/>
            </w:tcBorders>
            <w:shd w:val="clear" w:color="auto" w:fill="auto"/>
            <w:vAlign w:val="center"/>
          </w:tcPr>
          <w:p w14:paraId="126A668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w:t>
            </w:r>
          </w:p>
        </w:tc>
        <w:tc>
          <w:tcPr>
            <w:tcW w:w="2443" w:type="dxa"/>
            <w:tcBorders>
              <w:top w:val="nil"/>
              <w:left w:val="nil"/>
              <w:bottom w:val="single" w:color="auto" w:sz="4" w:space="0"/>
              <w:right w:val="single" w:color="auto" w:sz="4" w:space="0"/>
            </w:tcBorders>
            <w:shd w:val="clear" w:color="auto" w:fill="auto"/>
            <w:vAlign w:val="center"/>
          </w:tcPr>
          <w:p w14:paraId="21B9169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809" w:type="dxa"/>
            <w:tcBorders>
              <w:top w:val="nil"/>
              <w:left w:val="nil"/>
              <w:bottom w:val="single" w:color="auto" w:sz="4" w:space="0"/>
              <w:right w:val="single" w:color="auto" w:sz="4" w:space="0"/>
            </w:tcBorders>
            <w:shd w:val="clear" w:color="auto" w:fill="auto"/>
            <w:vAlign w:val="center"/>
          </w:tcPr>
          <w:p w14:paraId="189C896F">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资金使用方向符合文件规定（2分）。</w:t>
            </w:r>
          </w:p>
        </w:tc>
      </w:tr>
      <w:tr w14:paraId="6A0719BB">
        <w:tblPrEx>
          <w:tblCellMar>
            <w:top w:w="0" w:type="dxa"/>
            <w:left w:w="108" w:type="dxa"/>
            <w:bottom w:w="0" w:type="dxa"/>
            <w:right w:w="108" w:type="dxa"/>
          </w:tblCellMar>
        </w:tblPrEx>
        <w:trPr>
          <w:cantSplit/>
          <w:trHeight w:val="992"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7A512F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w:t>
            </w:r>
          </w:p>
        </w:tc>
        <w:tc>
          <w:tcPr>
            <w:tcW w:w="996" w:type="dxa"/>
            <w:vMerge w:val="continue"/>
            <w:tcBorders>
              <w:top w:val="nil"/>
              <w:left w:val="single" w:color="auto" w:sz="4" w:space="0"/>
              <w:bottom w:val="single" w:color="auto" w:sz="4" w:space="0"/>
              <w:right w:val="single" w:color="auto" w:sz="4" w:space="0"/>
            </w:tcBorders>
            <w:vAlign w:val="center"/>
          </w:tcPr>
          <w:p w14:paraId="7768B888">
            <w:pPr>
              <w:widowControl/>
              <w:ind w:firstLine="320"/>
              <w:rPr>
                <w:rFonts w:hint="default" w:ascii="Arial Narrow" w:hAnsi="Arial Narrow" w:eastAsia="仿宋_GB2312" w:cs="Arial Narrow"/>
                <w:kern w:val="0"/>
                <w:sz w:val="16"/>
                <w:szCs w:val="16"/>
              </w:rPr>
            </w:pPr>
          </w:p>
        </w:tc>
        <w:tc>
          <w:tcPr>
            <w:tcW w:w="1025" w:type="dxa"/>
            <w:tcBorders>
              <w:top w:val="nil"/>
              <w:left w:val="nil"/>
              <w:bottom w:val="single" w:color="auto" w:sz="4" w:space="0"/>
              <w:right w:val="single" w:color="auto" w:sz="4" w:space="0"/>
            </w:tcBorders>
            <w:shd w:val="clear" w:color="auto" w:fill="auto"/>
            <w:vAlign w:val="center"/>
          </w:tcPr>
          <w:p w14:paraId="4621547E">
            <w:pPr>
              <w:widowControl/>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资金分解下达进度</w:t>
            </w:r>
          </w:p>
        </w:tc>
        <w:tc>
          <w:tcPr>
            <w:tcW w:w="682" w:type="dxa"/>
            <w:tcBorders>
              <w:top w:val="nil"/>
              <w:left w:val="nil"/>
              <w:bottom w:val="single" w:color="auto" w:sz="4" w:space="0"/>
              <w:right w:val="single" w:color="auto" w:sz="4" w:space="0"/>
            </w:tcBorders>
            <w:shd w:val="clear" w:color="auto" w:fill="auto"/>
            <w:noWrap/>
            <w:vAlign w:val="center"/>
          </w:tcPr>
          <w:p w14:paraId="5F1579A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w:t>
            </w:r>
          </w:p>
        </w:tc>
        <w:tc>
          <w:tcPr>
            <w:tcW w:w="2443" w:type="dxa"/>
            <w:tcBorders>
              <w:top w:val="nil"/>
              <w:left w:val="nil"/>
              <w:bottom w:val="single" w:color="auto" w:sz="4" w:space="0"/>
              <w:right w:val="single" w:color="auto" w:sz="4" w:space="0"/>
            </w:tcBorders>
            <w:shd w:val="clear" w:color="auto" w:fill="auto"/>
            <w:vAlign w:val="center"/>
          </w:tcPr>
          <w:p w14:paraId="2181A565">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评价区级业务主管部门分解下达当年资金及次年提前批资金进度情况。</w:t>
            </w:r>
          </w:p>
        </w:tc>
        <w:tc>
          <w:tcPr>
            <w:tcW w:w="3809" w:type="dxa"/>
            <w:tcBorders>
              <w:top w:val="nil"/>
              <w:left w:val="nil"/>
              <w:bottom w:val="single" w:color="auto" w:sz="4" w:space="0"/>
              <w:right w:val="single" w:color="auto" w:sz="4" w:space="0"/>
            </w:tcBorders>
            <w:shd w:val="clear" w:color="auto" w:fill="auto"/>
            <w:vAlign w:val="center"/>
          </w:tcPr>
          <w:p w14:paraId="6FC8D94B">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区财政局下达资金文件时间到区级业务主管部门下达项目及资金计划文件时间间隔≤30日（3分）。</w:t>
            </w:r>
          </w:p>
        </w:tc>
      </w:tr>
      <w:tr w14:paraId="6F127AD6">
        <w:tblPrEx>
          <w:tblCellMar>
            <w:top w:w="0" w:type="dxa"/>
            <w:left w:w="108" w:type="dxa"/>
            <w:bottom w:w="0" w:type="dxa"/>
            <w:right w:w="108" w:type="dxa"/>
          </w:tblCellMar>
        </w:tblPrEx>
        <w:trPr>
          <w:cantSplit/>
          <w:trHeight w:val="138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45C785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w:t>
            </w:r>
          </w:p>
        </w:tc>
        <w:tc>
          <w:tcPr>
            <w:tcW w:w="996" w:type="dxa"/>
            <w:vMerge w:val="restart"/>
            <w:tcBorders>
              <w:top w:val="nil"/>
              <w:left w:val="single" w:color="auto" w:sz="4" w:space="0"/>
              <w:bottom w:val="single" w:color="auto" w:sz="4" w:space="0"/>
              <w:right w:val="single" w:color="auto" w:sz="4" w:space="0"/>
            </w:tcBorders>
            <w:shd w:val="clear" w:color="auto" w:fill="auto"/>
            <w:vAlign w:val="center"/>
          </w:tcPr>
          <w:p w14:paraId="30CB177B">
            <w:pPr>
              <w:widowControl/>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项目管理（55分）</w:t>
            </w:r>
          </w:p>
        </w:tc>
        <w:tc>
          <w:tcPr>
            <w:tcW w:w="1025" w:type="dxa"/>
            <w:tcBorders>
              <w:top w:val="nil"/>
              <w:left w:val="nil"/>
              <w:bottom w:val="single" w:color="auto" w:sz="4" w:space="0"/>
              <w:right w:val="single" w:color="auto" w:sz="4" w:space="0"/>
            </w:tcBorders>
            <w:shd w:val="clear" w:color="auto" w:fill="auto"/>
            <w:vAlign w:val="center"/>
          </w:tcPr>
          <w:p w14:paraId="07F5ADD3">
            <w:pPr>
              <w:widowControl/>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项目库建设管理情况</w:t>
            </w:r>
          </w:p>
        </w:tc>
        <w:tc>
          <w:tcPr>
            <w:tcW w:w="682" w:type="dxa"/>
            <w:tcBorders>
              <w:top w:val="nil"/>
              <w:left w:val="nil"/>
              <w:bottom w:val="single" w:color="auto" w:sz="4" w:space="0"/>
              <w:right w:val="single" w:color="auto" w:sz="4" w:space="0"/>
            </w:tcBorders>
            <w:shd w:val="clear" w:color="auto" w:fill="auto"/>
            <w:noWrap/>
            <w:vAlign w:val="center"/>
          </w:tcPr>
          <w:p w14:paraId="7236A3D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2443" w:type="dxa"/>
            <w:tcBorders>
              <w:top w:val="nil"/>
              <w:left w:val="nil"/>
              <w:bottom w:val="nil"/>
              <w:right w:val="nil"/>
            </w:tcBorders>
            <w:shd w:val="clear" w:color="auto" w:fill="auto"/>
            <w:vAlign w:val="center"/>
          </w:tcPr>
          <w:p w14:paraId="3124E231">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评价落实《铜梁区巩固拓展脱贫攻坚成果和衔接乡村振兴项目库建设管理实施细则》（铜乡振〔2021〕7号）落实情况。根据抽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809" w:type="dxa"/>
            <w:tcBorders>
              <w:top w:val="nil"/>
              <w:left w:val="single" w:color="auto" w:sz="4" w:space="0"/>
              <w:bottom w:val="single" w:color="auto" w:sz="4" w:space="0"/>
              <w:right w:val="single" w:color="auto" w:sz="4" w:space="0"/>
            </w:tcBorders>
            <w:shd w:val="clear" w:color="auto" w:fill="auto"/>
            <w:vAlign w:val="center"/>
          </w:tcPr>
          <w:p w14:paraId="598E20F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1.项目入库及时充分、程序规范、内容完整（3分）；</w:t>
            </w:r>
          </w:p>
          <w:p w14:paraId="267D48C5">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2.入库项目具备实施条件（2分）；</w:t>
            </w:r>
          </w:p>
          <w:p w14:paraId="4F7CA20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3.衔接资金用于项目库之外的项目（-5分）。</w:t>
            </w:r>
          </w:p>
        </w:tc>
      </w:tr>
      <w:tr w14:paraId="01098336">
        <w:tblPrEx>
          <w:tblCellMar>
            <w:top w:w="0" w:type="dxa"/>
            <w:left w:w="108" w:type="dxa"/>
            <w:bottom w:w="0" w:type="dxa"/>
            <w:right w:w="108" w:type="dxa"/>
          </w:tblCellMar>
        </w:tblPrEx>
        <w:trPr>
          <w:cantSplit/>
          <w:trHeight w:val="1809"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863481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4</w:t>
            </w:r>
          </w:p>
        </w:tc>
        <w:tc>
          <w:tcPr>
            <w:tcW w:w="996" w:type="dxa"/>
            <w:vMerge w:val="continue"/>
            <w:tcBorders>
              <w:top w:val="nil"/>
              <w:left w:val="single" w:color="auto" w:sz="4" w:space="0"/>
              <w:bottom w:val="single" w:color="auto" w:sz="4" w:space="0"/>
              <w:right w:val="single" w:color="auto" w:sz="4" w:space="0"/>
            </w:tcBorders>
            <w:vAlign w:val="center"/>
          </w:tcPr>
          <w:p w14:paraId="6FF93AB5">
            <w:pPr>
              <w:widowControl/>
              <w:ind w:firstLine="320"/>
              <w:rPr>
                <w:rFonts w:hint="default" w:ascii="Arial Narrow" w:hAnsi="Arial Narrow" w:eastAsia="仿宋_GB2312" w:cs="Arial Narrow"/>
                <w:kern w:val="0"/>
                <w:sz w:val="16"/>
                <w:szCs w:val="16"/>
              </w:rPr>
            </w:pPr>
          </w:p>
        </w:tc>
        <w:tc>
          <w:tcPr>
            <w:tcW w:w="1025" w:type="dxa"/>
            <w:tcBorders>
              <w:top w:val="nil"/>
              <w:left w:val="nil"/>
              <w:bottom w:val="single" w:color="auto" w:sz="4" w:space="0"/>
              <w:right w:val="single" w:color="auto" w:sz="4" w:space="0"/>
            </w:tcBorders>
            <w:shd w:val="clear" w:color="auto" w:fill="auto"/>
            <w:vAlign w:val="center"/>
          </w:tcPr>
          <w:p w14:paraId="2FF2B704">
            <w:pPr>
              <w:widowControl/>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项目绩效管理情况</w:t>
            </w:r>
          </w:p>
        </w:tc>
        <w:tc>
          <w:tcPr>
            <w:tcW w:w="682" w:type="dxa"/>
            <w:tcBorders>
              <w:top w:val="nil"/>
              <w:left w:val="nil"/>
              <w:bottom w:val="single" w:color="auto" w:sz="4" w:space="0"/>
              <w:right w:val="single" w:color="auto" w:sz="4" w:space="0"/>
            </w:tcBorders>
            <w:shd w:val="clear" w:color="auto" w:fill="auto"/>
            <w:noWrap/>
            <w:vAlign w:val="center"/>
          </w:tcPr>
          <w:p w14:paraId="168B95A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2443" w:type="dxa"/>
            <w:tcBorders>
              <w:top w:val="single" w:color="auto" w:sz="4" w:space="0"/>
              <w:left w:val="nil"/>
              <w:bottom w:val="single" w:color="auto" w:sz="4" w:space="0"/>
              <w:right w:val="single" w:color="auto" w:sz="4" w:space="0"/>
            </w:tcBorders>
            <w:shd w:val="clear" w:color="auto" w:fill="auto"/>
            <w:vAlign w:val="center"/>
          </w:tcPr>
          <w:p w14:paraId="69DCE08E">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评价具体项目实施方案明确绩效目标情况、开展跟踪监督绩效监控情况、事后评价情况等。根据抽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809" w:type="dxa"/>
            <w:tcBorders>
              <w:top w:val="nil"/>
              <w:left w:val="nil"/>
              <w:bottom w:val="single" w:color="auto" w:sz="4" w:space="0"/>
              <w:right w:val="single" w:color="auto" w:sz="4" w:space="0"/>
            </w:tcBorders>
            <w:shd w:val="clear" w:color="auto" w:fill="auto"/>
            <w:vAlign w:val="center"/>
          </w:tcPr>
          <w:p w14:paraId="1FB4A936">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1.及时制定绩效目标、审核绩效目标（2分）；</w:t>
            </w:r>
          </w:p>
          <w:p w14:paraId="174FBFB6">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2.开展绩效监控不少于1次（2分）；</w:t>
            </w:r>
          </w:p>
          <w:p w14:paraId="4DF86959">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3.对绩效目标偏离项目采取纠偏措施（2分）；</w:t>
            </w:r>
          </w:p>
          <w:p w14:paraId="2A7027A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4.项目实施完毕后立即开展绩效自评，并形成绩效自评报告及绩效自评表。（2分）</w:t>
            </w:r>
          </w:p>
          <w:p w14:paraId="4A982483">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5.项目绩效是否达到预期。（2分）</w:t>
            </w:r>
          </w:p>
        </w:tc>
      </w:tr>
      <w:tr w14:paraId="1CB4374C">
        <w:tblPrEx>
          <w:tblCellMar>
            <w:top w:w="0" w:type="dxa"/>
            <w:left w:w="108" w:type="dxa"/>
            <w:bottom w:w="0" w:type="dxa"/>
            <w:right w:w="108" w:type="dxa"/>
          </w:tblCellMar>
        </w:tblPrEx>
        <w:trPr>
          <w:cantSplit/>
          <w:trHeight w:val="214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779DE0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996" w:type="dxa"/>
            <w:vMerge w:val="continue"/>
            <w:tcBorders>
              <w:top w:val="nil"/>
              <w:left w:val="single" w:color="auto" w:sz="4" w:space="0"/>
              <w:bottom w:val="single" w:color="auto" w:sz="4" w:space="0"/>
              <w:right w:val="single" w:color="auto" w:sz="4" w:space="0"/>
            </w:tcBorders>
            <w:vAlign w:val="center"/>
          </w:tcPr>
          <w:p w14:paraId="29B872BB">
            <w:pPr>
              <w:widowControl/>
              <w:ind w:firstLine="320"/>
              <w:rPr>
                <w:rFonts w:hint="default" w:ascii="Arial Narrow" w:hAnsi="Arial Narrow" w:eastAsia="仿宋_GB2312" w:cs="Arial Narrow"/>
                <w:kern w:val="0"/>
                <w:sz w:val="16"/>
                <w:szCs w:val="16"/>
              </w:rPr>
            </w:pPr>
          </w:p>
        </w:tc>
        <w:tc>
          <w:tcPr>
            <w:tcW w:w="1025" w:type="dxa"/>
            <w:tcBorders>
              <w:top w:val="nil"/>
              <w:left w:val="nil"/>
              <w:bottom w:val="single" w:color="auto" w:sz="4" w:space="0"/>
              <w:right w:val="single" w:color="auto" w:sz="4" w:space="0"/>
            </w:tcBorders>
            <w:shd w:val="clear" w:color="auto" w:fill="auto"/>
            <w:vAlign w:val="center"/>
          </w:tcPr>
          <w:p w14:paraId="2622575B">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项目建设管理情况</w:t>
            </w:r>
          </w:p>
        </w:tc>
        <w:tc>
          <w:tcPr>
            <w:tcW w:w="682" w:type="dxa"/>
            <w:tcBorders>
              <w:top w:val="nil"/>
              <w:left w:val="nil"/>
              <w:bottom w:val="single" w:color="auto" w:sz="4" w:space="0"/>
              <w:right w:val="single" w:color="auto" w:sz="4" w:space="0"/>
            </w:tcBorders>
            <w:shd w:val="clear" w:color="auto" w:fill="auto"/>
            <w:vAlign w:val="center"/>
          </w:tcPr>
          <w:p w14:paraId="2FDE357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6</w:t>
            </w:r>
          </w:p>
        </w:tc>
        <w:tc>
          <w:tcPr>
            <w:tcW w:w="2443" w:type="dxa"/>
            <w:tcBorders>
              <w:top w:val="nil"/>
              <w:left w:val="nil"/>
              <w:bottom w:val="single" w:color="auto" w:sz="4" w:space="0"/>
              <w:right w:val="single" w:color="auto" w:sz="4" w:space="0"/>
            </w:tcBorders>
            <w:shd w:val="clear" w:color="auto" w:fill="auto"/>
            <w:vAlign w:val="center"/>
          </w:tcPr>
          <w:p w14:paraId="75A6813B">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评价有序推进项目前期工作、组织实施、项目验收、资料报送等情况。根据抽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809" w:type="dxa"/>
            <w:tcBorders>
              <w:top w:val="nil"/>
              <w:left w:val="nil"/>
              <w:bottom w:val="single" w:color="auto" w:sz="4" w:space="0"/>
              <w:right w:val="single" w:color="auto" w:sz="4" w:space="0"/>
            </w:tcBorders>
            <w:shd w:val="clear" w:color="auto" w:fill="auto"/>
            <w:vAlign w:val="center"/>
          </w:tcPr>
          <w:p w14:paraId="56A7E1FF">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1.项目实施方法存在变更是否按规定报批；（1分）</w:t>
            </w:r>
          </w:p>
          <w:p w14:paraId="695E183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2.是否定期对项目实施情况进行监督检查，对检查中发现的问题进行整改；（2分）</w:t>
            </w:r>
          </w:p>
          <w:p w14:paraId="225D794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3.是否按照项目实施节点按时提交项目报账资料；（1分）</w:t>
            </w:r>
          </w:p>
          <w:p w14:paraId="54B3A74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4.日常管理资料是否及时归档整理；（1分）</w:t>
            </w:r>
          </w:p>
          <w:p w14:paraId="3297FB93">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5.项目完工后是否在规定时间内进行验收。（1分）</w:t>
            </w:r>
          </w:p>
        </w:tc>
      </w:tr>
      <w:tr w14:paraId="24492031">
        <w:tblPrEx>
          <w:tblCellMar>
            <w:top w:w="0" w:type="dxa"/>
            <w:left w:w="108" w:type="dxa"/>
            <w:bottom w:w="0" w:type="dxa"/>
            <w:right w:w="108" w:type="dxa"/>
          </w:tblCellMar>
        </w:tblPrEx>
        <w:trPr>
          <w:cantSplit/>
          <w:trHeight w:val="3320"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D852FE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6</w:t>
            </w:r>
          </w:p>
        </w:tc>
        <w:tc>
          <w:tcPr>
            <w:tcW w:w="996" w:type="dxa"/>
            <w:vMerge w:val="continue"/>
            <w:tcBorders>
              <w:top w:val="nil"/>
              <w:left w:val="single" w:color="auto" w:sz="4" w:space="0"/>
              <w:bottom w:val="single" w:color="auto" w:sz="4" w:space="0"/>
              <w:right w:val="single" w:color="auto" w:sz="4" w:space="0"/>
            </w:tcBorders>
            <w:vAlign w:val="center"/>
          </w:tcPr>
          <w:p w14:paraId="629F6B70">
            <w:pPr>
              <w:widowControl/>
              <w:ind w:firstLine="320"/>
              <w:rPr>
                <w:rFonts w:hint="default" w:ascii="Arial Narrow" w:hAnsi="Arial Narrow" w:eastAsia="仿宋_GB2312" w:cs="Arial Narrow"/>
                <w:kern w:val="0"/>
                <w:sz w:val="16"/>
                <w:szCs w:val="16"/>
              </w:rPr>
            </w:pPr>
          </w:p>
        </w:tc>
        <w:tc>
          <w:tcPr>
            <w:tcW w:w="1025" w:type="dxa"/>
            <w:tcBorders>
              <w:top w:val="nil"/>
              <w:left w:val="nil"/>
              <w:bottom w:val="single" w:color="auto" w:sz="4" w:space="0"/>
              <w:right w:val="single" w:color="auto" w:sz="4" w:space="0"/>
            </w:tcBorders>
            <w:shd w:val="clear" w:color="auto" w:fill="auto"/>
            <w:vAlign w:val="center"/>
          </w:tcPr>
          <w:p w14:paraId="505D1114">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预算执行率情况</w:t>
            </w:r>
          </w:p>
        </w:tc>
        <w:tc>
          <w:tcPr>
            <w:tcW w:w="682" w:type="dxa"/>
            <w:tcBorders>
              <w:top w:val="nil"/>
              <w:left w:val="nil"/>
              <w:bottom w:val="single" w:color="auto" w:sz="4" w:space="0"/>
              <w:right w:val="single" w:color="auto" w:sz="4" w:space="0"/>
            </w:tcBorders>
            <w:shd w:val="clear" w:color="auto" w:fill="auto"/>
            <w:noWrap/>
            <w:vAlign w:val="center"/>
          </w:tcPr>
          <w:p w14:paraId="3FC3083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12</w:t>
            </w:r>
          </w:p>
        </w:tc>
        <w:tc>
          <w:tcPr>
            <w:tcW w:w="2443" w:type="dxa"/>
            <w:tcBorders>
              <w:top w:val="nil"/>
              <w:left w:val="nil"/>
              <w:bottom w:val="single" w:color="auto" w:sz="4" w:space="0"/>
              <w:right w:val="single" w:color="auto" w:sz="4" w:space="0"/>
            </w:tcBorders>
            <w:shd w:val="clear" w:color="auto" w:fill="auto"/>
            <w:vAlign w:val="center"/>
          </w:tcPr>
          <w:p w14:paraId="7163412F">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评价有序推进项目工作和资金支付情况。根据抽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809" w:type="dxa"/>
            <w:tcBorders>
              <w:top w:val="nil"/>
              <w:left w:val="nil"/>
              <w:bottom w:val="single" w:color="auto" w:sz="4" w:space="0"/>
              <w:right w:val="single" w:color="auto" w:sz="4" w:space="0"/>
            </w:tcBorders>
            <w:shd w:val="clear" w:color="auto" w:fill="auto"/>
            <w:vAlign w:val="center"/>
          </w:tcPr>
          <w:p w14:paraId="41D5E31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1.主要通过支出进度评价有序推进项目工作和资金支付情况，于7月末、10月中旬定期调度。</w:t>
            </w:r>
          </w:p>
          <w:p w14:paraId="0BE4C400">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2.7月末支出进度评分4分。资金支出进度达到全区平均进度或者序时进度的，得满分；未达到的按照与序时进度的比例扣分；</w:t>
            </w:r>
          </w:p>
          <w:p w14:paraId="7551A3B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3.10月中旬支出进度评分4分。资金支出进度达到全区平均进度或者序时进度的，得满分；未达到的按照与序时进度的比例扣分；</w:t>
            </w:r>
          </w:p>
          <w:p w14:paraId="42140385">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4.10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7E03ED82">
        <w:tblPrEx>
          <w:tblCellMar>
            <w:top w:w="0" w:type="dxa"/>
            <w:left w:w="108" w:type="dxa"/>
            <w:bottom w:w="0" w:type="dxa"/>
            <w:right w:w="108" w:type="dxa"/>
          </w:tblCellMar>
        </w:tblPrEx>
        <w:trPr>
          <w:cantSplit/>
          <w:trHeight w:val="162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AA56C75">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7</w:t>
            </w:r>
          </w:p>
        </w:tc>
        <w:tc>
          <w:tcPr>
            <w:tcW w:w="996" w:type="dxa"/>
            <w:vMerge w:val="continue"/>
            <w:tcBorders>
              <w:top w:val="nil"/>
              <w:left w:val="single" w:color="auto" w:sz="4" w:space="0"/>
              <w:bottom w:val="single" w:color="auto" w:sz="4" w:space="0"/>
              <w:right w:val="single" w:color="auto" w:sz="4" w:space="0"/>
            </w:tcBorders>
            <w:vAlign w:val="center"/>
          </w:tcPr>
          <w:p w14:paraId="2C404825">
            <w:pPr>
              <w:widowControl/>
              <w:ind w:firstLine="320"/>
              <w:rPr>
                <w:rFonts w:hint="default" w:ascii="Arial Narrow" w:hAnsi="Arial Narrow" w:eastAsia="仿宋_GB2312" w:cs="Arial Narrow"/>
                <w:kern w:val="0"/>
                <w:sz w:val="16"/>
                <w:szCs w:val="16"/>
              </w:rPr>
            </w:pPr>
          </w:p>
        </w:tc>
        <w:tc>
          <w:tcPr>
            <w:tcW w:w="1025" w:type="dxa"/>
            <w:tcBorders>
              <w:top w:val="nil"/>
              <w:left w:val="nil"/>
              <w:bottom w:val="single" w:color="auto" w:sz="4" w:space="0"/>
              <w:right w:val="single" w:color="auto" w:sz="4" w:space="0"/>
            </w:tcBorders>
            <w:shd w:val="clear" w:color="auto" w:fill="auto"/>
            <w:vAlign w:val="center"/>
          </w:tcPr>
          <w:p w14:paraId="2CB569D0">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跟踪督促及发现问题整改情况</w:t>
            </w:r>
          </w:p>
        </w:tc>
        <w:tc>
          <w:tcPr>
            <w:tcW w:w="682" w:type="dxa"/>
            <w:tcBorders>
              <w:top w:val="nil"/>
              <w:left w:val="nil"/>
              <w:bottom w:val="single" w:color="auto" w:sz="4" w:space="0"/>
              <w:right w:val="single" w:color="auto" w:sz="4" w:space="0"/>
            </w:tcBorders>
            <w:shd w:val="clear" w:color="auto" w:fill="auto"/>
            <w:noWrap/>
            <w:vAlign w:val="center"/>
          </w:tcPr>
          <w:p w14:paraId="57A0C40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8</w:t>
            </w:r>
          </w:p>
        </w:tc>
        <w:tc>
          <w:tcPr>
            <w:tcW w:w="2443" w:type="dxa"/>
            <w:tcBorders>
              <w:top w:val="nil"/>
              <w:left w:val="nil"/>
              <w:bottom w:val="single" w:color="auto" w:sz="4" w:space="0"/>
              <w:right w:val="single" w:color="auto" w:sz="4" w:space="0"/>
            </w:tcBorders>
            <w:shd w:val="clear" w:color="auto" w:fill="auto"/>
            <w:vAlign w:val="center"/>
          </w:tcPr>
          <w:p w14:paraId="66A5FBA3">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评价定期开展监督检查情况、发现问题整改情况。根据未处理问题比例扣减。根据抽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809" w:type="dxa"/>
            <w:tcBorders>
              <w:top w:val="nil"/>
              <w:left w:val="nil"/>
              <w:bottom w:val="single" w:color="auto" w:sz="4" w:space="0"/>
              <w:right w:val="single" w:color="auto" w:sz="4" w:space="0"/>
            </w:tcBorders>
            <w:shd w:val="clear" w:color="auto" w:fill="auto"/>
            <w:vAlign w:val="center"/>
          </w:tcPr>
          <w:p w14:paraId="4B537BBD">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1.定期开展项目实施和资金支出进度等跟踪督促情况，落实到位的得2分，未完全落实到位的酌情扣分；</w:t>
            </w:r>
          </w:p>
          <w:p w14:paraId="18FDE86C">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2.跟踪督促及各类检查发现问题整改到位情况，满分5分，根据未整改问题比例扣减；</w:t>
            </w:r>
          </w:p>
          <w:p w14:paraId="14E54D7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3.全国12317防止返贫监测和乡村振兴咨询服务平台（简称12317平台）反馈问题处理情况，满分1分。</w:t>
            </w:r>
          </w:p>
        </w:tc>
      </w:tr>
      <w:tr w14:paraId="6B535622">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95C0BB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8</w:t>
            </w:r>
          </w:p>
        </w:tc>
        <w:tc>
          <w:tcPr>
            <w:tcW w:w="996" w:type="dxa"/>
            <w:vMerge w:val="continue"/>
            <w:tcBorders>
              <w:top w:val="nil"/>
              <w:left w:val="single" w:color="auto" w:sz="4" w:space="0"/>
              <w:bottom w:val="single" w:color="auto" w:sz="4" w:space="0"/>
              <w:right w:val="single" w:color="auto" w:sz="4" w:space="0"/>
            </w:tcBorders>
            <w:vAlign w:val="center"/>
          </w:tcPr>
          <w:p w14:paraId="4F097DDD">
            <w:pPr>
              <w:widowControl/>
              <w:ind w:firstLine="320"/>
              <w:rPr>
                <w:rFonts w:hint="default" w:ascii="Arial Narrow" w:hAnsi="Arial Narrow" w:eastAsia="仿宋_GB2312" w:cs="Arial Narrow"/>
                <w:kern w:val="0"/>
                <w:sz w:val="16"/>
                <w:szCs w:val="16"/>
              </w:rPr>
            </w:pPr>
          </w:p>
        </w:tc>
        <w:tc>
          <w:tcPr>
            <w:tcW w:w="1025" w:type="dxa"/>
            <w:tcBorders>
              <w:top w:val="nil"/>
              <w:left w:val="nil"/>
              <w:bottom w:val="single" w:color="auto" w:sz="4" w:space="0"/>
              <w:right w:val="single" w:color="auto" w:sz="4" w:space="0"/>
            </w:tcBorders>
            <w:shd w:val="clear" w:color="auto" w:fill="auto"/>
            <w:vAlign w:val="center"/>
          </w:tcPr>
          <w:p w14:paraId="7236BF4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账务处理及档案管理等情况</w:t>
            </w:r>
          </w:p>
        </w:tc>
        <w:tc>
          <w:tcPr>
            <w:tcW w:w="682" w:type="dxa"/>
            <w:tcBorders>
              <w:top w:val="nil"/>
              <w:left w:val="nil"/>
              <w:bottom w:val="single" w:color="auto" w:sz="4" w:space="0"/>
              <w:right w:val="single" w:color="auto" w:sz="4" w:space="0"/>
            </w:tcBorders>
            <w:shd w:val="clear" w:color="auto" w:fill="auto"/>
            <w:noWrap/>
            <w:vAlign w:val="center"/>
          </w:tcPr>
          <w:p w14:paraId="76F4AD4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2443" w:type="dxa"/>
            <w:tcBorders>
              <w:top w:val="nil"/>
              <w:left w:val="nil"/>
              <w:bottom w:val="single" w:color="auto" w:sz="4" w:space="0"/>
              <w:right w:val="single" w:color="auto" w:sz="4" w:space="0"/>
            </w:tcBorders>
            <w:shd w:val="clear" w:color="auto" w:fill="auto"/>
            <w:vAlign w:val="center"/>
          </w:tcPr>
          <w:p w14:paraId="113D9EE1">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评价账务处理，资产转固，收益管理、档案管理等情况。根据抽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809" w:type="dxa"/>
            <w:tcBorders>
              <w:top w:val="nil"/>
              <w:left w:val="nil"/>
              <w:bottom w:val="single" w:color="auto" w:sz="4" w:space="0"/>
              <w:right w:val="single" w:color="auto" w:sz="4" w:space="0"/>
            </w:tcBorders>
            <w:shd w:val="clear" w:color="auto" w:fill="auto"/>
            <w:vAlign w:val="center"/>
          </w:tcPr>
          <w:p w14:paraId="3BFBC151">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1.财务处理是否规范，原始凭证是否齐全，建成资产是否及时转固、收益管理是否合规；（4分）</w:t>
            </w:r>
          </w:p>
          <w:p w14:paraId="4845DDED">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2.档案管理是否完整、合规、真实。（1分）</w:t>
            </w:r>
          </w:p>
        </w:tc>
      </w:tr>
      <w:tr w14:paraId="2F74B774">
        <w:tblPrEx>
          <w:tblCellMar>
            <w:top w:w="0" w:type="dxa"/>
            <w:left w:w="108" w:type="dxa"/>
            <w:bottom w:w="0" w:type="dxa"/>
            <w:right w:w="108" w:type="dxa"/>
          </w:tblCellMar>
        </w:tblPrEx>
        <w:trPr>
          <w:cantSplit/>
          <w:trHeight w:val="172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5EE5AD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9</w:t>
            </w:r>
          </w:p>
        </w:tc>
        <w:tc>
          <w:tcPr>
            <w:tcW w:w="996" w:type="dxa"/>
            <w:vMerge w:val="continue"/>
            <w:tcBorders>
              <w:top w:val="nil"/>
              <w:left w:val="single" w:color="auto" w:sz="4" w:space="0"/>
              <w:bottom w:val="single" w:color="auto" w:sz="4" w:space="0"/>
              <w:right w:val="single" w:color="auto" w:sz="4" w:space="0"/>
            </w:tcBorders>
            <w:vAlign w:val="center"/>
          </w:tcPr>
          <w:p w14:paraId="16F5F751">
            <w:pPr>
              <w:widowControl/>
              <w:ind w:firstLine="320"/>
              <w:rPr>
                <w:rFonts w:hint="default" w:ascii="Arial Narrow" w:hAnsi="Arial Narrow" w:eastAsia="仿宋_GB2312" w:cs="Arial Narrow"/>
                <w:kern w:val="0"/>
                <w:sz w:val="16"/>
                <w:szCs w:val="16"/>
              </w:rPr>
            </w:pPr>
          </w:p>
        </w:tc>
        <w:tc>
          <w:tcPr>
            <w:tcW w:w="1025" w:type="dxa"/>
            <w:tcBorders>
              <w:top w:val="nil"/>
              <w:left w:val="nil"/>
              <w:bottom w:val="single" w:color="auto" w:sz="4" w:space="0"/>
              <w:right w:val="single" w:color="auto" w:sz="4" w:space="0"/>
            </w:tcBorders>
            <w:shd w:val="clear" w:color="auto" w:fill="auto"/>
            <w:vAlign w:val="center"/>
          </w:tcPr>
          <w:p w14:paraId="26611D4C">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信息公开和公告公示制度落实情况</w:t>
            </w:r>
          </w:p>
        </w:tc>
        <w:tc>
          <w:tcPr>
            <w:tcW w:w="682" w:type="dxa"/>
            <w:tcBorders>
              <w:top w:val="nil"/>
              <w:left w:val="nil"/>
              <w:bottom w:val="single" w:color="auto" w:sz="4" w:space="0"/>
              <w:right w:val="single" w:color="auto" w:sz="4" w:space="0"/>
            </w:tcBorders>
            <w:shd w:val="clear" w:color="auto" w:fill="auto"/>
            <w:noWrap/>
            <w:vAlign w:val="center"/>
          </w:tcPr>
          <w:p w14:paraId="7DB906A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9</w:t>
            </w:r>
          </w:p>
        </w:tc>
        <w:tc>
          <w:tcPr>
            <w:tcW w:w="2443" w:type="dxa"/>
            <w:tcBorders>
              <w:top w:val="nil"/>
              <w:left w:val="nil"/>
              <w:bottom w:val="single" w:color="auto" w:sz="4" w:space="0"/>
              <w:right w:val="single" w:color="auto" w:sz="4" w:space="0"/>
            </w:tcBorders>
            <w:shd w:val="clear" w:color="auto" w:fill="auto"/>
            <w:vAlign w:val="center"/>
          </w:tcPr>
          <w:p w14:paraId="55A50AF3">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评价区级、镇级、村级落实《铜梁区财政衔接推进乡村振兴补助资金项目公告公示实施办法》（铜委农办〔2021〕19号）文件要求情况。根据抽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809" w:type="dxa"/>
            <w:tcBorders>
              <w:top w:val="nil"/>
              <w:left w:val="nil"/>
              <w:bottom w:val="single" w:color="auto" w:sz="4" w:space="0"/>
              <w:right w:val="single" w:color="auto" w:sz="4" w:space="0"/>
            </w:tcBorders>
            <w:shd w:val="clear" w:color="auto" w:fill="auto"/>
            <w:vAlign w:val="center"/>
          </w:tcPr>
          <w:p w14:paraId="4E050026">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分区级、镇级、村级进行评价。</w:t>
            </w:r>
          </w:p>
          <w:p w14:paraId="0083F930">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1.抽查区级公示公开情况，满分3分，未完整公开酌情扣分；</w:t>
            </w:r>
          </w:p>
          <w:p w14:paraId="1509892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2.抽查镇级公示公开情况，满分3分，未完整公开酌情扣分；</w:t>
            </w:r>
          </w:p>
          <w:p w14:paraId="24B405D0">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3.抽查村级公示公开情况，满分3分，未完整公开酌情扣分。</w:t>
            </w:r>
          </w:p>
        </w:tc>
      </w:tr>
      <w:tr w14:paraId="524976CB">
        <w:tblPrEx>
          <w:tblCellMar>
            <w:top w:w="0" w:type="dxa"/>
            <w:left w:w="108" w:type="dxa"/>
            <w:bottom w:w="0" w:type="dxa"/>
            <w:right w:w="108" w:type="dxa"/>
          </w:tblCellMar>
        </w:tblPrEx>
        <w:trPr>
          <w:cantSplit/>
          <w:trHeight w:val="2650"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7B5E18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996" w:type="dxa"/>
            <w:vMerge w:val="restart"/>
            <w:tcBorders>
              <w:top w:val="nil"/>
              <w:left w:val="single" w:color="auto" w:sz="4" w:space="0"/>
              <w:bottom w:val="single" w:color="auto" w:sz="4" w:space="0"/>
              <w:right w:val="single" w:color="auto" w:sz="4" w:space="0"/>
            </w:tcBorders>
            <w:shd w:val="clear" w:color="auto" w:fill="auto"/>
            <w:vAlign w:val="center"/>
          </w:tcPr>
          <w:p w14:paraId="2BC142A2">
            <w:pPr>
              <w:widowControl/>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使用成效及通报情况（40分）</w:t>
            </w:r>
          </w:p>
        </w:tc>
        <w:tc>
          <w:tcPr>
            <w:tcW w:w="1025" w:type="dxa"/>
            <w:tcBorders>
              <w:top w:val="nil"/>
              <w:left w:val="nil"/>
              <w:bottom w:val="single" w:color="auto" w:sz="4" w:space="0"/>
              <w:right w:val="single" w:color="auto" w:sz="4" w:space="0"/>
            </w:tcBorders>
            <w:shd w:val="clear" w:color="auto" w:fill="auto"/>
            <w:vAlign w:val="center"/>
          </w:tcPr>
          <w:p w14:paraId="2A35692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资金使用效益</w:t>
            </w:r>
          </w:p>
        </w:tc>
        <w:tc>
          <w:tcPr>
            <w:tcW w:w="682" w:type="dxa"/>
            <w:tcBorders>
              <w:top w:val="nil"/>
              <w:left w:val="nil"/>
              <w:bottom w:val="single" w:color="auto" w:sz="4" w:space="0"/>
              <w:right w:val="single" w:color="auto" w:sz="4" w:space="0"/>
            </w:tcBorders>
            <w:shd w:val="clear" w:color="auto" w:fill="auto"/>
            <w:noWrap/>
            <w:vAlign w:val="center"/>
          </w:tcPr>
          <w:p w14:paraId="01C4678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35</w:t>
            </w:r>
          </w:p>
        </w:tc>
        <w:tc>
          <w:tcPr>
            <w:tcW w:w="2443" w:type="dxa"/>
            <w:tcBorders>
              <w:top w:val="nil"/>
              <w:left w:val="nil"/>
              <w:bottom w:val="single" w:color="auto" w:sz="4" w:space="0"/>
              <w:right w:val="single" w:color="auto" w:sz="4" w:space="0"/>
            </w:tcBorders>
            <w:shd w:val="clear" w:color="auto" w:fill="auto"/>
            <w:vAlign w:val="center"/>
          </w:tcPr>
          <w:p w14:paraId="44B77784">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评价项目是否达到预期成效，后续管护是否存在问题等。根据抽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情况赋分。</w:t>
            </w:r>
          </w:p>
        </w:tc>
        <w:tc>
          <w:tcPr>
            <w:tcW w:w="3809" w:type="dxa"/>
            <w:tcBorders>
              <w:top w:val="nil"/>
              <w:left w:val="nil"/>
              <w:bottom w:val="single" w:color="auto" w:sz="4" w:space="0"/>
              <w:right w:val="single" w:color="auto" w:sz="4" w:space="0"/>
            </w:tcBorders>
            <w:shd w:val="clear" w:color="auto" w:fill="auto"/>
            <w:vAlign w:val="center"/>
          </w:tcPr>
          <w:p w14:paraId="0FF889B9">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满分35分，根据抽</w:t>
            </w:r>
            <w:r>
              <w:rPr>
                <w:rFonts w:hint="default" w:ascii="Arial Narrow" w:hAnsi="Arial Narrow" w:eastAsia="仿宋_GB2312" w:cs="Arial Narrow"/>
                <w:kern w:val="0"/>
                <w:sz w:val="16"/>
                <w:szCs w:val="16"/>
                <w:lang w:eastAsia="zh-CN"/>
              </w:rPr>
              <w:t>查</w:t>
            </w:r>
            <w:r>
              <w:rPr>
                <w:rFonts w:hint="default" w:ascii="Arial Narrow" w:hAnsi="Arial Narrow" w:eastAsia="仿宋_GB2312" w:cs="Arial Narrow"/>
                <w:kern w:val="0"/>
                <w:sz w:val="16"/>
                <w:szCs w:val="16"/>
              </w:rPr>
              <w:t>项目情况赋分。项目管理各环节，每存在一例不符合相关规定的，扣0.5分，扣完为止。</w:t>
            </w:r>
          </w:p>
        </w:tc>
      </w:tr>
      <w:tr w14:paraId="26828BB9">
        <w:tblPrEx>
          <w:tblCellMar>
            <w:top w:w="0" w:type="dxa"/>
            <w:left w:w="108" w:type="dxa"/>
            <w:bottom w:w="0" w:type="dxa"/>
            <w:right w:w="108" w:type="dxa"/>
          </w:tblCellMar>
        </w:tblPrEx>
        <w:trPr>
          <w:cantSplit/>
          <w:trHeight w:val="96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A58EF4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11</w:t>
            </w:r>
          </w:p>
        </w:tc>
        <w:tc>
          <w:tcPr>
            <w:tcW w:w="996" w:type="dxa"/>
            <w:vMerge w:val="continue"/>
            <w:tcBorders>
              <w:top w:val="nil"/>
              <w:left w:val="single" w:color="auto" w:sz="4" w:space="0"/>
              <w:bottom w:val="single" w:color="auto" w:sz="4" w:space="0"/>
              <w:right w:val="single" w:color="auto" w:sz="4" w:space="0"/>
            </w:tcBorders>
            <w:vAlign w:val="center"/>
          </w:tcPr>
          <w:p w14:paraId="4ED908E6">
            <w:pPr>
              <w:widowControl/>
              <w:ind w:firstLine="320"/>
              <w:rPr>
                <w:rFonts w:hint="default" w:ascii="Arial Narrow" w:hAnsi="Arial Narrow" w:eastAsia="仿宋_GB2312" w:cs="Arial Narrow"/>
                <w:kern w:val="0"/>
                <w:sz w:val="16"/>
                <w:szCs w:val="16"/>
              </w:rPr>
            </w:pPr>
          </w:p>
        </w:tc>
        <w:tc>
          <w:tcPr>
            <w:tcW w:w="1025" w:type="dxa"/>
            <w:tcBorders>
              <w:top w:val="nil"/>
              <w:left w:val="nil"/>
              <w:bottom w:val="single" w:color="auto" w:sz="4" w:space="0"/>
              <w:right w:val="single" w:color="auto" w:sz="4" w:space="0"/>
            </w:tcBorders>
            <w:shd w:val="clear" w:color="auto" w:fill="auto"/>
            <w:vAlign w:val="center"/>
          </w:tcPr>
          <w:p w14:paraId="4FA6D873">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通报情况</w:t>
            </w:r>
          </w:p>
        </w:tc>
        <w:tc>
          <w:tcPr>
            <w:tcW w:w="682" w:type="dxa"/>
            <w:tcBorders>
              <w:top w:val="nil"/>
              <w:left w:val="nil"/>
              <w:bottom w:val="single" w:color="auto" w:sz="4" w:space="0"/>
              <w:right w:val="single" w:color="auto" w:sz="4" w:space="0"/>
            </w:tcBorders>
            <w:shd w:val="clear" w:color="auto" w:fill="auto"/>
            <w:vAlign w:val="center"/>
          </w:tcPr>
          <w:p w14:paraId="5C6AD21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2443" w:type="dxa"/>
            <w:tcBorders>
              <w:top w:val="nil"/>
              <w:left w:val="nil"/>
              <w:bottom w:val="single" w:color="auto" w:sz="4" w:space="0"/>
              <w:right w:val="single" w:color="auto" w:sz="4" w:space="0"/>
            </w:tcBorders>
            <w:shd w:val="clear" w:color="auto" w:fill="auto"/>
            <w:vAlign w:val="center"/>
          </w:tcPr>
          <w:p w14:paraId="3F7F87C0">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评价日常表现情况。</w:t>
            </w:r>
          </w:p>
        </w:tc>
        <w:tc>
          <w:tcPr>
            <w:tcW w:w="3809" w:type="dxa"/>
            <w:tcBorders>
              <w:top w:val="nil"/>
              <w:left w:val="nil"/>
              <w:bottom w:val="single" w:color="auto" w:sz="4" w:space="0"/>
              <w:right w:val="single" w:color="auto" w:sz="4" w:space="0"/>
            </w:tcBorders>
            <w:shd w:val="clear" w:color="auto" w:fill="auto"/>
            <w:vAlign w:val="center"/>
          </w:tcPr>
          <w:p w14:paraId="4612D141">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6CA9F028">
        <w:tblPrEx>
          <w:tblCellMar>
            <w:top w:w="0" w:type="dxa"/>
            <w:left w:w="108" w:type="dxa"/>
            <w:bottom w:w="0" w:type="dxa"/>
            <w:right w:w="108" w:type="dxa"/>
          </w:tblCellMar>
        </w:tblPrEx>
        <w:trPr>
          <w:cantSplit/>
          <w:trHeight w:val="1260"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125F54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12</w:t>
            </w:r>
          </w:p>
        </w:tc>
        <w:tc>
          <w:tcPr>
            <w:tcW w:w="996" w:type="dxa"/>
            <w:vMerge w:val="restart"/>
            <w:tcBorders>
              <w:top w:val="nil"/>
              <w:left w:val="single" w:color="auto" w:sz="4" w:space="0"/>
              <w:bottom w:val="single" w:color="000000" w:sz="4" w:space="0"/>
              <w:right w:val="single" w:color="auto" w:sz="4" w:space="0"/>
            </w:tcBorders>
            <w:shd w:val="clear" w:color="auto" w:fill="auto"/>
            <w:vAlign w:val="center"/>
          </w:tcPr>
          <w:p w14:paraId="49497082">
            <w:pPr>
              <w:widowControl/>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加减分指标</w:t>
            </w:r>
          </w:p>
        </w:tc>
        <w:tc>
          <w:tcPr>
            <w:tcW w:w="1025" w:type="dxa"/>
            <w:tcBorders>
              <w:top w:val="nil"/>
              <w:left w:val="nil"/>
              <w:bottom w:val="single" w:color="auto" w:sz="4" w:space="0"/>
              <w:right w:val="single" w:color="auto" w:sz="4" w:space="0"/>
            </w:tcBorders>
            <w:shd w:val="clear" w:color="auto" w:fill="auto"/>
            <w:vAlign w:val="center"/>
          </w:tcPr>
          <w:p w14:paraId="48AD5D9E">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加分项</w:t>
            </w:r>
          </w:p>
        </w:tc>
        <w:tc>
          <w:tcPr>
            <w:tcW w:w="682" w:type="dxa"/>
            <w:tcBorders>
              <w:top w:val="nil"/>
              <w:left w:val="nil"/>
              <w:bottom w:val="single" w:color="auto" w:sz="4" w:space="0"/>
              <w:right w:val="single" w:color="auto" w:sz="4" w:space="0"/>
            </w:tcBorders>
            <w:shd w:val="clear" w:color="auto" w:fill="auto"/>
            <w:vAlign w:val="center"/>
          </w:tcPr>
          <w:p w14:paraId="0D3BCB35">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2443" w:type="dxa"/>
            <w:tcBorders>
              <w:top w:val="nil"/>
              <w:left w:val="nil"/>
              <w:bottom w:val="single" w:color="auto" w:sz="4" w:space="0"/>
              <w:right w:val="single" w:color="auto" w:sz="4" w:space="0"/>
            </w:tcBorders>
            <w:shd w:val="clear" w:color="auto" w:fill="auto"/>
            <w:vAlign w:val="center"/>
          </w:tcPr>
          <w:p w14:paraId="3DE917CE">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评价机制创新情况。最高加5分。</w:t>
            </w:r>
          </w:p>
        </w:tc>
        <w:tc>
          <w:tcPr>
            <w:tcW w:w="3809" w:type="dxa"/>
            <w:tcBorders>
              <w:top w:val="nil"/>
              <w:left w:val="nil"/>
              <w:bottom w:val="single" w:color="auto" w:sz="4" w:space="0"/>
              <w:right w:val="single" w:color="auto" w:sz="4" w:space="0"/>
            </w:tcBorders>
            <w:shd w:val="clear" w:color="auto" w:fill="auto"/>
            <w:vAlign w:val="center"/>
          </w:tcPr>
          <w:p w14:paraId="623A1A8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1.在财政衔接资金分配、使用、监管等方面存在机制创新；（2分）</w:t>
            </w:r>
          </w:p>
          <w:p w14:paraId="59F0EFF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2.国家、市级对我区财政衔接资金绩效评价中，被财政部、国家乡村振兴局及其第三方总结经验做法，并调研推广的。（3分）</w:t>
            </w:r>
          </w:p>
        </w:tc>
      </w:tr>
      <w:tr w14:paraId="562006B1">
        <w:tblPrEx>
          <w:tblCellMar>
            <w:top w:w="0" w:type="dxa"/>
            <w:left w:w="108" w:type="dxa"/>
            <w:bottom w:w="0" w:type="dxa"/>
            <w:right w:w="108" w:type="dxa"/>
          </w:tblCellMar>
        </w:tblPrEx>
        <w:trPr>
          <w:cantSplit/>
          <w:trHeight w:val="70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6E7BFB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13</w:t>
            </w:r>
          </w:p>
        </w:tc>
        <w:tc>
          <w:tcPr>
            <w:tcW w:w="996" w:type="dxa"/>
            <w:vMerge w:val="continue"/>
            <w:tcBorders>
              <w:top w:val="nil"/>
              <w:left w:val="single" w:color="auto" w:sz="4" w:space="0"/>
              <w:bottom w:val="single" w:color="000000" w:sz="4" w:space="0"/>
              <w:right w:val="single" w:color="auto" w:sz="4" w:space="0"/>
            </w:tcBorders>
            <w:vAlign w:val="center"/>
          </w:tcPr>
          <w:p w14:paraId="4CF21504">
            <w:pPr>
              <w:widowControl/>
              <w:ind w:firstLine="320"/>
              <w:rPr>
                <w:rFonts w:hint="default" w:ascii="Arial Narrow" w:hAnsi="Arial Narrow" w:eastAsia="仿宋_GB2312" w:cs="Arial Narrow"/>
                <w:kern w:val="0"/>
                <w:sz w:val="16"/>
                <w:szCs w:val="16"/>
              </w:rPr>
            </w:pPr>
          </w:p>
        </w:tc>
        <w:tc>
          <w:tcPr>
            <w:tcW w:w="1025" w:type="dxa"/>
            <w:tcBorders>
              <w:top w:val="nil"/>
              <w:left w:val="nil"/>
              <w:bottom w:val="single" w:color="auto" w:sz="4" w:space="0"/>
              <w:right w:val="single" w:color="auto" w:sz="4" w:space="0"/>
            </w:tcBorders>
            <w:shd w:val="clear" w:color="auto" w:fill="auto"/>
            <w:vAlign w:val="center"/>
          </w:tcPr>
          <w:p w14:paraId="49C816B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扣分项</w:t>
            </w:r>
          </w:p>
        </w:tc>
        <w:tc>
          <w:tcPr>
            <w:tcW w:w="682" w:type="dxa"/>
            <w:tcBorders>
              <w:top w:val="nil"/>
              <w:left w:val="nil"/>
              <w:bottom w:val="single" w:color="auto" w:sz="4" w:space="0"/>
              <w:right w:val="single" w:color="auto" w:sz="4" w:space="0"/>
            </w:tcBorders>
            <w:shd w:val="clear" w:color="auto" w:fill="auto"/>
            <w:vAlign w:val="center"/>
          </w:tcPr>
          <w:p w14:paraId="3746C23E">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2443" w:type="dxa"/>
            <w:tcBorders>
              <w:top w:val="nil"/>
              <w:left w:val="nil"/>
              <w:bottom w:val="single" w:color="auto" w:sz="4" w:space="0"/>
              <w:right w:val="single" w:color="auto" w:sz="4" w:space="0"/>
            </w:tcBorders>
            <w:shd w:val="clear" w:color="auto" w:fill="auto"/>
            <w:vAlign w:val="center"/>
          </w:tcPr>
          <w:p w14:paraId="4BBD13C1">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反映提供材料的真实性，有效性以及相关工作合法合规情况。（用于负面清单事项）</w:t>
            </w:r>
          </w:p>
        </w:tc>
        <w:tc>
          <w:tcPr>
            <w:tcW w:w="3809" w:type="dxa"/>
            <w:tcBorders>
              <w:top w:val="nil"/>
              <w:left w:val="nil"/>
              <w:bottom w:val="single" w:color="auto" w:sz="4" w:space="0"/>
              <w:right w:val="single" w:color="auto" w:sz="4" w:space="0"/>
            </w:tcBorders>
            <w:shd w:val="clear" w:color="auto" w:fill="auto"/>
            <w:vAlign w:val="center"/>
          </w:tcPr>
          <w:p w14:paraId="2A2458C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考核材料、数据中存在虚假信息的，或经有关部门监督检查发现问题的，视情节严重程度扣1-10分。</w:t>
            </w:r>
          </w:p>
        </w:tc>
      </w:tr>
    </w:tbl>
    <w:p w14:paraId="62B5C39A">
      <w:pPr>
        <w:spacing w:before="120" w:beforeLines="50" w:line="360" w:lineRule="auto"/>
        <w:ind w:firstLine="482" w:firstLineChars="200"/>
        <w:jc w:val="left"/>
        <w:outlineLvl w:val="0"/>
        <w:rPr>
          <w:rFonts w:hint="default" w:ascii="Arial Narrow" w:hAnsi="Arial Narrow" w:eastAsia="仿宋_GB2312" w:cs="Arial Narrow"/>
          <w:b/>
          <w:sz w:val="24"/>
        </w:rPr>
      </w:pPr>
      <w:bookmarkStart w:id="15" w:name="_Toc28381"/>
      <w:r>
        <w:rPr>
          <w:rFonts w:hint="default" w:ascii="Arial Narrow" w:hAnsi="Arial Narrow" w:eastAsia="仿宋_GB2312" w:cs="Arial Narrow"/>
          <w:b/>
          <w:sz w:val="24"/>
        </w:rPr>
        <w:t>（五）绩效评价标准和评价方法</w:t>
      </w:r>
      <w:bookmarkEnd w:id="15"/>
    </w:p>
    <w:p w14:paraId="0244BBDE">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1.绩效评价标准</w:t>
      </w:r>
    </w:p>
    <w:p w14:paraId="4C083621">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绩效评价标准采用定量评分，满分为100分。指标分值我们是根据确定的指标内容及项目实施的具体情况综合分析确定的，详见附件。</w:t>
      </w:r>
    </w:p>
    <w:p w14:paraId="789EB749">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绩效评价结果分为优（得分</w:t>
      </w:r>
      <w:bookmarkStart w:id="16" w:name="_Hlk162596803"/>
      <w:r>
        <w:rPr>
          <w:rFonts w:hint="default" w:ascii="Arial Narrow" w:hAnsi="Arial Narrow" w:eastAsia="仿宋_GB2312" w:cs="Arial Narrow"/>
          <w:color w:val="auto"/>
        </w:rPr>
        <w:t>≥90</w:t>
      </w:r>
      <w:bookmarkEnd w:id="16"/>
      <w:r>
        <w:rPr>
          <w:rFonts w:hint="default" w:ascii="Arial Narrow" w:hAnsi="Arial Narrow" w:eastAsia="仿宋_GB2312" w:cs="Arial Narrow"/>
          <w:color w:val="auto"/>
        </w:rPr>
        <w:t>）、良</w:t>
      </w:r>
      <w:bookmarkStart w:id="17" w:name="_Hlk168473502"/>
      <w:r>
        <w:rPr>
          <w:rFonts w:hint="default" w:ascii="Arial Narrow" w:hAnsi="Arial Narrow" w:eastAsia="仿宋_GB2312" w:cs="Arial Narrow"/>
          <w:color w:val="auto"/>
        </w:rPr>
        <w:t>（90＞得分≥80）</w:t>
      </w:r>
      <w:bookmarkEnd w:id="17"/>
      <w:r>
        <w:rPr>
          <w:rFonts w:hint="default" w:ascii="Arial Narrow" w:hAnsi="Arial Narrow" w:eastAsia="仿宋_GB2312" w:cs="Arial Narrow"/>
          <w:color w:val="auto"/>
        </w:rPr>
        <w:t>、中（80＞得分≥60）、差（得分＜60）四个等级，按百分制综合得分高低按分值划段确定。</w:t>
      </w:r>
    </w:p>
    <w:p w14:paraId="1E8BFC2B">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2.绩效评价方法</w:t>
      </w:r>
    </w:p>
    <w:p w14:paraId="7811F8DC">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绩效评价技术方法主要有成本效益分析法、比较法、因素分析法、最低成本法、公众评判法等。</w:t>
      </w:r>
    </w:p>
    <w:p w14:paraId="26F6C63E">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成本效益分析法。是指将一定时期内的支出与效益进行对比分析，以评价绩效目标的实现程度。</w:t>
      </w:r>
    </w:p>
    <w:p w14:paraId="71C7F553">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比较法。是指通过对绩效目标与实施效果、历史与当期情况、不同部门和地区同类支出的比较，综合分析绩效目标实现程度。</w:t>
      </w:r>
    </w:p>
    <w:p w14:paraId="31190788">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因素分析法。是指通过综合分析影响绩效目标实现、实施效果的内外因素，评价绩效目标实现程度。</w:t>
      </w:r>
    </w:p>
    <w:p w14:paraId="4BFC7648">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最低成本法。是指对效益确定却不易计量的多个同类对象的实施成本进行比较，评价绩效目标实现程度。</w:t>
      </w:r>
    </w:p>
    <w:p w14:paraId="1543F4BB">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公众评判法。是指通过专家评估、公众问卷及抽样调查等对预算支出效果进行评判，评价绩效目标实现程度。</w:t>
      </w:r>
    </w:p>
    <w:p w14:paraId="4FB11A3C">
      <w:pPr>
        <w:spacing w:line="360" w:lineRule="auto"/>
        <w:ind w:firstLine="482" w:firstLineChars="200"/>
        <w:jc w:val="left"/>
        <w:outlineLvl w:val="0"/>
        <w:rPr>
          <w:rFonts w:hint="default" w:ascii="Arial Narrow" w:hAnsi="Arial Narrow" w:eastAsia="仿宋_GB2312" w:cs="Arial Narrow"/>
          <w:b/>
          <w:sz w:val="24"/>
        </w:rPr>
      </w:pPr>
      <w:bookmarkStart w:id="18" w:name="_Toc437528932"/>
      <w:bookmarkStart w:id="19" w:name="_Toc26270"/>
      <w:r>
        <w:rPr>
          <w:rFonts w:hint="default" w:ascii="Arial Narrow" w:hAnsi="Arial Narrow" w:eastAsia="仿宋_GB2312" w:cs="Arial Narrow"/>
          <w:b/>
          <w:sz w:val="24"/>
        </w:rPr>
        <w:t>（六）绩效评价</w:t>
      </w:r>
      <w:bookmarkEnd w:id="18"/>
      <w:r>
        <w:rPr>
          <w:rFonts w:hint="default" w:ascii="Arial Narrow" w:hAnsi="Arial Narrow" w:eastAsia="仿宋_GB2312" w:cs="Arial Narrow"/>
          <w:b/>
          <w:sz w:val="24"/>
        </w:rPr>
        <w:t>工作过程</w:t>
      </w:r>
      <w:bookmarkEnd w:id="19"/>
    </w:p>
    <w:p w14:paraId="139BD30A">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1.经铜梁区财政局确定为</w:t>
      </w:r>
      <w:r>
        <w:rPr>
          <w:rFonts w:hint="eastAsia" w:ascii="Arial Narrow" w:hAnsi="Arial Narrow" w:eastAsia="仿宋_GB2312" w:cs="Arial Narrow"/>
          <w:color w:val="auto"/>
          <w:lang w:eastAsia="zh-CN"/>
        </w:rPr>
        <w:t>“</w:t>
      </w:r>
      <w:r>
        <w:rPr>
          <w:rFonts w:hint="default" w:ascii="Arial Narrow" w:hAnsi="Arial Narrow" w:eastAsia="仿宋_GB2312" w:cs="Arial Narrow"/>
          <w:color w:val="auto"/>
        </w:rPr>
        <w:t>2023年财政专项衔接资金项目</w:t>
      </w:r>
      <w:r>
        <w:rPr>
          <w:rFonts w:hint="eastAsia" w:ascii="Arial Narrow" w:hAnsi="Arial Narrow" w:eastAsia="仿宋_GB2312" w:cs="Arial Narrow"/>
          <w:color w:val="auto"/>
          <w:lang w:eastAsia="zh-CN"/>
        </w:rPr>
        <w:t>”</w:t>
      </w:r>
      <w:r>
        <w:rPr>
          <w:rFonts w:hint="default" w:ascii="Arial Narrow" w:hAnsi="Arial Narrow" w:eastAsia="仿宋_GB2312" w:cs="Arial Narrow"/>
          <w:color w:val="auto"/>
        </w:rPr>
        <w:t>项目绩效评价服务单位后我所成立了绩效评价工作小组。</w:t>
      </w:r>
    </w:p>
    <w:p w14:paraId="64F5666C">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2.根据项目实际情况收集项目基础资料及数据深入了解项目整体情况。</w:t>
      </w:r>
    </w:p>
    <w:p w14:paraId="2CA04302">
      <w:pPr>
        <w:pStyle w:val="13"/>
        <w:spacing w:line="360" w:lineRule="auto"/>
        <w:ind w:firstLine="480" w:firstLineChars="200"/>
        <w:rPr>
          <w:rFonts w:hint="default" w:ascii="Arial Narrow" w:hAnsi="Arial Narrow" w:eastAsia="仿宋_GB2312" w:cs="Arial Narrow"/>
          <w:color w:val="auto"/>
          <w:lang w:eastAsia="zh-CN"/>
        </w:rPr>
      </w:pPr>
      <w:r>
        <w:rPr>
          <w:rFonts w:hint="default" w:ascii="Arial Narrow" w:hAnsi="Arial Narrow" w:eastAsia="仿宋_GB2312" w:cs="Arial Narrow"/>
          <w:color w:val="auto"/>
        </w:rPr>
        <w:t>3.组织实施现场调查、检查、走访等具体工作</w:t>
      </w:r>
      <w:r>
        <w:rPr>
          <w:rFonts w:hint="default" w:ascii="Arial Narrow" w:hAnsi="Arial Narrow" w:eastAsia="仿宋_GB2312" w:cs="Arial Narrow"/>
          <w:color w:val="auto"/>
          <w:lang w:eastAsia="zh-CN"/>
        </w:rPr>
        <w:t>。</w:t>
      </w:r>
    </w:p>
    <w:p w14:paraId="1FC426B1">
      <w:pPr>
        <w:pStyle w:val="13"/>
        <w:spacing w:line="360" w:lineRule="auto"/>
        <w:ind w:firstLine="480" w:firstLineChars="200"/>
        <w:rPr>
          <w:rFonts w:hint="default" w:ascii="Arial Narrow" w:hAnsi="Arial Narrow" w:eastAsia="仿宋_GB2312" w:cs="Arial Narrow"/>
          <w:color w:val="auto"/>
        </w:rPr>
      </w:pPr>
      <w:r>
        <w:rPr>
          <w:rFonts w:hint="default" w:ascii="Arial Narrow" w:hAnsi="Arial Narrow" w:eastAsia="仿宋_GB2312" w:cs="Arial Narrow"/>
          <w:color w:val="auto"/>
        </w:rPr>
        <w:t>4.依据收集到的项目相关资料和数据，比照经贵单位审定的评价指标体系的评分标准，分别对项目评价打分，汇总后加权平均形成综合评价得分，并对该项目的绩效评价等级进行确认。</w:t>
      </w:r>
    </w:p>
    <w:p w14:paraId="73E24A20">
      <w:pPr>
        <w:spacing w:line="360" w:lineRule="auto"/>
        <w:ind w:firstLine="482" w:firstLineChars="200"/>
        <w:jc w:val="left"/>
        <w:outlineLvl w:val="0"/>
        <w:rPr>
          <w:rFonts w:hint="default" w:ascii="Arial Narrow" w:hAnsi="Arial Narrow" w:eastAsia="仿宋_GB2312" w:cs="Arial Narrow"/>
          <w:b/>
          <w:sz w:val="24"/>
        </w:rPr>
      </w:pPr>
      <w:bookmarkStart w:id="20" w:name="_Toc437528933"/>
      <w:bookmarkStart w:id="21" w:name="_Toc8510"/>
      <w:r>
        <w:rPr>
          <w:rFonts w:hint="default" w:ascii="Arial Narrow" w:hAnsi="Arial Narrow" w:eastAsia="仿宋_GB2312" w:cs="Arial Narrow"/>
          <w:b/>
          <w:sz w:val="24"/>
        </w:rPr>
        <w:t>三、项目评价</w:t>
      </w:r>
      <w:bookmarkEnd w:id="20"/>
      <w:r>
        <w:rPr>
          <w:rFonts w:hint="default" w:ascii="Arial Narrow" w:hAnsi="Arial Narrow" w:eastAsia="仿宋_GB2312" w:cs="Arial Narrow"/>
          <w:b/>
          <w:sz w:val="24"/>
        </w:rPr>
        <w:t>结论</w:t>
      </w:r>
      <w:bookmarkEnd w:id="21"/>
    </w:p>
    <w:p w14:paraId="324204F1">
      <w:pPr>
        <w:spacing w:line="360" w:lineRule="auto"/>
        <w:ind w:firstLine="480" w:firstLineChars="200"/>
        <w:jc w:val="left"/>
        <w:rPr>
          <w:rFonts w:hint="default" w:ascii="Arial Narrow" w:hAnsi="Arial Narrow" w:eastAsia="仿宋_GB2312" w:cs="Arial Narrow"/>
          <w:sz w:val="24"/>
        </w:rPr>
      </w:pPr>
      <w:r>
        <w:rPr>
          <w:rFonts w:hint="default" w:ascii="Arial Narrow" w:hAnsi="Arial Narrow" w:eastAsia="仿宋_GB2312" w:cs="Arial Narrow"/>
          <w:kern w:val="0"/>
          <w:sz w:val="24"/>
        </w:rPr>
        <w:t>安溪镇金滩村2023年光伏产业建设基地项目</w:t>
      </w:r>
      <w:r>
        <w:rPr>
          <w:rFonts w:hint="default" w:ascii="Arial Narrow" w:hAnsi="Arial Narrow" w:eastAsia="仿宋_GB2312" w:cs="Arial Narrow"/>
          <w:sz w:val="24"/>
        </w:rPr>
        <w:t>绩效评价得分100.00分，绩效评价等级为：优；</w:t>
      </w:r>
    </w:p>
    <w:p w14:paraId="4ABC2794">
      <w:pPr>
        <w:spacing w:line="360" w:lineRule="auto"/>
        <w:ind w:firstLine="480" w:firstLineChars="200"/>
        <w:jc w:val="left"/>
        <w:rPr>
          <w:rFonts w:hint="default" w:ascii="Arial Narrow" w:hAnsi="Arial Narrow" w:eastAsia="仿宋_GB2312" w:cs="Arial Narrow"/>
          <w:b/>
          <w:bCs/>
          <w:sz w:val="28"/>
          <w:szCs w:val="28"/>
        </w:rPr>
      </w:pPr>
      <w:r>
        <w:rPr>
          <w:rFonts w:hint="default" w:ascii="Arial Narrow" w:hAnsi="Arial Narrow" w:eastAsia="仿宋_GB2312" w:cs="Arial Narrow"/>
          <w:kern w:val="0"/>
          <w:sz w:val="24"/>
        </w:rPr>
        <w:t>安溪镇龙峰村2023年产业基地基础设施建设项目</w:t>
      </w:r>
      <w:r>
        <w:rPr>
          <w:rFonts w:hint="default" w:ascii="Arial Narrow" w:hAnsi="Arial Narrow" w:eastAsia="仿宋_GB2312" w:cs="Arial Narrow"/>
          <w:sz w:val="24"/>
        </w:rPr>
        <w:t>绩效评价得分97.00分，绩效评价等级为：优。</w:t>
      </w:r>
    </w:p>
    <w:p w14:paraId="6A777064">
      <w:pPr>
        <w:spacing w:line="360" w:lineRule="auto"/>
        <w:ind w:firstLine="482" w:firstLineChars="200"/>
        <w:outlineLvl w:val="0"/>
        <w:rPr>
          <w:rFonts w:hint="default" w:ascii="Arial Narrow" w:hAnsi="Arial Narrow" w:eastAsia="仿宋_GB2312" w:cs="Arial Narrow"/>
          <w:b/>
          <w:sz w:val="24"/>
        </w:rPr>
      </w:pPr>
      <w:bookmarkStart w:id="22" w:name="_Toc30499"/>
      <w:r>
        <w:rPr>
          <w:rFonts w:hint="default" w:ascii="Arial Narrow" w:hAnsi="Arial Narrow" w:eastAsia="仿宋_GB2312" w:cs="Arial Narrow"/>
          <w:b/>
          <w:sz w:val="24"/>
        </w:rPr>
        <w:t>四、综合评价情况</w:t>
      </w:r>
      <w:bookmarkEnd w:id="22"/>
    </w:p>
    <w:p w14:paraId="4491F855">
      <w:pPr>
        <w:spacing w:line="360" w:lineRule="auto"/>
        <w:ind w:firstLine="482" w:firstLineChars="200"/>
        <w:jc w:val="left"/>
        <w:outlineLvl w:val="0"/>
        <w:rPr>
          <w:rFonts w:hint="default" w:ascii="Arial Narrow" w:hAnsi="Arial Narrow" w:eastAsia="仿宋_GB2312" w:cs="Arial Narrow"/>
          <w:b/>
          <w:sz w:val="24"/>
        </w:rPr>
      </w:pPr>
      <w:bookmarkStart w:id="23" w:name="_Toc25048"/>
      <w:r>
        <w:rPr>
          <w:rFonts w:hint="default" w:ascii="Arial Narrow" w:hAnsi="Arial Narrow" w:eastAsia="仿宋_GB2312" w:cs="Arial Narrow"/>
          <w:b/>
          <w:sz w:val="24"/>
        </w:rPr>
        <w:t>（一）资金管理</w:t>
      </w:r>
      <w:bookmarkEnd w:id="23"/>
    </w:p>
    <w:p w14:paraId="6073BD9F">
      <w:pPr>
        <w:adjustRightInd w:val="0"/>
        <w:snapToGrid w:val="0"/>
        <w:spacing w:line="360" w:lineRule="auto"/>
        <w:ind w:firstLine="480" w:firstLineChars="200"/>
        <w:rPr>
          <w:rStyle w:val="10"/>
          <w:rFonts w:hint="default" w:ascii="Arial Narrow" w:hAnsi="Arial Narrow" w:eastAsia="仿宋_GB2312" w:cs="Arial Narrow"/>
          <w:color w:val="auto"/>
          <w:sz w:val="24"/>
          <w:u w:val="none"/>
        </w:rPr>
      </w:pPr>
      <w:r>
        <w:rPr>
          <w:rStyle w:val="10"/>
          <w:rFonts w:hint="default" w:ascii="Arial Narrow" w:hAnsi="Arial Narrow" w:eastAsia="仿宋_GB2312" w:cs="Arial Narrow"/>
          <w:color w:val="auto"/>
          <w:sz w:val="24"/>
          <w:u w:val="none"/>
        </w:rPr>
        <w:t>1.财政衔接资金安排情况</w:t>
      </w:r>
    </w:p>
    <w:p w14:paraId="16522C1D">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项目按照《重庆市财政局关于提前下达2023年市财政衔接推进乡村振兴补助资金预算的通知》</w:t>
      </w:r>
      <w:r>
        <w:rPr>
          <w:rFonts w:hint="default" w:ascii="Arial Narrow" w:hAnsi="Arial Narrow" w:eastAsia="仿宋_GB2312" w:cs="Arial Narrow"/>
          <w:sz w:val="24"/>
          <w:lang w:eastAsia="zh-CN"/>
        </w:rPr>
        <w:t>（</w:t>
      </w:r>
      <w:r>
        <w:rPr>
          <w:rFonts w:hint="default" w:ascii="Arial Narrow" w:hAnsi="Arial Narrow" w:eastAsia="仿宋_GB2312" w:cs="Arial Narrow"/>
          <w:sz w:val="24"/>
        </w:rPr>
        <w:t>渝财农〔2022〕146</w:t>
      </w:r>
      <w:r>
        <w:rPr>
          <w:rFonts w:hint="default" w:ascii="Arial Narrow" w:hAnsi="Arial Narrow" w:eastAsia="仿宋_GB2312" w:cs="Arial Narrow"/>
          <w:sz w:val="24"/>
          <w:lang w:eastAsia="zh-CN"/>
        </w:rPr>
        <w:t>）</w:t>
      </w:r>
      <w:r>
        <w:rPr>
          <w:rFonts w:hint="default" w:ascii="Arial Narrow" w:hAnsi="Arial Narrow" w:eastAsia="仿宋_GB2312" w:cs="Arial Narrow"/>
          <w:sz w:val="24"/>
        </w:rPr>
        <w:t>、《重庆市铜梁区财政局关于提前下达2023年中央财政衔接推进乡村振兴补助资金预算的通知》（铜财〔2022〕550号）、《重庆市铜梁区财政局关于下达2023年区级财政衔接推进乡村振兴补助资金预算的通知》</w:t>
      </w:r>
      <w:r>
        <w:rPr>
          <w:rFonts w:hint="default" w:ascii="Arial Narrow" w:hAnsi="Arial Narrow" w:eastAsia="仿宋_GB2312" w:cs="Arial Narrow"/>
          <w:sz w:val="24"/>
          <w:lang w:eastAsia="zh-CN"/>
        </w:rPr>
        <w:t>（</w:t>
      </w:r>
      <w:r>
        <w:rPr>
          <w:rFonts w:hint="default" w:ascii="Arial Narrow" w:hAnsi="Arial Narrow" w:eastAsia="仿宋_GB2312" w:cs="Arial Narrow"/>
          <w:sz w:val="24"/>
        </w:rPr>
        <w:t>铜财〔2023〕46号</w:t>
      </w:r>
      <w:r>
        <w:rPr>
          <w:rFonts w:hint="default" w:ascii="Arial Narrow" w:hAnsi="Arial Narrow" w:eastAsia="仿宋_GB2312" w:cs="Arial Narrow"/>
          <w:sz w:val="24"/>
          <w:lang w:eastAsia="zh-CN"/>
        </w:rPr>
        <w:t>）</w:t>
      </w:r>
      <w:r>
        <w:rPr>
          <w:rFonts w:hint="default" w:ascii="Arial Narrow" w:hAnsi="Arial Narrow" w:eastAsia="仿宋_GB2312" w:cs="Arial Narrow"/>
          <w:sz w:val="24"/>
        </w:rPr>
        <w:t>等相关政策性文件规定落实衔接资金。</w:t>
      </w:r>
    </w:p>
    <w:p w14:paraId="061BCFF1">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2.资金分解下达进度</w:t>
      </w:r>
    </w:p>
    <w:p w14:paraId="08ECA3D9">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项目资金从区财政局下达资金文件时间到区级业务主管部门下达项目及资金计划文件时间间隔小于30天。</w:t>
      </w:r>
    </w:p>
    <w:p w14:paraId="7F754148">
      <w:pPr>
        <w:spacing w:line="360" w:lineRule="auto"/>
        <w:ind w:firstLine="482" w:firstLineChars="200"/>
        <w:jc w:val="left"/>
        <w:outlineLvl w:val="0"/>
        <w:rPr>
          <w:rFonts w:hint="default" w:ascii="Arial Narrow" w:hAnsi="Arial Narrow" w:eastAsia="仿宋_GB2312" w:cs="Arial Narrow"/>
          <w:b/>
          <w:sz w:val="24"/>
        </w:rPr>
      </w:pPr>
      <w:bookmarkStart w:id="24" w:name="_Toc9083"/>
      <w:r>
        <w:rPr>
          <w:rFonts w:hint="default" w:ascii="Arial Narrow" w:hAnsi="Arial Narrow" w:eastAsia="仿宋_GB2312" w:cs="Arial Narrow"/>
          <w:b/>
          <w:sz w:val="24"/>
        </w:rPr>
        <w:t>（二）项目管理</w:t>
      </w:r>
      <w:bookmarkEnd w:id="24"/>
    </w:p>
    <w:p w14:paraId="181B2758">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1.项目库建设管理情况</w:t>
      </w:r>
    </w:p>
    <w:p w14:paraId="14D4B82C">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项目入库及时充分、程序规范、内容完整，制定和切合实际的实施方案，具备实施条件，衔接资金未用于项目库之外的项目。</w:t>
      </w:r>
    </w:p>
    <w:p w14:paraId="5329A55D">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2.项目绩效管理情况</w:t>
      </w:r>
    </w:p>
    <w:p w14:paraId="04828499">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及时制定了明确的绩效目标，实施过程中对绩效目标进行监控，对绩效目标偏离项目采取纠偏措施。在项目实施完毕后开展了绩效自评，并形成</w:t>
      </w:r>
      <w:r>
        <w:rPr>
          <w:rFonts w:hint="default" w:ascii="Arial Narrow" w:hAnsi="Arial Narrow" w:eastAsia="仿宋_GB2312" w:cs="Arial Narrow"/>
          <w:sz w:val="24"/>
          <w:lang w:eastAsia="zh-CN"/>
        </w:rPr>
        <w:t>绩效</w:t>
      </w:r>
      <w:r>
        <w:rPr>
          <w:rFonts w:hint="default" w:ascii="Arial Narrow" w:hAnsi="Arial Narrow" w:eastAsia="仿宋_GB2312" w:cs="Arial Narrow"/>
          <w:sz w:val="24"/>
        </w:rPr>
        <w:t>自评表，项目绩效基本达到预期。项目实施完毕后未及时形成自评报告。</w:t>
      </w:r>
    </w:p>
    <w:p w14:paraId="51A7885A">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3.项目建设管理情况</w:t>
      </w:r>
    </w:p>
    <w:p w14:paraId="0A91D05F">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项目实施方案未存在变更情况，</w:t>
      </w:r>
      <w:r>
        <w:rPr>
          <w:rFonts w:hint="default" w:ascii="Arial Narrow" w:hAnsi="Arial Narrow" w:eastAsia="仿宋_GB2312" w:cs="Arial Narrow"/>
          <w:sz w:val="24"/>
          <w:lang w:eastAsia="zh-CN"/>
        </w:rPr>
        <w:t>实施过程</w:t>
      </w:r>
      <w:r>
        <w:rPr>
          <w:rFonts w:hint="default" w:ascii="Arial Narrow" w:hAnsi="Arial Narrow" w:eastAsia="仿宋_GB2312" w:cs="Arial Narrow"/>
          <w:sz w:val="24"/>
        </w:rPr>
        <w:t>中由铜梁区财政局进行监督检查，检查中未发现重大问题，项目按照实施节点按时提交项目报账资料，项目资料归档整理及时。</w:t>
      </w:r>
    </w:p>
    <w:p w14:paraId="62E4A782">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4.预算执行率情况</w:t>
      </w:r>
    </w:p>
    <w:p w14:paraId="13CAF26F">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安溪镇金滩村2023年光伏产业建设基地项目于5月底验收完毕，款项已全部支付完毕，资金预算执行率达到100%。</w:t>
      </w:r>
    </w:p>
    <w:p w14:paraId="4A02B60E">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安溪镇龙峰村2023年产业基地基础设施建设项目最后一笔款项拨付于2023年12月27日，进度款拨付较晚，扣3分。</w:t>
      </w:r>
    </w:p>
    <w:p w14:paraId="396790A8">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5.跟踪督促及发现问题整改情况</w:t>
      </w:r>
    </w:p>
    <w:p w14:paraId="219FBFB3">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通过实施单位提供的监控表、自评表等资料显示，本项目实施单位定期开展项目实施和资金支出进度等跟踪督促，跟踪督促及各类检查发现问题整改到位。</w:t>
      </w:r>
    </w:p>
    <w:p w14:paraId="30D7C3A6">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6.账务处理及档案管理等情况</w:t>
      </w:r>
    </w:p>
    <w:p w14:paraId="6A8E8D58">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本项目实施单位对该项目账务处理规范，档案管理完整。</w:t>
      </w:r>
    </w:p>
    <w:p w14:paraId="4DE7D2C4">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7.信息公开和公告公示制度落实情况</w:t>
      </w:r>
    </w:p>
    <w:p w14:paraId="21571192">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铜梁区衔接资金涉及村镇按照《铜梁区财政衔接推进乡村振兴补助资金项目公告公示实施办法》（铜委农办〔2021〕19号）对年度资金计划完成情况及实施情况进行公示。</w:t>
      </w:r>
    </w:p>
    <w:p w14:paraId="7DF69300">
      <w:pPr>
        <w:spacing w:line="360" w:lineRule="auto"/>
        <w:ind w:firstLine="482" w:firstLineChars="200"/>
        <w:jc w:val="left"/>
        <w:outlineLvl w:val="0"/>
        <w:rPr>
          <w:rFonts w:hint="default" w:ascii="Arial Narrow" w:hAnsi="Arial Narrow" w:eastAsia="仿宋_GB2312" w:cs="Arial Narrow"/>
          <w:b/>
          <w:sz w:val="24"/>
        </w:rPr>
      </w:pPr>
      <w:bookmarkStart w:id="25" w:name="_Toc17534"/>
      <w:r>
        <w:rPr>
          <w:rFonts w:hint="default" w:ascii="Arial Narrow" w:hAnsi="Arial Narrow" w:eastAsia="仿宋_GB2312" w:cs="Arial Narrow"/>
          <w:b/>
          <w:sz w:val="24"/>
        </w:rPr>
        <w:t>（三）使用成效及通报情况</w:t>
      </w:r>
      <w:bookmarkEnd w:id="25"/>
    </w:p>
    <w:p w14:paraId="023D010B">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1.资金使用效益</w:t>
      </w:r>
    </w:p>
    <w:p w14:paraId="5A6EBC4B">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项目总体资金均专款专用，项目完成进度和及时性达到计划预期目的。完成项目的质量能够达标，完成进行了自评、项目资金完整。</w:t>
      </w:r>
    </w:p>
    <w:p w14:paraId="7A54D110">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2.通报情况</w:t>
      </w:r>
    </w:p>
    <w:p w14:paraId="0F85F9FC">
      <w:pPr>
        <w:adjustRightInd w:val="0"/>
        <w:snapToGrid w:val="0"/>
        <w:spacing w:line="360" w:lineRule="auto"/>
        <w:ind w:firstLine="480" w:firstLineChars="200"/>
        <w:rPr>
          <w:rFonts w:hint="default" w:ascii="Arial Narrow" w:hAnsi="Arial Narrow" w:eastAsia="仿宋_GB2312" w:cs="Arial Narrow"/>
          <w:sz w:val="24"/>
        </w:rPr>
      </w:pPr>
      <w:r>
        <w:rPr>
          <w:rFonts w:hint="default" w:ascii="Arial Narrow" w:hAnsi="Arial Narrow" w:eastAsia="仿宋_GB2312" w:cs="Arial Narrow"/>
          <w:sz w:val="24"/>
        </w:rPr>
        <w:t>项目实施管理日常表现良好，未被通报和问题反馈情况。</w:t>
      </w:r>
    </w:p>
    <w:p w14:paraId="4BBAB893">
      <w:pPr>
        <w:spacing w:line="360" w:lineRule="auto"/>
        <w:ind w:firstLine="482" w:firstLineChars="200"/>
        <w:outlineLvl w:val="0"/>
        <w:rPr>
          <w:rFonts w:hint="default" w:ascii="Arial Narrow" w:hAnsi="Arial Narrow" w:eastAsia="仿宋_GB2312" w:cs="Arial Narrow"/>
          <w:b/>
          <w:sz w:val="24"/>
        </w:rPr>
      </w:pPr>
      <w:bookmarkStart w:id="26" w:name="_Toc11808"/>
      <w:r>
        <w:rPr>
          <w:rFonts w:hint="default" w:ascii="Arial Narrow" w:hAnsi="Arial Narrow" w:eastAsia="仿宋_GB2312" w:cs="Arial Narrow"/>
          <w:b/>
          <w:sz w:val="24"/>
        </w:rPr>
        <w:t>五、存在的问题和建议</w:t>
      </w:r>
      <w:bookmarkEnd w:id="26"/>
    </w:p>
    <w:p w14:paraId="756FAA9E">
      <w:pPr>
        <w:spacing w:line="360" w:lineRule="auto"/>
        <w:ind w:firstLine="482" w:firstLineChars="200"/>
        <w:jc w:val="left"/>
        <w:outlineLvl w:val="0"/>
        <w:rPr>
          <w:rFonts w:hint="default" w:ascii="Arial Narrow" w:hAnsi="Arial Narrow" w:eastAsia="仿宋_GB2312" w:cs="Arial Narrow"/>
          <w:b/>
          <w:sz w:val="24"/>
        </w:rPr>
      </w:pPr>
      <w:bookmarkStart w:id="27" w:name="_Toc20461"/>
      <w:r>
        <w:rPr>
          <w:rFonts w:hint="default" w:ascii="Arial Narrow" w:hAnsi="Arial Narrow" w:eastAsia="仿宋_GB2312" w:cs="Arial Narrow"/>
          <w:b/>
          <w:sz w:val="24"/>
        </w:rPr>
        <w:t>（一）存在问题</w:t>
      </w:r>
      <w:bookmarkEnd w:id="27"/>
    </w:p>
    <w:p w14:paraId="383C7A8E">
      <w:pPr>
        <w:adjustRightInd w:val="0"/>
        <w:snapToGrid w:val="0"/>
        <w:spacing w:line="360" w:lineRule="auto"/>
        <w:ind w:firstLine="480" w:firstLineChars="200"/>
        <w:rPr>
          <w:rFonts w:hint="eastAsia" w:ascii="Arial Narrow" w:hAnsi="Arial Narrow" w:eastAsia="仿宋_GB2312" w:cs="Arial Narrow"/>
          <w:sz w:val="24"/>
        </w:rPr>
      </w:pPr>
      <w:bookmarkStart w:id="28" w:name="_Toc30959"/>
      <w:bookmarkStart w:id="29" w:name="_Toc22236"/>
      <w:bookmarkStart w:id="30" w:name="_Toc16475"/>
      <w:r>
        <w:rPr>
          <w:rFonts w:hint="eastAsia" w:ascii="Arial Narrow" w:hAnsi="Arial Narrow" w:eastAsia="仿宋_GB2312" w:cs="Arial Narrow"/>
          <w:sz w:val="24"/>
        </w:rPr>
        <w:t>1.安溪镇龙峰村2023年产业基地基础设施建设项目部分资金支付进度较晚。</w:t>
      </w:r>
      <w:bookmarkEnd w:id="28"/>
      <w:bookmarkEnd w:id="29"/>
    </w:p>
    <w:p w14:paraId="2BC041D8">
      <w:pPr>
        <w:spacing w:line="360" w:lineRule="auto"/>
        <w:ind w:firstLine="482" w:firstLineChars="200"/>
        <w:jc w:val="left"/>
        <w:outlineLvl w:val="0"/>
        <w:rPr>
          <w:rFonts w:hint="default" w:ascii="Arial Narrow" w:hAnsi="Arial Narrow" w:eastAsia="仿宋_GB2312" w:cs="Arial Narrow"/>
          <w:b/>
          <w:sz w:val="24"/>
        </w:rPr>
      </w:pPr>
      <w:r>
        <w:rPr>
          <w:rFonts w:hint="default" w:ascii="Arial Narrow" w:hAnsi="Arial Narrow" w:eastAsia="仿宋_GB2312" w:cs="Arial Narrow"/>
          <w:b/>
          <w:sz w:val="24"/>
        </w:rPr>
        <w:t>（二）建议</w:t>
      </w:r>
      <w:bookmarkEnd w:id="30"/>
    </w:p>
    <w:p w14:paraId="0069FC20">
      <w:pPr>
        <w:adjustRightInd w:val="0"/>
        <w:snapToGrid w:val="0"/>
        <w:spacing w:line="360" w:lineRule="auto"/>
        <w:ind w:firstLine="480" w:firstLineChars="200"/>
        <w:rPr>
          <w:rFonts w:hint="eastAsia" w:ascii="Arial Narrow" w:hAnsi="Arial Narrow" w:eastAsia="仿宋_GB2312" w:cs="Arial Narrow"/>
          <w:sz w:val="24"/>
        </w:rPr>
      </w:pPr>
      <w:r>
        <w:rPr>
          <w:rFonts w:hint="eastAsia" w:ascii="Arial Narrow" w:hAnsi="Arial Narrow" w:eastAsia="仿宋_GB2312" w:cs="Arial Narrow"/>
          <w:sz w:val="24"/>
          <w:lang w:val="en-US" w:eastAsia="zh-CN"/>
        </w:rPr>
        <w:t>1</w:t>
      </w:r>
      <w:r>
        <w:rPr>
          <w:rFonts w:hint="eastAsia" w:ascii="Arial Narrow" w:hAnsi="Arial Narrow" w:eastAsia="仿宋_GB2312" w:cs="Arial Narrow"/>
          <w:sz w:val="24"/>
        </w:rPr>
        <w:t>.严格按照财政资金预算执行，及时</w:t>
      </w:r>
      <w:r>
        <w:rPr>
          <w:rFonts w:hint="eastAsia" w:ascii="Arial Narrow" w:hAnsi="Arial Narrow" w:eastAsia="仿宋_GB2312" w:cs="Arial Narrow"/>
          <w:sz w:val="24"/>
          <w:lang w:val="en-US" w:eastAsia="zh-CN"/>
        </w:rPr>
        <w:t>支付</w:t>
      </w:r>
      <w:r>
        <w:rPr>
          <w:rFonts w:hint="eastAsia" w:ascii="Arial Narrow" w:hAnsi="Arial Narrow" w:eastAsia="仿宋_GB2312" w:cs="Arial Narrow"/>
          <w:sz w:val="24"/>
        </w:rPr>
        <w:t>项目资金。</w:t>
      </w:r>
    </w:p>
    <w:p w14:paraId="20643B02">
      <w:pPr>
        <w:adjustRightInd w:val="0"/>
        <w:snapToGrid w:val="0"/>
        <w:spacing w:line="360" w:lineRule="auto"/>
        <w:ind w:firstLine="480" w:firstLineChars="200"/>
        <w:rPr>
          <w:rFonts w:hint="default" w:ascii="Arial Narrow" w:hAnsi="Arial Narrow" w:eastAsia="仿宋_GB2312" w:cs="Arial Narrow"/>
          <w:sz w:val="24"/>
          <w:lang w:val="en-US" w:eastAsia="zh-CN"/>
        </w:rPr>
      </w:pPr>
    </w:p>
    <w:p w14:paraId="15186BFC">
      <w:pPr>
        <w:adjustRightInd w:val="0"/>
        <w:snapToGrid w:val="0"/>
        <w:spacing w:line="360" w:lineRule="auto"/>
        <w:ind w:firstLine="480" w:firstLineChars="200"/>
        <w:rPr>
          <w:rFonts w:hint="default" w:ascii="Arial Narrow" w:hAnsi="Arial Narrow" w:eastAsia="仿宋_GB2312" w:cs="Arial Narrow"/>
          <w:sz w:val="24"/>
          <w:lang w:val="en-US" w:eastAsia="zh-CN"/>
        </w:rPr>
      </w:pPr>
    </w:p>
    <w:p w14:paraId="6726E262">
      <w:pPr>
        <w:adjustRightInd w:val="0"/>
        <w:snapToGrid w:val="0"/>
        <w:spacing w:line="360" w:lineRule="auto"/>
        <w:ind w:firstLine="480"/>
        <w:rPr>
          <w:rStyle w:val="10"/>
          <w:rFonts w:hint="default" w:ascii="Arial Narrow" w:hAnsi="Arial Narrow" w:eastAsia="仿宋_GB2312" w:cs="Arial Narrow"/>
          <w:color w:val="auto"/>
          <w:sz w:val="24"/>
          <w:u w:val="none"/>
        </w:rPr>
      </w:pPr>
      <w:r>
        <w:rPr>
          <w:rStyle w:val="10"/>
          <w:rFonts w:hint="default" w:ascii="Arial Narrow" w:hAnsi="Arial Narrow" w:eastAsia="仿宋_GB2312" w:cs="Arial Narrow"/>
          <w:color w:val="auto"/>
          <w:sz w:val="24"/>
          <w:u w:val="none"/>
        </w:rPr>
        <w:t>附件：1</w:t>
      </w:r>
      <w:r>
        <w:rPr>
          <w:rStyle w:val="10"/>
          <w:rFonts w:hint="default" w:ascii="Arial Narrow" w:hAnsi="Arial Narrow" w:eastAsia="仿宋_GB2312" w:cs="Arial Narrow"/>
          <w:color w:val="auto"/>
          <w:sz w:val="24"/>
          <w:u w:val="none"/>
          <w:lang w:val="en-US" w:eastAsia="zh-CN"/>
        </w:rPr>
        <w:t>.</w:t>
      </w:r>
      <w:r>
        <w:rPr>
          <w:rStyle w:val="10"/>
          <w:rFonts w:hint="default" w:ascii="Arial Narrow" w:hAnsi="Arial Narrow" w:eastAsia="仿宋_GB2312" w:cs="Arial Narrow"/>
          <w:color w:val="auto"/>
          <w:sz w:val="24"/>
          <w:u w:val="none"/>
        </w:rPr>
        <w:t>绩效评价指标体系及评分结果表；</w:t>
      </w:r>
    </w:p>
    <w:p w14:paraId="286D9BC6">
      <w:pPr>
        <w:adjustRightInd w:val="0"/>
        <w:snapToGrid w:val="0"/>
        <w:spacing w:line="360" w:lineRule="auto"/>
        <w:ind w:firstLine="1200" w:firstLineChars="500"/>
        <w:rPr>
          <w:rStyle w:val="10"/>
          <w:rFonts w:hint="default" w:ascii="Arial Narrow" w:hAnsi="Arial Narrow" w:eastAsia="仿宋_GB2312" w:cs="Arial Narrow"/>
          <w:color w:val="auto"/>
          <w:sz w:val="24"/>
          <w:u w:val="none"/>
        </w:rPr>
      </w:pPr>
      <w:r>
        <w:rPr>
          <w:rStyle w:val="10"/>
          <w:rFonts w:hint="default" w:ascii="Arial Narrow" w:hAnsi="Arial Narrow" w:eastAsia="仿宋_GB2312" w:cs="Arial Narrow"/>
          <w:color w:val="auto"/>
          <w:sz w:val="24"/>
          <w:u w:val="none"/>
        </w:rPr>
        <w:t>2</w:t>
      </w:r>
      <w:r>
        <w:rPr>
          <w:rStyle w:val="10"/>
          <w:rFonts w:hint="default" w:ascii="Arial Narrow" w:hAnsi="Arial Narrow" w:eastAsia="仿宋_GB2312" w:cs="Arial Narrow"/>
          <w:color w:val="auto"/>
          <w:sz w:val="24"/>
          <w:u w:val="none"/>
          <w:lang w:val="en-US" w:eastAsia="zh-CN"/>
        </w:rPr>
        <w:t>.</w:t>
      </w:r>
      <w:r>
        <w:rPr>
          <w:rStyle w:val="10"/>
          <w:rFonts w:hint="default" w:ascii="Arial Narrow" w:hAnsi="Arial Narrow" w:eastAsia="仿宋_GB2312" w:cs="Arial Narrow"/>
          <w:color w:val="auto"/>
          <w:sz w:val="24"/>
          <w:u w:val="none"/>
        </w:rPr>
        <w:t>会计师事务所营业执照和资质复印件。</w:t>
      </w:r>
    </w:p>
    <w:p w14:paraId="349A898F">
      <w:pPr>
        <w:adjustRightInd w:val="0"/>
        <w:snapToGrid w:val="0"/>
        <w:spacing w:line="360" w:lineRule="auto"/>
        <w:ind w:firstLine="720" w:firstLineChars="300"/>
        <w:rPr>
          <w:rStyle w:val="10"/>
          <w:rFonts w:hint="default" w:ascii="Arial Narrow" w:hAnsi="Arial Narrow" w:eastAsia="仿宋_GB2312" w:cs="Arial Narrow"/>
          <w:color w:val="auto"/>
          <w:sz w:val="24"/>
          <w:u w:val="none"/>
        </w:rPr>
      </w:pPr>
    </w:p>
    <w:p w14:paraId="3331534C">
      <w:pPr>
        <w:adjustRightInd w:val="0"/>
        <w:snapToGrid w:val="0"/>
        <w:spacing w:line="360" w:lineRule="auto"/>
        <w:rPr>
          <w:rStyle w:val="10"/>
          <w:rFonts w:hint="default" w:ascii="Arial Narrow" w:hAnsi="Arial Narrow" w:eastAsia="仿宋_GB2312" w:cs="Arial Narrow"/>
          <w:color w:val="auto"/>
          <w:sz w:val="24"/>
          <w:u w:val="none"/>
        </w:rPr>
      </w:pPr>
    </w:p>
    <w:p w14:paraId="52F58009">
      <w:pPr>
        <w:adjustRightInd w:val="0"/>
        <w:snapToGrid w:val="0"/>
        <w:spacing w:line="360" w:lineRule="auto"/>
        <w:ind w:firstLine="480"/>
        <w:jc w:val="right"/>
        <w:rPr>
          <w:rStyle w:val="10"/>
          <w:rFonts w:hint="default" w:ascii="Arial Narrow" w:hAnsi="Arial Narrow" w:eastAsia="仿宋_GB2312" w:cs="Arial Narrow"/>
          <w:color w:val="auto"/>
          <w:sz w:val="24"/>
          <w:u w:val="none"/>
        </w:rPr>
      </w:pPr>
      <w:r>
        <w:rPr>
          <w:rStyle w:val="10"/>
          <w:rFonts w:hint="default" w:ascii="Arial Narrow" w:hAnsi="Arial Narrow" w:eastAsia="仿宋_GB2312" w:cs="Arial Narrow"/>
          <w:color w:val="auto"/>
          <w:sz w:val="24"/>
          <w:u w:val="none"/>
        </w:rPr>
        <w:t>重庆铭鸿金全会计师事务所有限责任公司</w:t>
      </w:r>
    </w:p>
    <w:p w14:paraId="1A8D3999">
      <w:pPr>
        <w:adjustRightInd w:val="0"/>
        <w:snapToGrid w:val="0"/>
        <w:spacing w:line="360" w:lineRule="auto"/>
        <w:ind w:right="960" w:firstLine="4800" w:firstLineChars="2000"/>
        <w:jc w:val="right"/>
        <w:rPr>
          <w:rStyle w:val="10"/>
          <w:rFonts w:hint="default" w:ascii="Arial Narrow" w:hAnsi="Arial Narrow" w:eastAsia="仿宋_GB2312" w:cs="Arial Narrow"/>
          <w:color w:val="auto"/>
          <w:sz w:val="24"/>
          <w:u w:val="none"/>
        </w:rPr>
      </w:pPr>
      <w:r>
        <w:rPr>
          <w:rStyle w:val="10"/>
          <w:rFonts w:hint="eastAsia" w:ascii="Arial Narrow" w:hAnsi="Arial Narrow" w:eastAsia="仿宋_GB2312" w:cs="Arial Narrow"/>
          <w:color w:val="auto"/>
          <w:sz w:val="24"/>
          <w:u w:val="none"/>
          <w:lang w:eastAsia="zh-CN"/>
        </w:rPr>
        <w:t>二○二</w:t>
      </w:r>
      <w:bookmarkStart w:id="31" w:name="_GoBack"/>
      <w:bookmarkEnd w:id="31"/>
      <w:r>
        <w:rPr>
          <w:rStyle w:val="10"/>
          <w:rFonts w:hint="default" w:ascii="Arial Narrow" w:hAnsi="Arial Narrow" w:eastAsia="仿宋_GB2312" w:cs="Arial Narrow"/>
          <w:color w:val="auto"/>
          <w:sz w:val="24"/>
          <w:u w:val="none"/>
        </w:rPr>
        <w:t>四年六月三十日</w:t>
      </w:r>
    </w:p>
    <w:sectPr>
      <w:headerReference r:id="rId4" w:type="default"/>
      <w:footerReference r:id="rId5" w:type="default"/>
      <w:pgSz w:w="11907" w:h="16840" w:orient="landscape"/>
      <w:pgMar w:top="1418" w:right="1418" w:bottom="1134" w:left="1134" w:header="851" w:footer="851"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E2D31">
    <w:pPr>
      <w:pStyle w:val="4"/>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FB93B">
    <w:pPr>
      <w:pStyle w:val="4"/>
      <w:ind w:firstLine="360"/>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AB2B9">
    <w:pPr>
      <w:pStyle w:val="5"/>
      <w:ind w:firstLine="48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10DE0"/>
    <w:rsid w:val="0004361B"/>
    <w:rsid w:val="000769EE"/>
    <w:rsid w:val="0010003E"/>
    <w:rsid w:val="00104568"/>
    <w:rsid w:val="00143A99"/>
    <w:rsid w:val="00164C87"/>
    <w:rsid w:val="001A42EB"/>
    <w:rsid w:val="001E0132"/>
    <w:rsid w:val="001F3624"/>
    <w:rsid w:val="001F43AE"/>
    <w:rsid w:val="00216472"/>
    <w:rsid w:val="00226E7E"/>
    <w:rsid w:val="002274E2"/>
    <w:rsid w:val="00234777"/>
    <w:rsid w:val="00274E2C"/>
    <w:rsid w:val="00276D1C"/>
    <w:rsid w:val="00282997"/>
    <w:rsid w:val="00296E8C"/>
    <w:rsid w:val="002C36AE"/>
    <w:rsid w:val="002C5020"/>
    <w:rsid w:val="002C7EFA"/>
    <w:rsid w:val="00324E2F"/>
    <w:rsid w:val="0034676C"/>
    <w:rsid w:val="0037066E"/>
    <w:rsid w:val="003B42BF"/>
    <w:rsid w:val="00414A58"/>
    <w:rsid w:val="004200C2"/>
    <w:rsid w:val="00420AA7"/>
    <w:rsid w:val="00421C71"/>
    <w:rsid w:val="004C38B4"/>
    <w:rsid w:val="004D2A6E"/>
    <w:rsid w:val="00501A64"/>
    <w:rsid w:val="00572DD6"/>
    <w:rsid w:val="005A5972"/>
    <w:rsid w:val="005E21B3"/>
    <w:rsid w:val="005F01BA"/>
    <w:rsid w:val="00602CC9"/>
    <w:rsid w:val="0061417A"/>
    <w:rsid w:val="0069678B"/>
    <w:rsid w:val="006D7F90"/>
    <w:rsid w:val="006E75D6"/>
    <w:rsid w:val="0073019B"/>
    <w:rsid w:val="00740E9D"/>
    <w:rsid w:val="00741402"/>
    <w:rsid w:val="00744EE6"/>
    <w:rsid w:val="00760209"/>
    <w:rsid w:val="007A403F"/>
    <w:rsid w:val="007A6BE6"/>
    <w:rsid w:val="007B5F3A"/>
    <w:rsid w:val="00842151"/>
    <w:rsid w:val="00856815"/>
    <w:rsid w:val="008627B6"/>
    <w:rsid w:val="00884B1F"/>
    <w:rsid w:val="008952B1"/>
    <w:rsid w:val="008D4F7C"/>
    <w:rsid w:val="008E609D"/>
    <w:rsid w:val="008F6C1E"/>
    <w:rsid w:val="00983CB7"/>
    <w:rsid w:val="009957B8"/>
    <w:rsid w:val="009D0DC7"/>
    <w:rsid w:val="00A352D4"/>
    <w:rsid w:val="00A95CA5"/>
    <w:rsid w:val="00AE470F"/>
    <w:rsid w:val="00AF58DD"/>
    <w:rsid w:val="00B134A6"/>
    <w:rsid w:val="00B16C4D"/>
    <w:rsid w:val="00B300D0"/>
    <w:rsid w:val="00BB3674"/>
    <w:rsid w:val="00BC7BED"/>
    <w:rsid w:val="00BE0428"/>
    <w:rsid w:val="00C107C7"/>
    <w:rsid w:val="00C12443"/>
    <w:rsid w:val="00C35442"/>
    <w:rsid w:val="00C60A62"/>
    <w:rsid w:val="00C92087"/>
    <w:rsid w:val="00CB3F99"/>
    <w:rsid w:val="00CB54FB"/>
    <w:rsid w:val="00CD590A"/>
    <w:rsid w:val="00D2528F"/>
    <w:rsid w:val="00D254D3"/>
    <w:rsid w:val="00D26E16"/>
    <w:rsid w:val="00D415D5"/>
    <w:rsid w:val="00D914A1"/>
    <w:rsid w:val="00DB4F02"/>
    <w:rsid w:val="00DB55F0"/>
    <w:rsid w:val="00DE460E"/>
    <w:rsid w:val="00E23D6E"/>
    <w:rsid w:val="00E27A95"/>
    <w:rsid w:val="00E53E17"/>
    <w:rsid w:val="00E567CE"/>
    <w:rsid w:val="00E80BDA"/>
    <w:rsid w:val="00EA285F"/>
    <w:rsid w:val="00F54C3F"/>
    <w:rsid w:val="00F61D28"/>
    <w:rsid w:val="00F64D50"/>
    <w:rsid w:val="00F6551E"/>
    <w:rsid w:val="00FD1A79"/>
    <w:rsid w:val="00FE1E65"/>
    <w:rsid w:val="00FE2F48"/>
    <w:rsid w:val="00FF5AA5"/>
    <w:rsid w:val="01ED0131"/>
    <w:rsid w:val="02717C9D"/>
    <w:rsid w:val="03A013D6"/>
    <w:rsid w:val="051461E3"/>
    <w:rsid w:val="05D90649"/>
    <w:rsid w:val="07A32E13"/>
    <w:rsid w:val="0C780C82"/>
    <w:rsid w:val="0C955D75"/>
    <w:rsid w:val="0D8B6C53"/>
    <w:rsid w:val="105276FC"/>
    <w:rsid w:val="10FD0312"/>
    <w:rsid w:val="120E6874"/>
    <w:rsid w:val="270731DD"/>
    <w:rsid w:val="357129F4"/>
    <w:rsid w:val="371050B8"/>
    <w:rsid w:val="388F5D53"/>
    <w:rsid w:val="3B9A0EA4"/>
    <w:rsid w:val="45947F31"/>
    <w:rsid w:val="45D64F9C"/>
    <w:rsid w:val="4A5D096E"/>
    <w:rsid w:val="4DF1278B"/>
    <w:rsid w:val="4ED80E6D"/>
    <w:rsid w:val="51DC562D"/>
    <w:rsid w:val="55E372AA"/>
    <w:rsid w:val="567F61F6"/>
    <w:rsid w:val="60087B46"/>
    <w:rsid w:val="629B4EDD"/>
    <w:rsid w:val="64503960"/>
    <w:rsid w:val="648271CB"/>
    <w:rsid w:val="66B26E3C"/>
    <w:rsid w:val="6C0B491D"/>
    <w:rsid w:val="6C5F0204"/>
    <w:rsid w:val="71AD03D7"/>
    <w:rsid w:val="750E45BB"/>
    <w:rsid w:val="78BD0090"/>
    <w:rsid w:val="7AFE2FE9"/>
    <w:rsid w:val="7F06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qFormat/>
    <w:uiPriority w:val="99"/>
    <w:pPr>
      <w:tabs>
        <w:tab w:val="center" w:pos="4153"/>
        <w:tab w:val="right" w:pos="8306"/>
      </w:tabs>
      <w:snapToGrid w:val="0"/>
      <w:jc w:val="left"/>
    </w:pPr>
    <w:rPr>
      <w:sz w:val="18"/>
      <w:szCs w:val="18"/>
      <w:lang w:val="zh-CN"/>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7">
    <w:name w:val="annotation subject"/>
    <w:basedOn w:val="3"/>
    <w:next w:val="3"/>
    <w:link w:val="15"/>
    <w:qFormat/>
    <w:uiPriority w:val="0"/>
    <w:rPr>
      <w:b/>
      <w:bCs/>
    </w:r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paragraph" w:customStyle="1" w:styleId="12">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批注文字 字符"/>
    <w:basedOn w:val="9"/>
    <w:link w:val="3"/>
    <w:qFormat/>
    <w:uiPriority w:val="0"/>
    <w:rPr>
      <w:kern w:val="2"/>
      <w:sz w:val="21"/>
      <w:szCs w:val="24"/>
    </w:rPr>
  </w:style>
  <w:style w:type="character" w:customStyle="1" w:styleId="15">
    <w:name w:val="批注主题 字符"/>
    <w:basedOn w:val="14"/>
    <w:link w:val="7"/>
    <w:qFormat/>
    <w:uiPriority w:val="0"/>
    <w:rPr>
      <w:b/>
      <w:bCs/>
      <w:kern w:val="2"/>
      <w:sz w:val="21"/>
      <w:szCs w:val="24"/>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9</Pages>
  <Words>5637</Words>
  <Characters>6016</Characters>
  <Lines>51</Lines>
  <Paragraphs>14</Paragraphs>
  <TotalTime>1</TotalTime>
  <ScaleCrop>false</ScaleCrop>
  <LinksUpToDate>false</LinksUpToDate>
  <CharactersWithSpaces>6033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2024-11-20T01:15:33Z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