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FC9C9D">
      <w:pPr>
        <w:spacing w:line="360" w:lineRule="auto"/>
        <w:jc w:val="center"/>
        <w:rPr>
          <w:rFonts w:ascii="Arial Narrow" w:hAnsi="Arial Narrow" w:eastAsiaTheme="minorEastAsia"/>
          <w:b/>
          <w:bCs/>
          <w:sz w:val="36"/>
          <w:szCs w:val="36"/>
        </w:rPr>
      </w:pPr>
    </w:p>
    <w:p w14:paraId="104D35C9">
      <w:pPr>
        <w:spacing w:line="360" w:lineRule="auto"/>
        <w:jc w:val="center"/>
        <w:rPr>
          <w:rFonts w:ascii="Arial Narrow" w:hAnsi="Arial Narrow" w:eastAsiaTheme="minorEastAsia"/>
          <w:b/>
          <w:bCs/>
          <w:sz w:val="36"/>
          <w:szCs w:val="36"/>
        </w:rPr>
      </w:pPr>
    </w:p>
    <w:p w14:paraId="7AB66E78">
      <w:pPr>
        <w:spacing w:line="360" w:lineRule="auto"/>
        <w:jc w:val="center"/>
        <w:rPr>
          <w:rFonts w:ascii="Arial Narrow" w:hAnsi="Arial Narrow" w:eastAsiaTheme="minorEastAsia"/>
          <w:b/>
          <w:bCs/>
          <w:sz w:val="36"/>
          <w:szCs w:val="36"/>
        </w:rPr>
      </w:pPr>
    </w:p>
    <w:p w14:paraId="36527D3E">
      <w:pPr>
        <w:spacing w:line="360" w:lineRule="auto"/>
        <w:jc w:val="center"/>
        <w:rPr>
          <w:rFonts w:ascii="Arial Narrow" w:hAnsi="Arial Narrow" w:eastAsiaTheme="minorEastAsia"/>
          <w:b/>
          <w:bCs/>
          <w:sz w:val="44"/>
          <w:szCs w:val="44"/>
        </w:rPr>
      </w:pPr>
    </w:p>
    <w:p w14:paraId="7432C8AE">
      <w:pPr>
        <w:adjustRightInd w:val="0"/>
        <w:snapToGrid w:val="0"/>
        <w:spacing w:line="360" w:lineRule="auto"/>
        <w:jc w:val="center"/>
        <w:rPr>
          <w:rFonts w:ascii="Arial Narrow" w:hAnsi="Arial Narrow" w:eastAsiaTheme="minorEastAsia"/>
          <w:b/>
          <w:sz w:val="44"/>
          <w:szCs w:val="44"/>
        </w:rPr>
      </w:pPr>
      <w:bookmarkStart w:id="0" w:name="_Hlk170378626"/>
      <w:r>
        <w:rPr>
          <w:rFonts w:ascii="Arial Narrow" w:hAnsi="Arial Narrow" w:eastAsiaTheme="minorEastAsia"/>
          <w:b/>
          <w:sz w:val="44"/>
          <w:szCs w:val="44"/>
        </w:rPr>
        <w:t>重庆市铜梁区安居镇农副产品加工厂房建设</w:t>
      </w:r>
      <w:r>
        <w:rPr>
          <w:rFonts w:hint="eastAsia" w:ascii="Arial Narrow" w:hAnsi="Arial Narrow" w:eastAsiaTheme="minorEastAsia"/>
          <w:b/>
          <w:sz w:val="44"/>
          <w:szCs w:val="44"/>
          <w:lang w:val="en-US" w:eastAsia="zh-CN"/>
        </w:rPr>
        <w:t>等</w:t>
      </w:r>
      <w:r>
        <w:rPr>
          <w:rFonts w:ascii="Arial Narrow" w:hAnsi="Arial Narrow" w:eastAsiaTheme="minorEastAsia"/>
          <w:b/>
          <w:sz w:val="44"/>
          <w:szCs w:val="44"/>
        </w:rPr>
        <w:t>4个项目</w:t>
      </w:r>
      <w:bookmarkEnd w:id="0"/>
      <w:r>
        <w:rPr>
          <w:rFonts w:ascii="Arial Narrow" w:hAnsi="Arial Narrow" w:eastAsiaTheme="minorEastAsia"/>
          <w:b/>
          <w:sz w:val="44"/>
          <w:szCs w:val="44"/>
        </w:rPr>
        <w:t>财政专项衔接资金</w:t>
      </w:r>
    </w:p>
    <w:p w14:paraId="37BB41E2">
      <w:pPr>
        <w:adjustRightInd w:val="0"/>
        <w:snapToGrid w:val="0"/>
        <w:spacing w:line="360" w:lineRule="auto"/>
        <w:jc w:val="center"/>
        <w:rPr>
          <w:rFonts w:ascii="Arial Narrow" w:hAnsi="Arial Narrow" w:eastAsiaTheme="minorEastAsia"/>
          <w:b/>
          <w:sz w:val="44"/>
          <w:szCs w:val="44"/>
        </w:rPr>
      </w:pPr>
    </w:p>
    <w:p w14:paraId="333DFD14">
      <w:pPr>
        <w:adjustRightInd w:val="0"/>
        <w:snapToGrid w:val="0"/>
        <w:spacing w:line="360" w:lineRule="auto"/>
        <w:jc w:val="center"/>
        <w:rPr>
          <w:rFonts w:ascii="Arial Narrow" w:hAnsi="Arial Narrow" w:eastAsiaTheme="minorEastAsia"/>
          <w:b/>
          <w:sz w:val="44"/>
          <w:szCs w:val="44"/>
        </w:rPr>
      </w:pPr>
    </w:p>
    <w:p w14:paraId="62F10060">
      <w:pPr>
        <w:tabs>
          <w:tab w:val="center" w:pos="4393"/>
          <w:tab w:val="left" w:pos="7258"/>
        </w:tabs>
        <w:adjustRightInd w:val="0"/>
        <w:snapToGrid w:val="0"/>
        <w:spacing w:line="360" w:lineRule="auto"/>
        <w:jc w:val="center"/>
        <w:rPr>
          <w:rFonts w:ascii="Arial Narrow" w:hAnsi="Arial Narrow" w:eastAsiaTheme="minorEastAsia"/>
          <w:b/>
          <w:w w:val="102"/>
          <w:sz w:val="44"/>
          <w:szCs w:val="44"/>
        </w:rPr>
      </w:pPr>
      <w:r>
        <w:rPr>
          <w:rFonts w:ascii="Arial Narrow" w:hAnsi="Arial Narrow" w:eastAsiaTheme="minorEastAsia"/>
          <w:b/>
          <w:w w:val="102"/>
          <w:sz w:val="44"/>
          <w:szCs w:val="44"/>
        </w:rPr>
        <w:t>绩效评价</w:t>
      </w:r>
      <w:bookmarkStart w:id="1" w:name="_Toc488804777"/>
      <w:bookmarkStart w:id="2" w:name="_Toc488637980"/>
      <w:r>
        <w:rPr>
          <w:rFonts w:ascii="Arial Narrow" w:hAnsi="Arial Narrow" w:eastAsiaTheme="minorEastAsia"/>
          <w:b/>
          <w:w w:val="102"/>
          <w:sz w:val="44"/>
          <w:szCs w:val="44"/>
        </w:rPr>
        <w:t>报告</w:t>
      </w:r>
    </w:p>
    <w:p w14:paraId="4B79608C">
      <w:pPr>
        <w:spacing w:line="360" w:lineRule="auto"/>
        <w:jc w:val="center"/>
        <w:rPr>
          <w:rFonts w:ascii="Arial Narrow" w:hAnsi="Arial Narrow" w:eastAsiaTheme="minorEastAsia"/>
          <w:bCs/>
          <w:sz w:val="32"/>
          <w:szCs w:val="32"/>
        </w:rPr>
      </w:pPr>
      <w:r>
        <w:rPr>
          <w:rFonts w:ascii="Arial Narrow" w:hAnsi="Arial Narrow" w:eastAsiaTheme="minorEastAsia"/>
          <w:bCs/>
          <w:sz w:val="32"/>
          <w:szCs w:val="32"/>
        </w:rPr>
        <w:t>铭鸿咨字【2024】第0034号</w:t>
      </w:r>
    </w:p>
    <w:p w14:paraId="436B1E82">
      <w:pPr>
        <w:adjustRightInd w:val="0"/>
        <w:snapToGrid w:val="0"/>
        <w:spacing w:line="360" w:lineRule="auto"/>
        <w:jc w:val="center"/>
        <w:rPr>
          <w:rFonts w:ascii="Arial Narrow" w:hAnsi="Arial Narrow" w:eastAsiaTheme="minorEastAsia"/>
          <w:b/>
          <w:spacing w:val="100"/>
          <w:sz w:val="32"/>
          <w:szCs w:val="32"/>
        </w:rPr>
      </w:pPr>
    </w:p>
    <w:p w14:paraId="57C93743">
      <w:pPr>
        <w:adjustRightInd w:val="0"/>
        <w:snapToGrid w:val="0"/>
        <w:spacing w:line="360" w:lineRule="auto"/>
        <w:jc w:val="center"/>
        <w:rPr>
          <w:rFonts w:ascii="Arial Narrow" w:hAnsi="Arial Narrow" w:eastAsiaTheme="minorEastAsia"/>
          <w:b/>
          <w:spacing w:val="100"/>
          <w:sz w:val="32"/>
          <w:szCs w:val="32"/>
        </w:rPr>
      </w:pPr>
    </w:p>
    <w:p w14:paraId="08EB056D">
      <w:pPr>
        <w:adjustRightInd w:val="0"/>
        <w:snapToGrid w:val="0"/>
        <w:spacing w:line="360" w:lineRule="auto"/>
        <w:jc w:val="center"/>
        <w:rPr>
          <w:rFonts w:ascii="Arial Narrow" w:hAnsi="Arial Narrow" w:eastAsiaTheme="minorEastAsia"/>
          <w:b/>
          <w:spacing w:val="100"/>
          <w:sz w:val="32"/>
          <w:szCs w:val="32"/>
        </w:rPr>
      </w:pPr>
    </w:p>
    <w:p w14:paraId="3B879CDF">
      <w:pPr>
        <w:adjustRightInd w:val="0"/>
        <w:snapToGrid w:val="0"/>
        <w:spacing w:line="360" w:lineRule="auto"/>
        <w:jc w:val="center"/>
        <w:rPr>
          <w:rFonts w:ascii="Arial Narrow" w:hAnsi="Arial Narrow" w:eastAsiaTheme="minorEastAsia"/>
          <w:b/>
          <w:spacing w:val="100"/>
          <w:sz w:val="32"/>
          <w:szCs w:val="32"/>
        </w:rPr>
      </w:pPr>
    </w:p>
    <w:p w14:paraId="28D717EC">
      <w:pPr>
        <w:adjustRightInd w:val="0"/>
        <w:snapToGrid w:val="0"/>
        <w:spacing w:line="360" w:lineRule="auto"/>
        <w:jc w:val="center"/>
        <w:rPr>
          <w:rFonts w:ascii="Arial Narrow" w:hAnsi="Arial Narrow" w:eastAsiaTheme="minorEastAsia"/>
          <w:b/>
          <w:spacing w:val="100"/>
          <w:sz w:val="32"/>
          <w:szCs w:val="32"/>
        </w:rPr>
      </w:pPr>
    </w:p>
    <w:p w14:paraId="7DC72ED1">
      <w:pPr>
        <w:adjustRightInd w:val="0"/>
        <w:snapToGrid w:val="0"/>
        <w:spacing w:line="360" w:lineRule="auto"/>
        <w:jc w:val="center"/>
        <w:rPr>
          <w:rFonts w:ascii="Arial Narrow" w:hAnsi="Arial Narrow" w:eastAsiaTheme="minorEastAsia"/>
          <w:b/>
          <w:spacing w:val="100"/>
          <w:sz w:val="32"/>
          <w:szCs w:val="32"/>
        </w:rPr>
      </w:pPr>
    </w:p>
    <w:p w14:paraId="7C35F20D">
      <w:pPr>
        <w:adjustRightInd w:val="0"/>
        <w:snapToGrid w:val="0"/>
        <w:spacing w:line="360" w:lineRule="auto"/>
        <w:jc w:val="center"/>
        <w:rPr>
          <w:rFonts w:ascii="Arial Narrow" w:hAnsi="Arial Narrow" w:eastAsiaTheme="minorEastAsia"/>
          <w:b/>
          <w:spacing w:val="100"/>
          <w:sz w:val="32"/>
          <w:szCs w:val="32"/>
        </w:rPr>
      </w:pPr>
    </w:p>
    <w:p w14:paraId="41E137B3">
      <w:pPr>
        <w:adjustRightInd w:val="0"/>
        <w:snapToGrid w:val="0"/>
        <w:spacing w:line="360" w:lineRule="auto"/>
        <w:jc w:val="center"/>
        <w:rPr>
          <w:rFonts w:ascii="Arial Narrow" w:hAnsi="Arial Narrow" w:eastAsiaTheme="minorEastAsia"/>
          <w:b/>
          <w:spacing w:val="100"/>
          <w:sz w:val="32"/>
          <w:szCs w:val="32"/>
        </w:rPr>
      </w:pPr>
    </w:p>
    <w:p w14:paraId="3A982935">
      <w:pPr>
        <w:adjustRightInd w:val="0"/>
        <w:snapToGrid w:val="0"/>
        <w:spacing w:line="360" w:lineRule="auto"/>
        <w:jc w:val="center"/>
        <w:rPr>
          <w:rFonts w:ascii="Arial Narrow" w:hAnsi="Arial Narrow" w:eastAsiaTheme="minorEastAsia"/>
          <w:b/>
          <w:spacing w:val="100"/>
          <w:sz w:val="32"/>
          <w:szCs w:val="32"/>
        </w:rPr>
      </w:pPr>
    </w:p>
    <w:p w14:paraId="53C989D6">
      <w:pPr>
        <w:adjustRightInd w:val="0"/>
        <w:snapToGrid w:val="0"/>
        <w:spacing w:line="360" w:lineRule="auto"/>
        <w:jc w:val="center"/>
        <w:rPr>
          <w:rFonts w:ascii="Arial Narrow" w:hAnsi="Arial Narrow" w:eastAsiaTheme="minorEastAsia"/>
          <w:b/>
          <w:spacing w:val="100"/>
          <w:sz w:val="32"/>
          <w:szCs w:val="32"/>
        </w:rPr>
      </w:pPr>
    </w:p>
    <w:p w14:paraId="4FD749F7">
      <w:pPr>
        <w:spacing w:line="360" w:lineRule="auto"/>
        <w:jc w:val="center"/>
        <w:rPr>
          <w:rFonts w:ascii="Arial Narrow" w:hAnsi="Arial Narrow" w:eastAsiaTheme="minorEastAsia"/>
          <w:sz w:val="32"/>
          <w:szCs w:val="32"/>
        </w:rPr>
      </w:pPr>
      <w:r>
        <w:rPr>
          <w:rFonts w:ascii="Arial Narrow" w:hAnsi="Arial Narrow" w:eastAsiaTheme="minorEastAsia"/>
          <w:sz w:val="32"/>
          <w:szCs w:val="32"/>
        </w:rPr>
        <w:t>重庆铭鸿金全会计师事务所有限公司有限</w:t>
      </w:r>
      <w:r>
        <w:rPr>
          <w:rFonts w:hint="eastAsia" w:ascii="Arial Narrow" w:hAnsi="Arial Narrow" w:eastAsiaTheme="minorEastAsia"/>
          <w:sz w:val="32"/>
          <w:szCs w:val="32"/>
        </w:rPr>
        <w:t>责任</w:t>
      </w:r>
      <w:r>
        <w:rPr>
          <w:rFonts w:ascii="Arial Narrow" w:hAnsi="Arial Narrow" w:eastAsiaTheme="minorEastAsia"/>
          <w:sz w:val="32"/>
          <w:szCs w:val="32"/>
        </w:rPr>
        <w:t>公司</w:t>
      </w:r>
    </w:p>
    <w:p w14:paraId="47DF8307">
      <w:pPr>
        <w:spacing w:line="360" w:lineRule="auto"/>
        <w:jc w:val="center"/>
        <w:rPr>
          <w:rFonts w:ascii="Arial Narrow" w:hAnsi="Arial Narrow" w:eastAsiaTheme="minorEastAsia"/>
          <w:sz w:val="32"/>
          <w:szCs w:val="32"/>
        </w:rPr>
      </w:pPr>
      <w:r>
        <w:rPr>
          <w:rFonts w:ascii="Arial Narrow" w:hAnsi="Arial Narrow" w:eastAsiaTheme="minorEastAsia"/>
          <w:sz w:val="32"/>
          <w:szCs w:val="32"/>
        </w:rPr>
        <w:t>二</w:t>
      </w:r>
      <w:r>
        <w:rPr>
          <w:rFonts w:hint="eastAsia" w:ascii="Arial Narrow" w:hAnsi="Arial Narrow" w:eastAsiaTheme="minorEastAsia"/>
          <w:sz w:val="32"/>
          <w:szCs w:val="32"/>
          <w:lang w:val="en-US" w:eastAsia="zh-CN"/>
        </w:rPr>
        <w:t>〇</w:t>
      </w:r>
      <w:r>
        <w:rPr>
          <w:rFonts w:ascii="Arial Narrow" w:hAnsi="Arial Narrow" w:eastAsiaTheme="minorEastAsia"/>
          <w:sz w:val="32"/>
          <w:szCs w:val="32"/>
        </w:rPr>
        <w:t>二</w:t>
      </w:r>
      <w:r>
        <w:rPr>
          <w:rFonts w:hint="eastAsia" w:ascii="Arial Narrow" w:hAnsi="Arial Narrow" w:eastAsiaTheme="minorEastAsia"/>
          <w:sz w:val="32"/>
          <w:szCs w:val="32"/>
          <w:lang w:eastAsia="zh-CN"/>
        </w:rPr>
        <w:t>四</w:t>
      </w:r>
      <w:r>
        <w:rPr>
          <w:rFonts w:ascii="Arial Narrow" w:hAnsi="Arial Narrow" w:eastAsiaTheme="minorEastAsia"/>
          <w:sz w:val="32"/>
          <w:szCs w:val="32"/>
        </w:rPr>
        <w:t>年六月</w:t>
      </w:r>
    </w:p>
    <w:p w14:paraId="55C68363">
      <w:pPr>
        <w:spacing w:line="360" w:lineRule="auto"/>
        <w:jc w:val="center"/>
        <w:rPr>
          <w:rFonts w:ascii="Arial Narrow" w:hAnsi="Arial Narrow" w:eastAsiaTheme="minorEastAsia"/>
          <w:sz w:val="44"/>
          <w:szCs w:val="44"/>
        </w:rPr>
      </w:pPr>
      <w:r>
        <w:rPr>
          <w:rFonts w:ascii="Arial Narrow" w:hAnsi="Arial Narrow" w:eastAsiaTheme="minorEastAsia"/>
          <w:b/>
          <w:spacing w:val="100"/>
          <w:sz w:val="52"/>
          <w:szCs w:val="52"/>
        </w:rPr>
        <w:br w:type="page"/>
      </w:r>
      <w:bookmarkEnd w:id="1"/>
      <w:bookmarkEnd w:id="2"/>
      <w:r>
        <w:rPr>
          <w:rFonts w:ascii="Arial Narrow" w:hAnsi="Arial Narrow" w:eastAsiaTheme="minorEastAsia"/>
          <w:sz w:val="44"/>
          <w:szCs w:val="44"/>
        </w:rPr>
        <w:t>目   录</w:t>
      </w:r>
    </w:p>
    <w:p w14:paraId="240F8355">
      <w:pPr>
        <w:spacing w:line="360" w:lineRule="auto"/>
        <w:jc w:val="center"/>
        <w:rPr>
          <w:rFonts w:ascii="Arial Narrow" w:hAnsi="Arial Narrow" w:eastAsiaTheme="minorEastAsia"/>
          <w:sz w:val="24"/>
        </w:rPr>
      </w:pPr>
    </w:p>
    <w:p w14:paraId="4CC82E8A">
      <w:pPr>
        <w:pStyle w:val="7"/>
        <w:spacing w:line="520" w:lineRule="exact"/>
        <w:rPr>
          <w:rFonts w:asciiTheme="minorHAnsi" w:hAnsiTheme="minorHAnsi" w:eastAsiaTheme="minorEastAsia" w:cstheme="minorBidi"/>
          <w:b w:val="0"/>
          <w:bCs w:val="0"/>
          <w:szCs w:val="22"/>
          <w14:ligatures w14:val="standardContextual"/>
        </w:rPr>
      </w:pPr>
      <w:r>
        <w:rPr>
          <w:rStyle w:val="11"/>
          <w:rFonts w:eastAsiaTheme="minorEastAsia"/>
          <w:b w:val="0"/>
          <w:bCs w:val="0"/>
          <w:color w:val="auto"/>
          <w:szCs w:val="21"/>
          <w:u w:val="none"/>
        </w:rPr>
        <w:fldChar w:fldCharType="begin"/>
      </w:r>
      <w:r>
        <w:rPr>
          <w:rStyle w:val="11"/>
          <w:rFonts w:eastAsiaTheme="minorEastAsia"/>
          <w:b w:val="0"/>
          <w:bCs w:val="0"/>
          <w:color w:val="auto"/>
          <w:szCs w:val="21"/>
          <w:u w:val="none"/>
        </w:rPr>
        <w:instrText xml:space="preserve"> TOC \o "1-3" \h \z \u </w:instrText>
      </w:r>
      <w:r>
        <w:rPr>
          <w:rStyle w:val="11"/>
          <w:rFonts w:eastAsiaTheme="minorEastAsia"/>
          <w:b w:val="0"/>
          <w:bCs w:val="0"/>
          <w:color w:val="auto"/>
          <w:szCs w:val="21"/>
          <w:u w:val="none"/>
        </w:rPr>
        <w:fldChar w:fldCharType="separate"/>
      </w:r>
      <w:r>
        <w:fldChar w:fldCharType="begin"/>
      </w:r>
      <w:r>
        <w:instrText xml:space="preserve"> HYPERLINK \l "_Toc171611920" </w:instrText>
      </w:r>
      <w:r>
        <w:fldChar w:fldCharType="separate"/>
      </w:r>
      <w:r>
        <w:rPr>
          <w:rStyle w:val="11"/>
        </w:rPr>
        <w:t>一、基本情况</w:t>
      </w:r>
      <w:r>
        <w:tab/>
      </w:r>
      <w:r>
        <w:fldChar w:fldCharType="begin"/>
      </w:r>
      <w:r>
        <w:instrText xml:space="preserve"> PAGEREF _Toc171611920 \h </w:instrText>
      </w:r>
      <w:r>
        <w:fldChar w:fldCharType="separate"/>
      </w:r>
      <w:r>
        <w:t>1</w:t>
      </w:r>
      <w:r>
        <w:fldChar w:fldCharType="end"/>
      </w:r>
      <w:r>
        <w:fldChar w:fldCharType="end"/>
      </w:r>
    </w:p>
    <w:p w14:paraId="604F1304">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"_Toc171611921" </w:instrText>
      </w:r>
      <w:r>
        <w:fldChar w:fldCharType="separate"/>
      </w:r>
      <w:r>
        <w:rPr>
          <w:rStyle w:val="11"/>
          <w:rFonts w:cs="宋体"/>
          <w:kern w:val="0"/>
        </w:rPr>
        <w:t>（一）项目情况</w:t>
      </w:r>
      <w:r>
        <w:tab/>
      </w:r>
      <w:r>
        <w:fldChar w:fldCharType="begin"/>
      </w:r>
      <w:r>
        <w:instrText xml:space="preserve"> PAGEREF _Toc171611921 \h </w:instrText>
      </w:r>
      <w:r>
        <w:fldChar w:fldCharType="separate"/>
      </w:r>
      <w:r>
        <w:t>1</w:t>
      </w:r>
      <w:r>
        <w:fldChar w:fldCharType="end"/>
      </w:r>
      <w:r>
        <w:fldChar w:fldCharType="end"/>
      </w:r>
    </w:p>
    <w:p w14:paraId="52B6CF58">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"_Toc171611922" </w:instrText>
      </w:r>
      <w:r>
        <w:fldChar w:fldCharType="separate"/>
      </w:r>
      <w:r>
        <w:rPr>
          <w:rStyle w:val="11"/>
        </w:rPr>
        <w:t>二、绩效评价工作情况</w:t>
      </w:r>
      <w:r>
        <w:tab/>
      </w:r>
      <w:r>
        <w:fldChar w:fldCharType="begin"/>
      </w:r>
      <w:r>
        <w:instrText xml:space="preserve"> PAGEREF _Toc171611922 \h </w:instrText>
      </w:r>
      <w:r>
        <w:fldChar w:fldCharType="separate"/>
      </w:r>
      <w:r>
        <w:t>2</w:t>
      </w:r>
      <w:r>
        <w:fldChar w:fldCharType="end"/>
      </w:r>
      <w:r>
        <w:fldChar w:fldCharType="end"/>
      </w:r>
    </w:p>
    <w:p w14:paraId="668DA040">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"_Toc171611923" </w:instrText>
      </w:r>
      <w:r>
        <w:fldChar w:fldCharType="separate"/>
      </w:r>
      <w:r>
        <w:rPr>
          <w:rStyle w:val="11"/>
        </w:rPr>
        <w:t>（一）绩效评价目的</w:t>
      </w:r>
      <w:r>
        <w:tab/>
      </w:r>
      <w:r>
        <w:fldChar w:fldCharType="begin"/>
      </w:r>
      <w:r>
        <w:instrText xml:space="preserve"> PAGEREF _Toc171611923 \h </w:instrText>
      </w:r>
      <w:r>
        <w:fldChar w:fldCharType="separate"/>
      </w:r>
      <w:r>
        <w:t>2</w:t>
      </w:r>
      <w:r>
        <w:fldChar w:fldCharType="end"/>
      </w:r>
      <w:r>
        <w:fldChar w:fldCharType="end"/>
      </w:r>
    </w:p>
    <w:p w14:paraId="3D23389A">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"_Toc171611924" </w:instrText>
      </w:r>
      <w:r>
        <w:fldChar w:fldCharType="separate"/>
      </w:r>
      <w:r>
        <w:rPr>
          <w:rStyle w:val="11"/>
        </w:rPr>
        <w:t>（二）绩效评价的基本内容</w:t>
      </w:r>
      <w:r>
        <w:tab/>
      </w:r>
      <w:r>
        <w:fldChar w:fldCharType="begin"/>
      </w:r>
      <w:r>
        <w:instrText xml:space="preserve"> PAGEREF _Toc171611924 \h </w:instrText>
      </w:r>
      <w:r>
        <w:fldChar w:fldCharType="separate"/>
      </w:r>
      <w:r>
        <w:t>2</w:t>
      </w:r>
      <w:r>
        <w:fldChar w:fldCharType="end"/>
      </w:r>
      <w:r>
        <w:fldChar w:fldCharType="end"/>
      </w:r>
    </w:p>
    <w:p w14:paraId="239A1289">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"_Toc171611925" </w:instrText>
      </w:r>
      <w:r>
        <w:fldChar w:fldCharType="separate"/>
      </w:r>
      <w:r>
        <w:rPr>
          <w:rStyle w:val="11"/>
        </w:rPr>
        <w:t>（三）绩效评价依据</w:t>
      </w:r>
      <w:r>
        <w:tab/>
      </w:r>
      <w:r>
        <w:fldChar w:fldCharType="begin"/>
      </w:r>
      <w:r>
        <w:instrText xml:space="preserve"> PAGEREF _Toc171611925 \h </w:instrText>
      </w:r>
      <w:r>
        <w:fldChar w:fldCharType="separate"/>
      </w:r>
      <w:r>
        <w:t>3</w:t>
      </w:r>
      <w:r>
        <w:fldChar w:fldCharType="end"/>
      </w:r>
      <w:r>
        <w:fldChar w:fldCharType="end"/>
      </w:r>
    </w:p>
    <w:p w14:paraId="246BEE9A">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"_Toc171611926" </w:instrText>
      </w:r>
      <w:r>
        <w:fldChar w:fldCharType="separate"/>
      </w:r>
      <w:r>
        <w:rPr>
          <w:rStyle w:val="11"/>
        </w:rPr>
        <w:t>（四）绩效评价原则和指标体系</w:t>
      </w:r>
      <w:r>
        <w:tab/>
      </w:r>
      <w:r>
        <w:fldChar w:fldCharType="begin"/>
      </w:r>
      <w:r>
        <w:instrText xml:space="preserve"> PAGEREF _Toc171611926 \h </w:instrText>
      </w:r>
      <w:r>
        <w:fldChar w:fldCharType="separate"/>
      </w:r>
      <w:r>
        <w:t>3</w:t>
      </w:r>
      <w:r>
        <w:fldChar w:fldCharType="end"/>
      </w:r>
      <w:r>
        <w:fldChar w:fldCharType="end"/>
      </w:r>
    </w:p>
    <w:p w14:paraId="5AAF545A">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"_Toc171611927" </w:instrText>
      </w:r>
      <w:r>
        <w:fldChar w:fldCharType="separate"/>
      </w:r>
      <w:r>
        <w:rPr>
          <w:rStyle w:val="11"/>
        </w:rPr>
        <w:t>（五）绩效评价标准和评价方法</w:t>
      </w:r>
      <w:r>
        <w:tab/>
      </w:r>
      <w:r>
        <w:fldChar w:fldCharType="begin"/>
      </w:r>
      <w:r>
        <w:instrText xml:space="preserve"> PAGEREF _Toc171611927 \h </w:instrText>
      </w:r>
      <w:r>
        <w:fldChar w:fldCharType="separate"/>
      </w:r>
      <w:r>
        <w:t>5</w:t>
      </w:r>
      <w:r>
        <w:fldChar w:fldCharType="end"/>
      </w:r>
      <w:r>
        <w:fldChar w:fldCharType="end"/>
      </w:r>
    </w:p>
    <w:p w14:paraId="564E7680">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"_Toc171611928" </w:instrText>
      </w:r>
      <w:r>
        <w:fldChar w:fldCharType="separate"/>
      </w:r>
      <w:r>
        <w:rPr>
          <w:rStyle w:val="11"/>
        </w:rPr>
        <w:t>（六）绩效评价工作过程</w:t>
      </w:r>
      <w:r>
        <w:tab/>
      </w:r>
      <w:r>
        <w:fldChar w:fldCharType="begin"/>
      </w:r>
      <w:r>
        <w:instrText xml:space="preserve"> PAGEREF _Toc171611928 \h </w:instrText>
      </w:r>
      <w:r>
        <w:fldChar w:fldCharType="separate"/>
      </w:r>
      <w:r>
        <w:t>6</w:t>
      </w:r>
      <w:r>
        <w:fldChar w:fldCharType="end"/>
      </w:r>
      <w:r>
        <w:fldChar w:fldCharType="end"/>
      </w:r>
    </w:p>
    <w:p w14:paraId="15CBEAE6">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"_Toc171611929" </w:instrText>
      </w:r>
      <w:r>
        <w:fldChar w:fldCharType="separate"/>
      </w:r>
      <w:r>
        <w:rPr>
          <w:rStyle w:val="11"/>
        </w:rPr>
        <w:t>三、项目评价结论</w:t>
      </w:r>
      <w:r>
        <w:tab/>
      </w:r>
      <w:r>
        <w:fldChar w:fldCharType="begin"/>
      </w:r>
      <w:r>
        <w:instrText xml:space="preserve"> PAGEREF _Toc171611929 \h </w:instrText>
      </w:r>
      <w:r>
        <w:fldChar w:fldCharType="separate"/>
      </w:r>
      <w:r>
        <w:t>6</w:t>
      </w:r>
      <w:r>
        <w:fldChar w:fldCharType="end"/>
      </w:r>
      <w:r>
        <w:fldChar w:fldCharType="end"/>
      </w:r>
    </w:p>
    <w:p w14:paraId="41BDB2D3">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"_Toc171611930" </w:instrText>
      </w:r>
      <w:r>
        <w:fldChar w:fldCharType="separate"/>
      </w:r>
      <w:r>
        <w:rPr>
          <w:rStyle w:val="11"/>
        </w:rPr>
        <w:t>四、综合评价情况</w:t>
      </w:r>
      <w:r>
        <w:tab/>
      </w:r>
      <w:r>
        <w:fldChar w:fldCharType="begin"/>
      </w:r>
      <w:r>
        <w:instrText xml:space="preserve"> PAGEREF _Toc171611930 \h </w:instrText>
      </w:r>
      <w:r>
        <w:fldChar w:fldCharType="separate"/>
      </w:r>
      <w:r>
        <w:t>6</w:t>
      </w:r>
      <w:r>
        <w:fldChar w:fldCharType="end"/>
      </w:r>
      <w:r>
        <w:fldChar w:fldCharType="end"/>
      </w:r>
    </w:p>
    <w:p w14:paraId="09525017">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"_Toc171611931" </w:instrText>
      </w:r>
      <w:r>
        <w:fldChar w:fldCharType="separate"/>
      </w:r>
      <w:r>
        <w:rPr>
          <w:rStyle w:val="11"/>
        </w:rPr>
        <w:t>（一）资金管理</w:t>
      </w:r>
      <w:r>
        <w:tab/>
      </w:r>
      <w:r>
        <w:fldChar w:fldCharType="begin"/>
      </w:r>
      <w:r>
        <w:instrText xml:space="preserve"> PAGEREF _Toc171611931 \h </w:instrText>
      </w:r>
      <w:r>
        <w:fldChar w:fldCharType="separate"/>
      </w:r>
      <w:r>
        <w:t>6</w:t>
      </w:r>
      <w:r>
        <w:fldChar w:fldCharType="end"/>
      </w:r>
      <w:r>
        <w:fldChar w:fldCharType="end"/>
      </w:r>
    </w:p>
    <w:p w14:paraId="5AA539DE">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"_Toc171611932" </w:instrText>
      </w:r>
      <w:r>
        <w:fldChar w:fldCharType="separate"/>
      </w:r>
      <w:r>
        <w:rPr>
          <w:rStyle w:val="11"/>
        </w:rPr>
        <w:t>（二）项目管理</w:t>
      </w:r>
      <w:r>
        <w:tab/>
      </w:r>
      <w:r>
        <w:fldChar w:fldCharType="begin"/>
      </w:r>
      <w:r>
        <w:instrText xml:space="preserve"> PAGEREF _Toc171611932 \h </w:instrText>
      </w:r>
      <w:r>
        <w:fldChar w:fldCharType="separate"/>
      </w:r>
      <w:r>
        <w:t>7</w:t>
      </w:r>
      <w:r>
        <w:fldChar w:fldCharType="end"/>
      </w:r>
      <w:r>
        <w:fldChar w:fldCharType="end"/>
      </w:r>
    </w:p>
    <w:p w14:paraId="16D7320E">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"_Toc171611933" </w:instrText>
      </w:r>
      <w:r>
        <w:fldChar w:fldCharType="separate"/>
      </w:r>
      <w:r>
        <w:rPr>
          <w:rStyle w:val="11"/>
        </w:rPr>
        <w:t>（三）使用成效及通报情况</w:t>
      </w:r>
      <w:r>
        <w:tab/>
      </w:r>
      <w:r>
        <w:fldChar w:fldCharType="begin"/>
      </w:r>
      <w:r>
        <w:instrText xml:space="preserve"> PAGEREF _Toc171611933 \h </w:instrText>
      </w:r>
      <w:r>
        <w:fldChar w:fldCharType="separate"/>
      </w:r>
      <w:r>
        <w:t>8</w:t>
      </w:r>
      <w:r>
        <w:fldChar w:fldCharType="end"/>
      </w:r>
      <w:r>
        <w:fldChar w:fldCharType="end"/>
      </w:r>
    </w:p>
    <w:p w14:paraId="125F8D22">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"_Toc171611934" </w:instrText>
      </w:r>
      <w:r>
        <w:fldChar w:fldCharType="separate"/>
      </w:r>
      <w:r>
        <w:rPr>
          <w:rStyle w:val="11"/>
        </w:rPr>
        <w:t>五、存在的问题和建议</w:t>
      </w:r>
      <w:r>
        <w:tab/>
      </w:r>
      <w:r>
        <w:fldChar w:fldCharType="begin"/>
      </w:r>
      <w:r>
        <w:instrText xml:space="preserve"> PAGEREF _Toc171611934 \h </w:instrText>
      </w:r>
      <w:r>
        <w:fldChar w:fldCharType="separate"/>
      </w:r>
      <w:r>
        <w:t>8</w:t>
      </w:r>
      <w:r>
        <w:fldChar w:fldCharType="end"/>
      </w:r>
      <w:r>
        <w:fldChar w:fldCharType="end"/>
      </w:r>
    </w:p>
    <w:p w14:paraId="47F9A85E">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"_Toc171611935" </w:instrText>
      </w:r>
      <w:r>
        <w:fldChar w:fldCharType="separate"/>
      </w:r>
      <w:r>
        <w:rPr>
          <w:rStyle w:val="11"/>
        </w:rPr>
        <w:t>（一）存在问题</w:t>
      </w:r>
      <w:r>
        <w:tab/>
      </w:r>
      <w:r>
        <w:fldChar w:fldCharType="begin"/>
      </w:r>
      <w:r>
        <w:instrText xml:space="preserve"> PAGEREF _Toc171611935 \h </w:instrText>
      </w:r>
      <w:r>
        <w:fldChar w:fldCharType="separate"/>
      </w:r>
      <w:r>
        <w:t>8</w:t>
      </w:r>
      <w:r>
        <w:fldChar w:fldCharType="end"/>
      </w:r>
      <w:r>
        <w:fldChar w:fldCharType="end"/>
      </w:r>
    </w:p>
    <w:p w14:paraId="405C5123">
      <w:pPr>
        <w:pStyle w:val="7"/>
        <w:spacing w:line="520" w:lineRule="exact"/>
      </w:pPr>
      <w:r>
        <w:fldChar w:fldCharType="begin"/>
      </w:r>
      <w:r>
        <w:instrText xml:space="preserve"> HYPERLINK \l "_Toc171611936" </w:instrText>
      </w:r>
      <w:r>
        <w:fldChar w:fldCharType="separate"/>
      </w:r>
      <w:r>
        <w:rPr>
          <w:rStyle w:val="11"/>
        </w:rPr>
        <w:t>（二）建议</w:t>
      </w:r>
      <w:r>
        <w:tab/>
      </w:r>
      <w:r>
        <w:fldChar w:fldCharType="begin"/>
      </w:r>
      <w:r>
        <w:instrText xml:space="preserve"> PAGEREF _Toc171611936 \h </w:instrText>
      </w:r>
      <w:r>
        <w:fldChar w:fldCharType="separate"/>
      </w:r>
      <w:r>
        <w:t>8</w:t>
      </w:r>
      <w:r>
        <w:fldChar w:fldCharType="end"/>
      </w:r>
      <w:r>
        <w:fldChar w:fldCharType="end"/>
      </w:r>
    </w:p>
    <w:p w14:paraId="314ED301"/>
    <w:p w14:paraId="7262D3BE">
      <w:pPr>
        <w:pStyle w:val="13"/>
        <w:spacing w:line="480" w:lineRule="auto"/>
        <w:rPr>
          <w:rFonts w:ascii="Arial Narrow" w:hAnsi="Arial Narrow" w:eastAsiaTheme="minorEastAsia"/>
          <w:bCs/>
          <w:w w:val="80"/>
        </w:rPr>
        <w:sectPr>
          <w:footerReference r:id="rId3" w:type="default"/>
          <w:pgSz w:w="11907" w:h="16840"/>
          <w:pgMar w:top="1418" w:right="1418" w:bottom="1134" w:left="1701" w:header="851" w:footer="851" w:gutter="0"/>
          <w:pgNumType w:start="1"/>
          <w:cols w:space="425" w:num="1"/>
          <w:docGrid w:linePitch="312" w:charSpace="0"/>
        </w:sectPr>
      </w:pPr>
      <w:r>
        <w:rPr>
          <w:rStyle w:val="11"/>
          <w:rFonts w:ascii="Arial Narrow" w:hAnsi="Arial Narrow" w:eastAsiaTheme="minorEastAsia"/>
          <w:color w:val="auto"/>
          <w:sz w:val="21"/>
          <w:szCs w:val="21"/>
          <w:u w:val="none"/>
        </w:rPr>
        <w:fldChar w:fldCharType="end"/>
      </w:r>
    </w:p>
    <w:p w14:paraId="67F7BF58">
      <w:pPr>
        <w:spacing w:line="360" w:lineRule="auto"/>
        <w:jc w:val="right"/>
        <w:rPr>
          <w:rFonts w:ascii="Arial Narrow" w:hAnsi="Arial Narrow" w:eastAsiaTheme="minorEastAsia"/>
          <w:bCs/>
          <w:w w:val="80"/>
          <w:sz w:val="28"/>
          <w:szCs w:val="28"/>
        </w:rPr>
      </w:pPr>
    </w:p>
    <w:p w14:paraId="0A4457DA">
      <w:pPr>
        <w:spacing w:line="360" w:lineRule="auto"/>
        <w:jc w:val="right"/>
        <w:rPr>
          <w:rFonts w:ascii="Arial Narrow" w:hAnsi="Arial Narrow" w:eastAsiaTheme="minorEastAsia"/>
          <w:bCs/>
          <w:w w:val="80"/>
          <w:sz w:val="28"/>
          <w:szCs w:val="28"/>
        </w:rPr>
      </w:pPr>
    </w:p>
    <w:p w14:paraId="745CA35A">
      <w:pPr>
        <w:widowControl/>
        <w:jc w:val="distribute"/>
        <w:rPr>
          <w:rFonts w:ascii="Arial Narrow" w:hAnsi="Arial Narrow" w:cs="楷体" w:eastAsiaTheme="minorEastAsia"/>
          <w:bCs/>
          <w:kern w:val="0"/>
          <w:sz w:val="28"/>
          <w:szCs w:val="28"/>
        </w:rPr>
      </w:pPr>
      <w:r>
        <w:rPr>
          <w:rFonts w:ascii="Arial Narrow" w:hAnsi="Arial Narrow" w:cs="楷体" w:eastAsiaTheme="minorEastAsia"/>
          <w:b/>
          <w:kern w:val="0"/>
          <w:sz w:val="72"/>
          <w:szCs w:val="72"/>
        </w:rPr>
        <w:t>重庆铭鸿金全会计师事务所</w:t>
      </w:r>
    </w:p>
    <w:p w14:paraId="73F8C24D">
      <w:pPr>
        <w:widowControl/>
        <w:spacing w:line="360" w:lineRule="auto"/>
        <w:ind w:right="-2"/>
        <w:jc w:val="distribute"/>
        <w:rPr>
          <w:rFonts w:ascii="Arial Narrow" w:hAnsi="Arial Narrow" w:eastAsiaTheme="minorEastAsia"/>
          <w:kern w:val="0"/>
          <w:sz w:val="28"/>
          <w:szCs w:val="28"/>
          <w:lang w:eastAsia="zh-TW"/>
        </w:rPr>
      </w:pPr>
      <w:r>
        <w:rPr>
          <w:rFonts w:ascii="Arial Narrow" w:hAnsi="Arial Narrow" w:eastAsiaTheme="minorEastAsia"/>
          <w:b/>
          <w:kern w:val="0"/>
          <w:sz w:val="32"/>
          <w:szCs w:val="20"/>
          <w:lang w:eastAsia="zh-TW"/>
        </w:rPr>
        <w:t xml:space="preserve">Chongqing </w:t>
      </w:r>
      <w:r>
        <w:rPr>
          <w:rFonts w:ascii="Arial Narrow" w:hAnsi="Arial Narrow" w:eastAsiaTheme="minorEastAsia"/>
          <w:b/>
          <w:kern w:val="0"/>
          <w:sz w:val="32"/>
          <w:szCs w:val="20"/>
        </w:rPr>
        <w:t>MingHong</w:t>
      </w:r>
      <w:r>
        <w:rPr>
          <w:rFonts w:ascii="Arial Narrow" w:hAnsi="Arial Narrow" w:eastAsiaTheme="minorEastAsia"/>
          <w:b/>
          <w:kern w:val="0"/>
          <w:sz w:val="32"/>
          <w:szCs w:val="20"/>
          <w:lang w:eastAsia="zh-TW"/>
        </w:rPr>
        <w:t xml:space="preserve"> </w:t>
      </w:r>
      <w:r>
        <w:rPr>
          <w:rFonts w:ascii="Arial Narrow" w:hAnsi="Arial Narrow" w:eastAsiaTheme="minorEastAsia"/>
          <w:b/>
          <w:kern w:val="0"/>
          <w:sz w:val="32"/>
          <w:szCs w:val="20"/>
        </w:rPr>
        <w:t>JinQuan</w:t>
      </w:r>
      <w:r>
        <w:rPr>
          <w:rFonts w:ascii="Arial Narrow" w:hAnsi="Arial Narrow" w:eastAsiaTheme="minorEastAsia"/>
          <w:b/>
          <w:kern w:val="0"/>
          <w:sz w:val="32"/>
          <w:szCs w:val="20"/>
          <w:lang w:eastAsia="zh-TW"/>
        </w:rPr>
        <w:t xml:space="preserve"> Certified Public Accountants</w:t>
      </w:r>
    </w:p>
    <w:p w14:paraId="2F1C5320">
      <w:pPr>
        <w:spacing w:line="360" w:lineRule="auto"/>
        <w:jc w:val="center"/>
        <w:rPr>
          <w:rFonts w:ascii="Arial Narrow" w:hAnsi="Arial Narrow" w:eastAsiaTheme="minorEastAsia"/>
          <w:sz w:val="28"/>
          <w:szCs w:val="28"/>
        </w:rPr>
      </w:pPr>
      <w:r>
        <w:rPr>
          <w:rFonts w:ascii="Arial Narrow" w:hAnsi="Arial Narrow" w:eastAsiaTheme="minorEastAsia"/>
          <w:kern w:val="0"/>
          <w:sz w:val="28"/>
          <w:szCs w:val="28"/>
        </w:rPr>
        <w:t>铭</w:t>
      </w:r>
      <w:r>
        <w:rPr>
          <w:rFonts w:ascii="Arial Narrow" w:hAnsi="Arial Narrow" w:eastAsiaTheme="minorEastAsia"/>
          <w:sz w:val="28"/>
          <w:szCs w:val="28"/>
        </w:rPr>
        <w:t>鸿咨字〔2024〕第0034号</w:t>
      </w:r>
    </w:p>
    <w:p w14:paraId="02A70263">
      <w:pPr>
        <w:spacing w:line="360" w:lineRule="auto"/>
        <w:jc w:val="distribute"/>
        <w:rPr>
          <w:rFonts w:ascii="Arial Narrow" w:hAnsi="Arial Narrow" w:eastAsiaTheme="minorEastAsia"/>
          <w:w w:val="94"/>
        </w:rPr>
      </w:pPr>
      <w:r>
        <w:rPr>
          <w:rFonts w:hint="eastAsia" w:ascii="宋体" w:hAnsi="宋体" w:cs="宋体"/>
          <w:b/>
          <w:bCs/>
          <w:w w:val="94"/>
          <w:sz w:val="36"/>
          <w:szCs w:val="36"/>
        </w:rPr>
        <w:t>━━━━━━━━━━━━</w:t>
      </w:r>
      <w:r>
        <w:rPr>
          <w:rFonts w:ascii="Arial Narrow" w:hAnsi="Arial Narrow" w:eastAsiaTheme="minorEastAsia"/>
          <w:b/>
          <w:bCs/>
          <w:w w:val="94"/>
          <w:sz w:val="36"/>
          <w:szCs w:val="36"/>
        </w:rPr>
        <w:t xml:space="preserve"> </w:t>
      </w:r>
      <w:r>
        <w:rPr>
          <w:rFonts w:ascii="Segoe UI Symbol" w:hAnsi="Segoe UI Symbol" w:cs="Segoe UI Symbol" w:eastAsiaTheme="minorEastAsia"/>
          <w:b/>
          <w:bCs/>
          <w:w w:val="94"/>
          <w:sz w:val="36"/>
          <w:szCs w:val="36"/>
        </w:rPr>
        <w:t>★</w:t>
      </w:r>
      <w:r>
        <w:rPr>
          <w:rFonts w:ascii="Arial Narrow" w:hAnsi="Arial Narrow" w:eastAsiaTheme="minorEastAsia"/>
          <w:b/>
          <w:bCs/>
          <w:w w:val="94"/>
          <w:sz w:val="36"/>
          <w:szCs w:val="36"/>
        </w:rPr>
        <w:t xml:space="preserve"> </w:t>
      </w:r>
      <w:r>
        <w:rPr>
          <w:rFonts w:hint="eastAsia" w:ascii="宋体" w:hAnsi="宋体" w:cs="宋体"/>
          <w:b/>
          <w:bCs/>
          <w:w w:val="94"/>
          <w:sz w:val="36"/>
          <w:szCs w:val="36"/>
        </w:rPr>
        <w:t>━━━━━━━━━━━</w:t>
      </w:r>
      <w:bookmarkStart w:id="3" w:name="_Hlk51614207"/>
      <w:r>
        <w:rPr>
          <w:rFonts w:hint="eastAsia" w:ascii="宋体" w:hAnsi="宋体" w:cs="宋体"/>
          <w:b/>
          <w:bCs/>
          <w:w w:val="94"/>
          <w:sz w:val="36"/>
          <w:szCs w:val="36"/>
        </w:rPr>
        <w:t>━</w:t>
      </w:r>
      <w:bookmarkEnd w:id="3"/>
    </w:p>
    <w:p w14:paraId="080AE6E8">
      <w:pPr>
        <w:adjustRightInd w:val="0"/>
        <w:snapToGrid w:val="0"/>
        <w:spacing w:line="360" w:lineRule="auto"/>
        <w:jc w:val="center"/>
        <w:rPr>
          <w:rFonts w:ascii="Arial Narrow" w:hAnsi="Arial Narrow" w:eastAsiaTheme="minorEastAsia"/>
          <w:b/>
          <w:sz w:val="36"/>
          <w:szCs w:val="36"/>
        </w:rPr>
      </w:pPr>
      <w:r>
        <w:rPr>
          <w:rStyle w:val="11"/>
          <w:rFonts w:ascii="Arial Narrow" w:hAnsi="Arial Narrow" w:eastAsiaTheme="minorEastAsia"/>
          <w:b/>
          <w:color w:val="auto"/>
          <w:sz w:val="36"/>
          <w:szCs w:val="36"/>
          <w:u w:val="none"/>
        </w:rPr>
        <w:t>重庆市铜梁区安居镇4个项目</w:t>
      </w:r>
      <w:r>
        <w:rPr>
          <w:rFonts w:ascii="Arial Narrow" w:hAnsi="Arial Narrow" w:eastAsiaTheme="minorEastAsia"/>
          <w:b/>
          <w:sz w:val="36"/>
          <w:szCs w:val="36"/>
        </w:rPr>
        <w:t>绩效评价报告</w:t>
      </w:r>
    </w:p>
    <w:p w14:paraId="2F450D71">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为深入贯彻落实党的十九大“全面实施绩效管理”决策部署，进一步提高政府投入资金的使用效益，促进公共服务资源的优化配置，根据《中华人民共和国预算法》、《项目支出绩效评价管理办法》（财预〔2020〕10号）《重庆市市级政策和项目预算绩效管理办法（试行）》（渝财绩〔2019〕19号），受重庆市铜梁区财政局（以下简称“财政局”）的委托，我们对重庆市铜梁区安居镇4个项目进行绩效评价，现将评价情况报告如下：</w:t>
      </w:r>
    </w:p>
    <w:p w14:paraId="1DFD9164">
      <w:pPr>
        <w:spacing w:before="240" w:beforeLines="100" w:line="360" w:lineRule="auto"/>
        <w:ind w:firstLine="482" w:firstLineChars="200"/>
        <w:jc w:val="left"/>
        <w:outlineLvl w:val="0"/>
        <w:rPr>
          <w:rFonts w:ascii="Arial Narrow" w:hAnsi="Arial Narrow" w:eastAsiaTheme="minorEastAsia"/>
          <w:b/>
          <w:sz w:val="24"/>
        </w:rPr>
      </w:pPr>
      <w:bookmarkStart w:id="4" w:name="_Toc171611920"/>
      <w:r>
        <w:rPr>
          <w:rFonts w:ascii="Arial Narrow" w:hAnsi="Arial Narrow" w:eastAsiaTheme="minorEastAsia"/>
          <w:b/>
          <w:sz w:val="24"/>
        </w:rPr>
        <w:t>一、基本情况</w:t>
      </w:r>
      <w:bookmarkEnd w:id="4"/>
    </w:p>
    <w:p w14:paraId="5DEB7C27">
      <w:pPr>
        <w:spacing w:before="120" w:beforeLines="50" w:line="360" w:lineRule="auto"/>
        <w:ind w:firstLine="482" w:firstLineChars="200"/>
        <w:jc w:val="left"/>
        <w:outlineLvl w:val="0"/>
        <w:rPr>
          <w:rFonts w:ascii="Arial Narrow" w:hAnsi="Arial Narrow" w:cs="宋体" w:eastAsiaTheme="minorEastAsia"/>
          <w:b/>
          <w:bCs/>
          <w:kern w:val="0"/>
          <w:sz w:val="24"/>
        </w:rPr>
      </w:pPr>
      <w:bookmarkStart w:id="5" w:name="_Toc171611921"/>
      <w:r>
        <w:rPr>
          <w:rFonts w:ascii="Arial Narrow" w:hAnsi="Arial Narrow" w:cs="宋体" w:eastAsiaTheme="minorEastAsia"/>
          <w:b/>
          <w:bCs/>
          <w:kern w:val="0"/>
          <w:sz w:val="24"/>
        </w:rPr>
        <w:t>（一）项目情况</w:t>
      </w:r>
      <w:bookmarkEnd w:id="5"/>
    </w:p>
    <w:p w14:paraId="5BD13E8A">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1</w:t>
      </w:r>
      <w:r>
        <w:rPr>
          <w:rFonts w:hint="eastAsia" w:ascii="Arial Narrow" w:hAnsi="Arial Narrow" w:cs="宋体" w:eastAsiaTheme="minorEastAsia"/>
          <w:kern w:val="0"/>
          <w:sz w:val="24"/>
        </w:rPr>
        <w:t>.</w:t>
      </w:r>
      <w:r>
        <w:rPr>
          <w:rFonts w:ascii="Arial Narrow" w:hAnsi="Arial Narrow" w:cs="宋体" w:eastAsiaTheme="minorEastAsia"/>
          <w:kern w:val="0"/>
          <w:sz w:val="24"/>
        </w:rPr>
        <w:t>淘河村农副产品加工厂房建设项目</w:t>
      </w:r>
    </w:p>
    <w:p w14:paraId="35E2439D">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实施单位：重庆市铜梁区安居镇淘河村股份经济合作联合社</w:t>
      </w:r>
    </w:p>
    <w:p w14:paraId="59F178AE">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1.建生产厂房一240平方米；2.建生产厂房二144平方米；3.入场道路288平方米；4.厂门外坝子化398平方米；5.建配电房12平方米；6.购置萝卜清洗机台；7.购置萝卜切条机2台；8.购买蔬菜旋转烘干机1套；9.购置料斗车2台；10.购买真空包装机1台；11.购买50台米车；12.购买不锈钢工作台5个；13.购买配电箱1套；14.</w:t>
      </w:r>
      <w:r>
        <w:rPr>
          <w:rFonts w:hint="eastAsia" w:ascii="Arial Narrow" w:hAnsi="Arial Narrow" w:cs="宋体" w:eastAsiaTheme="minorEastAsia"/>
          <w:kern w:val="0"/>
          <w:sz w:val="24"/>
          <w:lang w:eastAsia="zh-CN"/>
        </w:rPr>
        <w:t>购买</w:t>
      </w:r>
      <w:r>
        <w:rPr>
          <w:rFonts w:ascii="Arial Narrow" w:hAnsi="Arial Narrow" w:cs="宋体" w:eastAsiaTheme="minorEastAsia"/>
          <w:kern w:val="0"/>
          <w:sz w:val="24"/>
        </w:rPr>
        <w:t>潜水泵1台；15.购买污水泵1台。</w:t>
      </w:r>
    </w:p>
    <w:p w14:paraId="56D178DD">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项目资金安排情况：该项目2023年计划投入70万元，实际支付70万元，全部为上级专项资金70万元。</w:t>
      </w:r>
    </w:p>
    <w:p w14:paraId="0CDA0776">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2</w:t>
      </w:r>
      <w:r>
        <w:rPr>
          <w:rFonts w:hint="eastAsia" w:ascii="Arial Narrow" w:hAnsi="Arial Narrow" w:cs="宋体" w:eastAsiaTheme="minorEastAsia"/>
          <w:kern w:val="0"/>
          <w:sz w:val="24"/>
        </w:rPr>
        <w:t>.</w:t>
      </w:r>
      <w:r>
        <w:rPr>
          <w:rFonts w:ascii="Arial Narrow" w:hAnsi="Arial Narrow" w:cs="宋体" w:eastAsiaTheme="minorEastAsia"/>
          <w:kern w:val="0"/>
          <w:sz w:val="24"/>
        </w:rPr>
        <w:t>四面村明日见采摘园基础设施建设提质项目</w:t>
      </w:r>
    </w:p>
    <w:p w14:paraId="06F7A719">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实施单位：重庆市铜梁区安居镇四面村股份经济合作联合社</w:t>
      </w:r>
    </w:p>
    <w:p w14:paraId="301D9C92">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1.购买安装水肥一体系统首部系统；2.购买安装水肥一体系统施肥系统；3.购买安装水肥一体系统田间首部系统；4.购买安装水肥一体系统田间管网；5.购买安装水肥一体系统智控系统；6.购买安装水肥一体系统灌水器系统；7.购买安装水肥一体系统电缆敷设；8.购买安装打药系统；9.对原有长25米，宽20米，深2米蓄水池一口进行修建；10.购买发酵有机肥5吨；11.购买黑玫瑰脆李200株；12.补植明日见柑橘200株；13.建砖混结构设施用房20平方；14.新建蓄水池1口。</w:t>
      </w:r>
    </w:p>
    <w:p w14:paraId="3B867614">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项目资金安排情况：该项目2023年计划投入50万元，实际投入50万元，全部为上级专项资金50万元。</w:t>
      </w:r>
    </w:p>
    <w:p w14:paraId="14F60C24">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3</w:t>
      </w:r>
      <w:bookmarkStart w:id="6" w:name="_Hlk170387112"/>
      <w:r>
        <w:rPr>
          <w:rFonts w:hint="eastAsia" w:ascii="Arial Narrow" w:hAnsi="Arial Narrow" w:cs="宋体" w:eastAsiaTheme="minorEastAsia"/>
          <w:kern w:val="0"/>
          <w:sz w:val="24"/>
        </w:rPr>
        <w:t>.</w:t>
      </w:r>
      <w:r>
        <w:rPr>
          <w:rFonts w:ascii="Arial Narrow" w:hAnsi="Arial Narrow" w:cs="宋体" w:eastAsiaTheme="minorEastAsia"/>
          <w:kern w:val="0"/>
          <w:sz w:val="24"/>
        </w:rPr>
        <w:t>石马村水果基地水肥一体化设施建设项目</w:t>
      </w:r>
    </w:p>
    <w:p w14:paraId="0AF1E10C">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实施单位：重庆市铜梁区安居镇石马村股份经济合作联合社</w:t>
      </w:r>
    </w:p>
    <w:p w14:paraId="06D9EDC1">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项目内容：1.新建水肥一体化设施一套；2.新建蓄水池一口储水量2000立方米；3.新建钢筋砼净化排水沟180米；4.新购安装监控设备一套；5.购置安装6米高，太阳板30kw的路灯15套。</w:t>
      </w:r>
    </w:p>
    <w:p w14:paraId="04DC8B6E">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项目资金安排情况：该项目2023年计划投入50万元，实际投入50万元，全部为上级专项资金50万元。</w:t>
      </w:r>
    </w:p>
    <w:bookmarkEnd w:id="6"/>
    <w:p w14:paraId="63C337A1">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4</w:t>
      </w:r>
      <w:r>
        <w:rPr>
          <w:rFonts w:hint="eastAsia" w:ascii="Arial Narrow" w:hAnsi="Arial Narrow" w:cs="宋体" w:eastAsiaTheme="minorEastAsia"/>
          <w:kern w:val="0"/>
          <w:sz w:val="24"/>
        </w:rPr>
        <w:t>.</w:t>
      </w:r>
      <w:r>
        <w:rPr>
          <w:rFonts w:ascii="Arial Narrow" w:hAnsi="Arial Narrow" w:cs="宋体" w:eastAsiaTheme="minorEastAsia"/>
          <w:kern w:val="0"/>
          <w:sz w:val="24"/>
        </w:rPr>
        <w:t>紫极村虾养殖基础设施项目</w:t>
      </w:r>
    </w:p>
    <w:p w14:paraId="44EA3E30">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实施单位：重庆市铜梁区安居镇紫极村股份经济合作联合社</w:t>
      </w:r>
    </w:p>
    <w:p w14:paraId="07C9C9D4">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项目内容：1.修便道342平方米；2.新建管理用房100平方米；3.新建放电机房1座；</w:t>
      </w:r>
    </w:p>
    <w:p w14:paraId="43210A60">
      <w:pPr>
        <w:spacing w:line="360" w:lineRule="auto"/>
        <w:rPr>
          <w:rFonts w:ascii="Arial Narrow" w:hAnsi="Arial Narrow" w:cs="宋体" w:eastAsiaTheme="minorEastAsia"/>
          <w:kern w:val="0"/>
          <w:sz w:val="24"/>
        </w:rPr>
      </w:pPr>
      <w:r>
        <w:rPr>
          <w:rFonts w:ascii="Arial Narrow" w:hAnsi="Arial Narrow" w:cs="宋体" w:eastAsiaTheme="minorEastAsia"/>
          <w:kern w:val="0"/>
          <w:sz w:val="24"/>
        </w:rPr>
        <w:t>4.购买放电机1台；5.购买潜水泵1台；6.安装PE 管 400米；7.安装闸阀10个；8.新建田坎1720立方米；9.建进场地面120平方米；10.虾塘清淤16200立方米；11.安装监控设备1套；12.建虾塘大棚960平方米；13.购买增氧设备10套；14.建育苗池60 立方米。</w:t>
      </w:r>
    </w:p>
    <w:p w14:paraId="55D56D83">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项目资金安排情况：该项目2023年计划投入50万元，实际投入50万元，全部为上级专项资金50万元。</w:t>
      </w:r>
    </w:p>
    <w:p w14:paraId="4542C23B">
      <w:pPr>
        <w:spacing w:line="360" w:lineRule="auto"/>
        <w:ind w:firstLine="482" w:firstLineChars="200"/>
        <w:jc w:val="left"/>
        <w:outlineLvl w:val="0"/>
        <w:rPr>
          <w:rFonts w:ascii="Arial Narrow" w:hAnsi="Arial Narrow" w:eastAsiaTheme="minorEastAsia"/>
          <w:b/>
          <w:sz w:val="24"/>
        </w:rPr>
      </w:pPr>
      <w:bookmarkStart w:id="7" w:name="_Toc171611922"/>
      <w:r>
        <w:rPr>
          <w:rFonts w:ascii="Arial Narrow" w:hAnsi="Arial Narrow" w:eastAsiaTheme="minorEastAsia"/>
          <w:b/>
          <w:sz w:val="24"/>
        </w:rPr>
        <w:t>二、绩效评价工作情况</w:t>
      </w:r>
      <w:bookmarkEnd w:id="7"/>
    </w:p>
    <w:p w14:paraId="50837D2A">
      <w:pPr>
        <w:spacing w:line="360" w:lineRule="auto"/>
        <w:ind w:firstLine="482" w:firstLineChars="200"/>
        <w:jc w:val="left"/>
        <w:outlineLvl w:val="0"/>
        <w:rPr>
          <w:rFonts w:ascii="Arial Narrow" w:hAnsi="Arial Narrow" w:eastAsiaTheme="minorEastAsia"/>
          <w:b/>
          <w:sz w:val="24"/>
        </w:rPr>
      </w:pPr>
      <w:bookmarkStart w:id="8" w:name="_Toc171611923"/>
      <w:bookmarkStart w:id="9" w:name="_Toc513775099"/>
      <w:r>
        <w:rPr>
          <w:rFonts w:ascii="Arial Narrow" w:hAnsi="Arial Narrow" w:eastAsiaTheme="minorEastAsia"/>
          <w:b/>
          <w:sz w:val="24"/>
        </w:rPr>
        <w:t>（一）绩效评价目的</w:t>
      </w:r>
      <w:bookmarkEnd w:id="8"/>
      <w:bookmarkEnd w:id="9"/>
    </w:p>
    <w:p w14:paraId="7382ED0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通过实施财政重点绩效评价，总结项目实施主要成效，分析影响项目绩效的主要问题及成因，为进一步加强财政资金管理、提高资金使用效益提供依据。</w:t>
      </w:r>
    </w:p>
    <w:p w14:paraId="4E96A03A">
      <w:pPr>
        <w:spacing w:line="360" w:lineRule="auto"/>
        <w:ind w:firstLine="482" w:firstLineChars="200"/>
        <w:jc w:val="left"/>
        <w:outlineLvl w:val="0"/>
        <w:rPr>
          <w:rFonts w:ascii="Arial Narrow" w:hAnsi="Arial Narrow" w:eastAsiaTheme="minorEastAsia"/>
          <w:b/>
          <w:sz w:val="24"/>
        </w:rPr>
      </w:pPr>
      <w:bookmarkStart w:id="10" w:name="_Toc171611924"/>
      <w:bookmarkStart w:id="11" w:name="_Toc513775100"/>
      <w:r>
        <w:rPr>
          <w:rFonts w:ascii="Arial Narrow" w:hAnsi="Arial Narrow" w:eastAsiaTheme="minorEastAsia"/>
          <w:b/>
          <w:sz w:val="24"/>
        </w:rPr>
        <w:t>（二）绩效评价的基本内容</w:t>
      </w:r>
      <w:bookmarkEnd w:id="10"/>
    </w:p>
    <w:p w14:paraId="66D3C759">
      <w:pPr>
        <w:pStyle w:val="14"/>
        <w:spacing w:line="360" w:lineRule="auto"/>
        <w:ind w:firstLine="480" w:firstLineChars="200"/>
        <w:rPr>
          <w:rFonts w:ascii="Arial Narrow" w:hAnsi="Arial Narrow" w:eastAsiaTheme="minorEastAsia"/>
          <w:color w:val="auto"/>
        </w:rPr>
      </w:pPr>
      <w:bookmarkStart w:id="12" w:name="_Toc166332968"/>
      <w:r>
        <w:rPr>
          <w:rFonts w:ascii="Arial Narrow" w:hAnsi="Arial Narrow" w:eastAsiaTheme="minorEastAsia"/>
          <w:color w:val="auto"/>
        </w:rPr>
        <w:t>1</w:t>
      </w:r>
      <w:r>
        <w:rPr>
          <w:rFonts w:hint="eastAsia" w:ascii="Arial Narrow" w:hAnsi="Arial Narrow" w:eastAsiaTheme="minorEastAsia"/>
          <w:color w:val="auto"/>
        </w:rPr>
        <w:t>.</w:t>
      </w:r>
      <w:r>
        <w:rPr>
          <w:rFonts w:ascii="Arial Narrow" w:hAnsi="Arial Narrow" w:eastAsiaTheme="minorEastAsia"/>
          <w:color w:val="auto"/>
        </w:rPr>
        <w:t>绩效目标的设定情况；</w:t>
      </w:r>
    </w:p>
    <w:p w14:paraId="2739EAA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w:t>
      </w:r>
      <w:r>
        <w:rPr>
          <w:rFonts w:hint="eastAsia" w:ascii="Arial Narrow" w:hAnsi="Arial Narrow" w:eastAsiaTheme="minorEastAsia"/>
          <w:color w:val="auto"/>
        </w:rPr>
        <w:t>.</w:t>
      </w:r>
      <w:r>
        <w:rPr>
          <w:rFonts w:ascii="Arial Narrow" w:hAnsi="Arial Narrow" w:eastAsiaTheme="minorEastAsia"/>
          <w:color w:val="auto"/>
        </w:rPr>
        <w:t>资金投入和使用情况；</w:t>
      </w:r>
    </w:p>
    <w:p w14:paraId="136C188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w:t>
      </w:r>
      <w:r>
        <w:rPr>
          <w:rFonts w:hint="eastAsia" w:ascii="Arial Narrow" w:hAnsi="Arial Narrow" w:eastAsiaTheme="minorEastAsia"/>
          <w:color w:val="auto"/>
        </w:rPr>
        <w:t>.</w:t>
      </w:r>
      <w:r>
        <w:rPr>
          <w:rFonts w:ascii="Arial Narrow" w:hAnsi="Arial Narrow" w:eastAsiaTheme="minorEastAsia"/>
          <w:color w:val="auto"/>
        </w:rPr>
        <w:t>为实现绩效目标制定的制度、采取的措施等；</w:t>
      </w:r>
    </w:p>
    <w:p w14:paraId="78D7734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w:t>
      </w:r>
      <w:r>
        <w:rPr>
          <w:rFonts w:hint="eastAsia" w:ascii="Arial Narrow" w:hAnsi="Arial Narrow" w:eastAsiaTheme="minorEastAsia"/>
          <w:color w:val="auto"/>
        </w:rPr>
        <w:t>.</w:t>
      </w:r>
      <w:r>
        <w:rPr>
          <w:rFonts w:ascii="Arial Narrow" w:hAnsi="Arial Narrow" w:eastAsiaTheme="minorEastAsia"/>
          <w:color w:val="auto"/>
        </w:rPr>
        <w:t>绩效目标的实现程度及效果；</w:t>
      </w:r>
    </w:p>
    <w:p w14:paraId="6437BA5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w:t>
      </w:r>
      <w:r>
        <w:rPr>
          <w:rFonts w:hint="eastAsia" w:ascii="Arial Narrow" w:hAnsi="Arial Narrow" w:eastAsiaTheme="minorEastAsia"/>
          <w:color w:val="auto"/>
        </w:rPr>
        <w:t>.</w:t>
      </w:r>
      <w:r>
        <w:rPr>
          <w:rFonts w:ascii="Arial Narrow" w:hAnsi="Arial Narrow" w:eastAsiaTheme="minorEastAsia"/>
          <w:color w:val="auto"/>
        </w:rPr>
        <w:t>根据实际情况需要评价的其他内容。</w:t>
      </w:r>
    </w:p>
    <w:p w14:paraId="3B581C50">
      <w:pPr>
        <w:spacing w:line="360" w:lineRule="auto"/>
        <w:ind w:firstLine="482" w:firstLineChars="200"/>
        <w:jc w:val="left"/>
        <w:outlineLvl w:val="0"/>
        <w:rPr>
          <w:rFonts w:ascii="Arial Narrow" w:hAnsi="Arial Narrow" w:eastAsiaTheme="minorEastAsia"/>
          <w:b/>
          <w:sz w:val="24"/>
        </w:rPr>
      </w:pPr>
      <w:bookmarkStart w:id="13" w:name="_Toc171611925"/>
      <w:r>
        <w:rPr>
          <w:rFonts w:ascii="Arial Narrow" w:hAnsi="Arial Narrow" w:eastAsiaTheme="minorEastAsia"/>
          <w:b/>
          <w:sz w:val="24"/>
        </w:rPr>
        <w:t>（三）绩效评价依据</w:t>
      </w:r>
      <w:bookmarkEnd w:id="11"/>
      <w:bookmarkEnd w:id="12"/>
      <w:bookmarkEnd w:id="13"/>
      <w:bookmarkStart w:id="14" w:name="_Toc335040595"/>
    </w:p>
    <w:bookmarkEnd w:id="14"/>
    <w:p w14:paraId="5B1B6E3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1.《重庆市铜梁区财政衔接推进乡村振兴补助资金绩效评价及考核办法》的通知（铜财〔2022〕678号）</w:t>
      </w:r>
    </w:p>
    <w:p w14:paraId="10F5942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2.《重庆市铜梁区财政局关于开展2023年度项目财政重点绩效评价的通知》（铜财〔2024〕237号）</w:t>
      </w:r>
    </w:p>
    <w:p w14:paraId="4977E04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 xml:space="preserve">3.《重庆市财政衔接推进乡村振兴补助资金绩效评价及考核办法》（渝财农〔2022〕2号) </w:t>
      </w:r>
    </w:p>
    <w:p w14:paraId="576F227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4.《铜梁区区级政策和项目预算绩效管理办法(试行)》（铜财〔2022〕41号）</w:t>
      </w:r>
    </w:p>
    <w:p w14:paraId="7A6F511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5.《重庆市财政局等6部门关于加强财政衔接推进乡村振兴补助资金使用管理的实施意见》（渝财农〔2022〕73号）</w:t>
      </w:r>
    </w:p>
    <w:p w14:paraId="390EAC8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6.《铜梁区巩固拓展脱贫攻坚成果和衔接乡村振兴项目库建设管理实施细则》（铜乡振〔2021〕7号）</w:t>
      </w:r>
    </w:p>
    <w:p w14:paraId="59E69C5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7.《铜梁区财政衔接推进乡村振兴补助资金项目公告公示实施办法》（铜委农办〔2021〕19号）</w:t>
      </w:r>
    </w:p>
    <w:p w14:paraId="2382EC4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8.《项目支出绩效评价管理办法》（财预〔2020〕10号）</w:t>
      </w:r>
    </w:p>
    <w:p w14:paraId="4B1C177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9.《重庆市市级政策和项目预算绩效管理办法》（渝财绩〔2019〕19号）</w:t>
      </w:r>
    </w:p>
    <w:p w14:paraId="4C36B14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10.《会计师事务所财政支出绩效评价业务指引》（注协</w:t>
      </w:r>
      <w:bookmarkStart w:id="15" w:name="_Hlk162597612"/>
      <w:r>
        <w:rPr>
          <w:rFonts w:ascii="Arial Narrow" w:hAnsi="Arial Narrow" w:eastAsiaTheme="minorEastAsia"/>
          <w:color w:val="auto"/>
        </w:rPr>
        <w:t>〔2016〕</w:t>
      </w:r>
      <w:bookmarkEnd w:id="15"/>
      <w:r>
        <w:rPr>
          <w:rFonts w:ascii="Arial Narrow" w:hAnsi="Arial Narrow" w:eastAsiaTheme="minorEastAsia"/>
          <w:color w:val="auto"/>
        </w:rPr>
        <w:t>10号）</w:t>
      </w:r>
    </w:p>
    <w:p w14:paraId="7905E07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11.评价工作人员通过现场调查、核实等获得的资料等</w:t>
      </w:r>
    </w:p>
    <w:p w14:paraId="16D4BF41">
      <w:pPr>
        <w:spacing w:line="360" w:lineRule="auto"/>
        <w:ind w:firstLine="482" w:firstLineChars="200"/>
        <w:jc w:val="left"/>
        <w:outlineLvl w:val="0"/>
        <w:rPr>
          <w:rFonts w:ascii="Arial Narrow" w:hAnsi="Arial Narrow" w:eastAsiaTheme="minorEastAsia"/>
          <w:b/>
          <w:sz w:val="24"/>
        </w:rPr>
      </w:pPr>
      <w:bookmarkStart w:id="16" w:name="_Toc171611926"/>
      <w:r>
        <w:rPr>
          <w:rFonts w:ascii="Arial Narrow" w:hAnsi="Arial Narrow" w:eastAsiaTheme="minorEastAsia"/>
          <w:b/>
          <w:sz w:val="24"/>
        </w:rPr>
        <w:t>（四）绩效评价原则和指标体系</w:t>
      </w:r>
      <w:bookmarkEnd w:id="16"/>
    </w:p>
    <w:p w14:paraId="0627C81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1.绩效评价主要遵循以下原则：</w:t>
      </w:r>
    </w:p>
    <w:p w14:paraId="51EE332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（1）相关性原则。应当与绩效目标有直接的联系，能够恰当反映目标的实现程度。</w:t>
      </w:r>
    </w:p>
    <w:p w14:paraId="1A81D8B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（2）重要性原则。应当优先使用最具评价对象代表性、最能反映评价要求的核心指标。</w:t>
      </w:r>
    </w:p>
    <w:p w14:paraId="3925DCB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（3）可比性原则。对同类评价对象要设定共性的绩效评价指标，以便于评价结果可以相互比较。</w:t>
      </w:r>
    </w:p>
    <w:p w14:paraId="1294264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（4）系统性原则。应当将定量指标与定性指标相结合，系统反映财政支出所产生的社会效益和可持续影响等。</w:t>
      </w:r>
    </w:p>
    <w:p w14:paraId="68DAE6D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（5）经济性原则。应当通俗易懂、简便易行，数据的获得应当考虑现实条件和可操作性，符合成本效益原则。</w:t>
      </w:r>
    </w:p>
    <w:p w14:paraId="3B01D80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2.绩效评价指标体系</w:t>
      </w:r>
    </w:p>
    <w:p w14:paraId="2413C423">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根据《重庆市铜梁区财政衔接推进乡村振兴补助资金绩效评价及考核办法》的通知（铜财〔2022〕678号</w:t>
      </w:r>
      <w:r>
        <w:rPr>
          <w:rFonts w:hint="eastAsia" w:ascii="Arial Narrow" w:hAnsi="Arial Narrow" w:eastAsiaTheme="minorEastAsia"/>
          <w:color w:val="auto"/>
          <w:lang w:eastAsia="zh-CN"/>
        </w:rPr>
        <w:t>）</w:t>
      </w:r>
      <w:r>
        <w:rPr>
          <w:rFonts w:ascii="Arial Narrow" w:hAnsi="Arial Narrow" w:eastAsiaTheme="minorEastAsia"/>
          <w:color w:val="auto"/>
        </w:rPr>
        <w:t>，本次绩效评价及考核指标体系如下：</w:t>
      </w:r>
    </w:p>
    <w:p w14:paraId="67203D32">
      <w:pPr>
        <w:pStyle w:val="14"/>
        <w:spacing w:line="360" w:lineRule="auto"/>
        <w:ind w:firstLine="482" w:firstLineChars="200"/>
        <w:jc w:val="center"/>
        <w:rPr>
          <w:rFonts w:ascii="Arial Narrow" w:hAnsi="Arial Narrow" w:eastAsiaTheme="minorEastAsia"/>
          <w:b/>
          <w:bCs/>
          <w:color w:val="auto"/>
        </w:rPr>
      </w:pPr>
      <w:r>
        <w:rPr>
          <w:rFonts w:ascii="Arial Narrow" w:hAnsi="Arial Narrow" w:eastAsiaTheme="minorEastAsia"/>
          <w:b/>
          <w:bCs/>
          <w:color w:val="auto"/>
        </w:rPr>
        <w:t>铜梁区衔接资金项目绩效评价及考核指标评分表</w:t>
      </w:r>
    </w:p>
    <w:tbl>
      <w:tblPr>
        <w:tblStyle w:val="9"/>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6CC7F114">
        <w:tblPrEx>
          <w:tblCellMar>
            <w:top w:w="0" w:type="dxa"/>
            <w:left w:w="108" w:type="dxa"/>
            <w:bottom w:w="0" w:type="dxa"/>
            <w:right w:w="108" w:type="dxa"/>
          </w:tblCellMar>
        </w:tblPrEx>
        <w:trPr>
          <w:cantSplit/>
          <w:trHeight w:val="201"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12591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0B1C82C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4ED461D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0AA808A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16E6459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752B5DF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评价标准</w:t>
            </w:r>
          </w:p>
        </w:tc>
      </w:tr>
      <w:tr w14:paraId="266F158C">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EB2EA3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7EB6785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52A720F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024AA30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7CCF512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2DBCB4F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资金使用方向符合文件规定（2分）。</w:t>
            </w:r>
          </w:p>
        </w:tc>
      </w:tr>
      <w:tr w14:paraId="182C3A38">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5D374C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41070B27">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66AEC1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47C4993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3091E94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062732F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区财政局下达资金文件时间到区级业务主管部门下达项目及资金计划文件时间间隔≤30日（3分）。</w:t>
            </w:r>
          </w:p>
        </w:tc>
      </w:tr>
      <w:tr w14:paraId="57C6F457">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041AD7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1C04325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63D4EB3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0798CDA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nil"/>
              <w:right w:val="nil"/>
            </w:tcBorders>
            <w:shd w:val="clear" w:color="auto" w:fill="auto"/>
            <w:vAlign w:val="center"/>
          </w:tcPr>
          <w:p w14:paraId="6071A82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评价落实《铜梁区巩固拓展脱贫攻坚成果和衔接乡村振兴项目库建设管理实施细则》（铜乡振〔2021〕7号）落实情况。根据抽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088FA4F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1.项目入库及时充分、程序规范、内容完整（3分）；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2.入库项目具备实施条件（2分）；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3.衔接资金用于项目库之外的项目（-5分）。</w:t>
            </w:r>
          </w:p>
        </w:tc>
      </w:tr>
      <w:tr w14:paraId="1DE39CD1">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F0CA0F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77D37020">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FC5201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6843067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3109CB5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评价具体项目实施方案明确绩效目标情况、开展跟踪监督绩效监控情况、事后评价情况等。根据抽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6D11B77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1.及时制定绩效目标、审核绩效目标（2分）；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2.开展绩效监控不少于1次（2分）；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3.对绩效目标偏离项目采取纠偏措施（2分）；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4.项目实施完毕后立即开展绩效自评，并形成绩效自评报告及绩效自评表。（2分）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5.项目绩效是否达到预期。（2分）</w:t>
            </w:r>
          </w:p>
        </w:tc>
      </w:tr>
      <w:tr w14:paraId="35F1332A">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2D9EC3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77AB7819">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D1D991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41592F5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6255517B">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评价有序推进项目前期工作、组织实施、项目验收、资料报送等情况。根据抽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2BB81D3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1.项目实施方法存在变更是否按规定报批；（1分）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2.是否定期对项目实施情况进行监督检查，对检查中发现的问题进行整改；（2分）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3.是否按照项目实施节点按时提交项目报账资料；（1分）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4.日常管理资料是否及时归档整理；（1分）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5.项目完工后是否在规定时间内进行验收。（1分）</w:t>
            </w:r>
          </w:p>
        </w:tc>
      </w:tr>
      <w:tr w14:paraId="2B806B84">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1E266A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482660D2">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7A3ACC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495B563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57A2A40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评价有序推进项目工作和资金支付情况。根据抽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3A7B2F2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1.主要通过支出进度评价有序推进项目工作和资金支付情况，于7月末、10月中旬定期调度。</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1.7月末支出进度评分4分。资金支出进度达到全区平均进度或者序时进度的，得满分；未达到的按照与序时进度的比例扣分；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2.10月中旬支出进度评分4分。资金支出进度达到全区平均进度或者序时进度的，得满分；未达到的按照与序时进度的比例扣分；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5142CEFF">
        <w:tblPrEx>
          <w:tblCellMar>
            <w:top w:w="0" w:type="dxa"/>
            <w:left w:w="108" w:type="dxa"/>
            <w:bottom w:w="0" w:type="dxa"/>
            <w:right w:w="108" w:type="dxa"/>
          </w:tblCellMar>
        </w:tblPrEx>
        <w:trPr>
          <w:cantSplit/>
          <w:trHeight w:val="2165"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5F3CA6F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7</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4C50F8D9">
            <w:pPr>
              <w:widowControl/>
              <w:jc w:val="left"/>
              <w:rPr>
                <w:rFonts w:ascii="Arial Narrow" w:hAnsi="Arial Narrow" w:cs="宋体" w:eastAsiaTheme="minorEastAsia"/>
                <w:kern w:val="0"/>
                <w:sz w:val="16"/>
                <w:szCs w:val="16"/>
              </w:rPr>
            </w:pPr>
          </w:p>
        </w:tc>
        <w:tc>
          <w:tcPr>
            <w:tcW w:w="1049" w:type="dxa"/>
            <w:tcBorders>
              <w:top w:val="single" w:color="auto" w:sz="4" w:space="0"/>
              <w:left w:val="nil"/>
              <w:bottom w:val="single" w:color="auto" w:sz="4" w:space="0"/>
              <w:right w:val="single" w:color="auto" w:sz="4" w:space="0"/>
            </w:tcBorders>
            <w:shd w:val="clear" w:color="auto" w:fill="auto"/>
            <w:vAlign w:val="center"/>
          </w:tcPr>
          <w:p w14:paraId="69AFEBE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跟踪督促及发现问题整改情况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0571925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2762" w:type="dxa"/>
            <w:tcBorders>
              <w:top w:val="single" w:color="auto" w:sz="4" w:space="0"/>
              <w:left w:val="nil"/>
              <w:bottom w:val="single" w:color="auto" w:sz="4" w:space="0"/>
              <w:right w:val="single" w:color="auto" w:sz="4" w:space="0"/>
            </w:tcBorders>
            <w:shd w:val="clear" w:color="auto" w:fill="auto"/>
            <w:vAlign w:val="center"/>
          </w:tcPr>
          <w:p w14:paraId="19B09FB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评价定期开展监督检查情况、发现问题整改情况。根据未处理问题比例扣减。根据抽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single" w:color="auto" w:sz="4" w:space="0"/>
              <w:left w:val="nil"/>
              <w:bottom w:val="single" w:color="auto" w:sz="4" w:space="0"/>
              <w:right w:val="single" w:color="auto" w:sz="4" w:space="0"/>
            </w:tcBorders>
            <w:shd w:val="clear" w:color="auto" w:fill="auto"/>
            <w:vAlign w:val="center"/>
          </w:tcPr>
          <w:p w14:paraId="51DA5353">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1.定期开展项目实施和资金支出进度等跟踪督促情况，落实到位的得2分，未完全落实到位的酌情扣分；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2.跟踪督促及各类检查发现问题整改到位情况，满分5分，根据未整改问题比例扣减；</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3.全国12317防止返贫监测和乡村振兴咨询服务平台（简称12317平台）反馈问题处理情况，满分1分。</w:t>
            </w:r>
          </w:p>
        </w:tc>
      </w:tr>
      <w:tr w14:paraId="72DD6FE6">
        <w:tblPrEx>
          <w:tblCellMar>
            <w:top w:w="0" w:type="dxa"/>
            <w:left w:w="108" w:type="dxa"/>
            <w:bottom w:w="0" w:type="dxa"/>
            <w:right w:w="108" w:type="dxa"/>
          </w:tblCellMar>
        </w:tblPrEx>
        <w:trPr>
          <w:cantSplit/>
          <w:trHeight w:val="804"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1C414C1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6CB796E0">
            <w:pPr>
              <w:widowControl/>
              <w:jc w:val="left"/>
              <w:rPr>
                <w:rFonts w:ascii="Arial Narrow" w:hAnsi="Arial Narrow" w:cs="宋体" w:eastAsiaTheme="minorEastAsia"/>
                <w:kern w:val="0"/>
                <w:sz w:val="16"/>
                <w:szCs w:val="16"/>
              </w:rPr>
            </w:pPr>
          </w:p>
        </w:tc>
        <w:tc>
          <w:tcPr>
            <w:tcW w:w="1049" w:type="dxa"/>
            <w:tcBorders>
              <w:top w:val="single" w:color="auto" w:sz="4" w:space="0"/>
              <w:left w:val="nil"/>
              <w:bottom w:val="single" w:color="auto" w:sz="4" w:space="0"/>
              <w:right w:val="single" w:color="auto" w:sz="4" w:space="0"/>
            </w:tcBorders>
            <w:shd w:val="clear" w:color="auto" w:fill="auto"/>
            <w:vAlign w:val="center"/>
          </w:tcPr>
          <w:p w14:paraId="2791FDE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账务处理及档案管理等情况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0838E64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single" w:color="auto" w:sz="4" w:space="0"/>
              <w:left w:val="nil"/>
              <w:bottom w:val="single" w:color="auto" w:sz="4" w:space="0"/>
              <w:right w:val="single" w:color="auto" w:sz="4" w:space="0"/>
            </w:tcBorders>
            <w:shd w:val="clear" w:color="auto" w:fill="auto"/>
            <w:vAlign w:val="center"/>
          </w:tcPr>
          <w:p w14:paraId="4752120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评价账务处理，资产转固，收益管理、档案管理等情况。根据抽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single" w:color="auto" w:sz="4" w:space="0"/>
              <w:left w:val="nil"/>
              <w:bottom w:val="single" w:color="auto" w:sz="4" w:space="0"/>
              <w:right w:val="single" w:color="auto" w:sz="4" w:space="0"/>
            </w:tcBorders>
            <w:shd w:val="clear" w:color="auto" w:fill="auto"/>
            <w:vAlign w:val="center"/>
          </w:tcPr>
          <w:p w14:paraId="7599C94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1.财务处理是否规范，原始凭证是否齐全，建成资产是否及时转固、收益管理是否合规；（4分）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2.档案管理是否完整、合规、真实。（1分）</w:t>
            </w:r>
          </w:p>
        </w:tc>
      </w:tr>
      <w:tr w14:paraId="679CEEC7">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FA82B1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705A5BC5">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0591D3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6EEA068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72681B2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评价区级、镇级、村级落实《铜梁区财政衔接推进乡村振兴补助资金项目公告公示实施办法》（铜委农办〔2021〕19号）文件要求情况。根据抽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51F377A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分区级、镇级、村级进行评价。</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1.抽查区级公示公开情况，满分3分，未完整公开酌情扣分；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2.抽查镇级公示公开情况，满分3分，未完整公开酌情扣分；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3.抽查村级公示公开情况，满分3分，未完整公开酌情扣分。</w:t>
            </w:r>
          </w:p>
        </w:tc>
      </w:tr>
      <w:tr w14:paraId="4851FE63">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985BE7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70C1CC8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51806D6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335345E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5C0C09E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评价项目是否达到预期成效，后续管护是否存在问题等。根据抽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341735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满分35分，根据抽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项目情况赋分。项目管理各环节，每存在一例不符合相关规定的，扣0.5分，扣完为止。</w:t>
            </w:r>
          </w:p>
        </w:tc>
      </w:tr>
      <w:tr w14:paraId="49E9CA7E">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0A1963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44D804AC">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354697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720FA67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3A8A978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554CAA1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7D8EA580">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DBBA55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4CF3476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0AC0FD2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6D21F21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123BC18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4BA9C59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1.在财政衔接资金分配、使用、监管等方面存在机制创新；（2分）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2.国家、市级对我区财政衔接资金绩效评价中，被财政部、国家乡村振兴局及其第三方总结经验做法，并调研推广的。（3分）</w:t>
            </w:r>
          </w:p>
        </w:tc>
      </w:tr>
      <w:tr w14:paraId="642CC021">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514AFE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60CB4753">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A8611D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48FA318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2ECBEA0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10D1908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考核材料、数据中存在虚假信息的，或经有关部门监督检查发现问题的，视情节严重程度扣1-10分。</w:t>
            </w:r>
          </w:p>
        </w:tc>
      </w:tr>
    </w:tbl>
    <w:p w14:paraId="7432A65C">
      <w:pPr>
        <w:spacing w:before="120" w:beforeLines="50" w:line="360" w:lineRule="auto"/>
        <w:ind w:firstLine="482" w:firstLineChars="200"/>
        <w:jc w:val="left"/>
        <w:outlineLvl w:val="0"/>
        <w:rPr>
          <w:rFonts w:ascii="Arial Narrow" w:hAnsi="Arial Narrow" w:eastAsiaTheme="minorEastAsia"/>
          <w:b/>
          <w:sz w:val="24"/>
        </w:rPr>
      </w:pPr>
      <w:bookmarkStart w:id="17" w:name="_Toc171611927"/>
      <w:r>
        <w:rPr>
          <w:rFonts w:ascii="Arial Narrow" w:hAnsi="Arial Narrow" w:eastAsiaTheme="minorEastAsia"/>
          <w:b/>
          <w:sz w:val="24"/>
        </w:rPr>
        <w:t>（五）绩效评价标准和评价方法</w:t>
      </w:r>
      <w:bookmarkEnd w:id="17"/>
    </w:p>
    <w:p w14:paraId="15F431D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1.绩效评价标准</w:t>
      </w:r>
    </w:p>
    <w:p w14:paraId="3108C07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绩效评价标准采用定量评分，满分为100分。指标分值我们是根据确定的指标内容及项目实施的具体情况综合分析确定的，详见附件。</w:t>
      </w:r>
    </w:p>
    <w:p w14:paraId="36E80F2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绩效评价结果分为优（得分</w:t>
      </w:r>
      <w:bookmarkStart w:id="18" w:name="_Hlk162596803"/>
      <w:r>
        <w:rPr>
          <w:rFonts w:ascii="Arial Narrow" w:hAnsi="Arial Narrow" w:eastAsiaTheme="minorEastAsia"/>
          <w:color w:val="auto"/>
        </w:rPr>
        <w:t>≥90</w:t>
      </w:r>
      <w:bookmarkEnd w:id="18"/>
      <w:r>
        <w:rPr>
          <w:rFonts w:ascii="Arial Narrow" w:hAnsi="Arial Narrow" w:eastAsiaTheme="minorEastAsia"/>
          <w:color w:val="auto"/>
        </w:rPr>
        <w:t>）、良</w:t>
      </w:r>
      <w:bookmarkStart w:id="19" w:name="_Hlk168473502"/>
      <w:r>
        <w:rPr>
          <w:rFonts w:ascii="Arial Narrow" w:hAnsi="Arial Narrow" w:eastAsiaTheme="minorEastAsia"/>
          <w:color w:val="auto"/>
        </w:rPr>
        <w:t>（90＞得分≥80）</w:t>
      </w:r>
      <w:bookmarkEnd w:id="19"/>
      <w:r>
        <w:rPr>
          <w:rFonts w:ascii="Arial Narrow" w:hAnsi="Arial Narrow" w:eastAsiaTheme="minorEastAsia"/>
          <w:color w:val="auto"/>
        </w:rPr>
        <w:t>、中（80＞得分≥60）、差（得分＜60）四个等级，按百分制综合得分高低按分值划段确定。</w:t>
      </w:r>
    </w:p>
    <w:p w14:paraId="4BF1460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2.绩效评价方法</w:t>
      </w:r>
    </w:p>
    <w:p w14:paraId="1E047B4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绩效评价技术方法主要有成本效益分析法、比较法、因素分析法、最低成本法、公众评判法等。</w:t>
      </w:r>
    </w:p>
    <w:p w14:paraId="66F58C3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成本效益分析法。是指将一定时期内的支出与效益进行对比分析，以评价绩效目标的实现程度。</w:t>
      </w:r>
    </w:p>
    <w:p w14:paraId="19B8764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比较法。是指通过对绩效目标与实施效果、历史与当期情况、不同部门和地区同类支出的比较，综合分析绩效目标实现程度。</w:t>
      </w:r>
    </w:p>
    <w:p w14:paraId="043E75C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因素分析法。是指通过综合分析影响绩效目标实现、实施效果的内外因素，评价绩效目标实现程度。</w:t>
      </w:r>
    </w:p>
    <w:p w14:paraId="39D7DF2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最低成本法。是指对效益确定却不易计量的多个同类对象的实施成本进行比较，评价绩效目标实现程度。</w:t>
      </w:r>
    </w:p>
    <w:p w14:paraId="0DFA4DE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公众评判法。是指通过专家评估、公众问卷及抽样调查等对预算支出效果进行评判，评价绩效目标实现程度。</w:t>
      </w:r>
    </w:p>
    <w:p w14:paraId="373AC400">
      <w:pPr>
        <w:spacing w:line="360" w:lineRule="auto"/>
        <w:ind w:firstLine="482" w:firstLineChars="200"/>
        <w:jc w:val="left"/>
        <w:outlineLvl w:val="0"/>
        <w:rPr>
          <w:rFonts w:ascii="Arial Narrow" w:hAnsi="Arial Narrow" w:eastAsiaTheme="minorEastAsia"/>
          <w:b/>
          <w:sz w:val="24"/>
        </w:rPr>
      </w:pPr>
      <w:bookmarkStart w:id="20" w:name="_Toc437528932"/>
      <w:bookmarkStart w:id="21" w:name="_Toc171611928"/>
      <w:r>
        <w:rPr>
          <w:rFonts w:ascii="Arial Narrow" w:hAnsi="Arial Narrow" w:eastAsiaTheme="minorEastAsia"/>
          <w:b/>
          <w:sz w:val="24"/>
        </w:rPr>
        <w:t>（六）绩效评价</w:t>
      </w:r>
      <w:bookmarkEnd w:id="20"/>
      <w:r>
        <w:rPr>
          <w:rFonts w:ascii="Arial Narrow" w:hAnsi="Arial Narrow" w:eastAsiaTheme="minorEastAsia"/>
          <w:b/>
          <w:sz w:val="24"/>
        </w:rPr>
        <w:t>工作过程</w:t>
      </w:r>
      <w:bookmarkEnd w:id="21"/>
    </w:p>
    <w:p w14:paraId="28FF058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1.经铜梁区财政局确定为“2023年财政专项衔接资金项目”项目绩效评价服务单位后我所成立了绩效评价工作小组。</w:t>
      </w:r>
    </w:p>
    <w:p w14:paraId="73E26DA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2.根据项目实际情况收集项目基础资料及数据深入了解项目整体情况。</w:t>
      </w:r>
    </w:p>
    <w:p w14:paraId="21FFC615">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3.组织实施现场调查、检查、走访等具体工作</w:t>
      </w:r>
      <w:r>
        <w:rPr>
          <w:rFonts w:hint="eastAsia" w:ascii="Arial Narrow" w:hAnsi="Arial Narrow" w:eastAsiaTheme="minorEastAsia"/>
          <w:color w:val="auto"/>
          <w:lang w:eastAsia="zh-CN"/>
        </w:rPr>
        <w:t>。</w:t>
      </w:r>
    </w:p>
    <w:p w14:paraId="0D8D2A4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4.依据收集到的项目相关资料和数据，比照经贵单位审定的评价指标体系的评分标准，分别对项目评价打分，汇总后加权平均形成综合评价得分，并对该项目的绩效评价等级进行确认。</w:t>
      </w:r>
    </w:p>
    <w:p w14:paraId="76A733BD">
      <w:pPr>
        <w:spacing w:line="360" w:lineRule="auto"/>
        <w:ind w:firstLine="482" w:firstLineChars="200"/>
        <w:jc w:val="left"/>
        <w:outlineLvl w:val="0"/>
        <w:rPr>
          <w:rFonts w:ascii="Arial Narrow" w:hAnsi="Arial Narrow" w:eastAsiaTheme="minorEastAsia"/>
          <w:b/>
          <w:sz w:val="24"/>
        </w:rPr>
      </w:pPr>
      <w:bookmarkStart w:id="22" w:name="_Toc437528933"/>
      <w:bookmarkStart w:id="23" w:name="_Toc171611929"/>
      <w:r>
        <w:rPr>
          <w:rFonts w:ascii="Arial Narrow" w:hAnsi="Arial Narrow" w:eastAsiaTheme="minorEastAsia"/>
          <w:b/>
          <w:sz w:val="24"/>
        </w:rPr>
        <w:t>三、项目评价</w:t>
      </w:r>
      <w:bookmarkEnd w:id="22"/>
      <w:r>
        <w:rPr>
          <w:rFonts w:ascii="Arial Narrow" w:hAnsi="Arial Narrow" w:eastAsiaTheme="minorEastAsia"/>
          <w:b/>
          <w:sz w:val="24"/>
        </w:rPr>
        <w:t>结论</w:t>
      </w:r>
      <w:bookmarkEnd w:id="23"/>
    </w:p>
    <w:p w14:paraId="6A65D24C">
      <w:pPr>
        <w:spacing w:line="360" w:lineRule="auto"/>
        <w:ind w:left="420" w:leftChars="200"/>
        <w:jc w:val="left"/>
        <w:rPr>
          <w:rFonts w:ascii="Arial Narrow" w:hAnsi="Arial Narrow" w:cs="宋体" w:eastAsiaTheme="minorEastAsia"/>
          <w:kern w:val="0"/>
          <w:sz w:val="24"/>
        </w:rPr>
      </w:pPr>
      <w:r>
        <w:rPr>
          <w:rFonts w:ascii="Arial Narrow" w:hAnsi="Arial Narrow" w:cs="宋体" w:eastAsiaTheme="minorEastAsia"/>
          <w:kern w:val="0"/>
          <w:sz w:val="24"/>
        </w:rPr>
        <w:t>淘河村农副产品加工厂房建设项目绩效评价得分96.5分，绩效评价等级为：优；</w:t>
      </w:r>
    </w:p>
    <w:p w14:paraId="578A3EBE">
      <w:pPr>
        <w:spacing w:line="360" w:lineRule="auto"/>
        <w:ind w:left="420" w:leftChars="200"/>
        <w:jc w:val="left"/>
        <w:rPr>
          <w:rFonts w:ascii="Arial Narrow" w:hAnsi="Arial Narrow" w:eastAsiaTheme="minorEastAsia"/>
          <w:sz w:val="24"/>
        </w:rPr>
      </w:pPr>
      <w:r>
        <w:rPr>
          <w:rFonts w:ascii="Arial Narrow" w:hAnsi="Arial Narrow" w:cs="宋体" w:eastAsiaTheme="minorEastAsia"/>
          <w:kern w:val="0"/>
          <w:sz w:val="24"/>
        </w:rPr>
        <w:t>四面村明日见采摘园基础设施建设提质项目</w:t>
      </w:r>
      <w:r>
        <w:rPr>
          <w:rFonts w:ascii="Arial Narrow" w:hAnsi="Arial Narrow" w:eastAsiaTheme="minorEastAsia"/>
          <w:sz w:val="24"/>
        </w:rPr>
        <w:t>绩效评价得分97.5分，绩效评价等级为</w:t>
      </w:r>
    </w:p>
    <w:p w14:paraId="16AC4446">
      <w:pPr>
        <w:spacing w:line="360" w:lineRule="auto"/>
        <w:jc w:val="left"/>
        <w:rPr>
          <w:rFonts w:ascii="Arial Narrow" w:hAnsi="Arial Narrow" w:eastAsiaTheme="minorEastAsia"/>
          <w:sz w:val="24"/>
        </w:rPr>
      </w:pPr>
      <w:r>
        <w:rPr>
          <w:rFonts w:ascii="Arial Narrow" w:hAnsi="Arial Narrow" w:eastAsiaTheme="minorEastAsia"/>
          <w:sz w:val="24"/>
        </w:rPr>
        <w:t>优；</w:t>
      </w:r>
    </w:p>
    <w:p w14:paraId="48FA62DA">
      <w:pPr>
        <w:spacing w:line="360" w:lineRule="auto"/>
        <w:ind w:firstLine="480" w:firstLineChars="200"/>
        <w:jc w:val="left"/>
        <w:rPr>
          <w:rFonts w:ascii="Arial Narrow" w:hAnsi="Arial Narrow" w:eastAsiaTheme="minorEastAsia"/>
          <w:sz w:val="24"/>
        </w:rPr>
      </w:pPr>
      <w:r>
        <w:rPr>
          <w:rFonts w:ascii="Arial Narrow" w:hAnsi="Arial Narrow" w:eastAsiaTheme="minorEastAsia"/>
          <w:sz w:val="24"/>
        </w:rPr>
        <w:t>石马村水果基地水肥一体化设施建设项目绩效评价得分96.5分，绩效评价等级为：优；</w:t>
      </w:r>
    </w:p>
    <w:p w14:paraId="428584B1">
      <w:pPr>
        <w:spacing w:line="360" w:lineRule="auto"/>
        <w:ind w:firstLine="480" w:firstLineChars="200"/>
        <w:jc w:val="left"/>
        <w:rPr>
          <w:rFonts w:ascii="Arial Narrow" w:hAnsi="Arial Narrow" w:eastAsiaTheme="minorEastAsia"/>
          <w:sz w:val="24"/>
        </w:rPr>
      </w:pPr>
      <w:r>
        <w:rPr>
          <w:rFonts w:ascii="Arial Narrow" w:hAnsi="Arial Narrow" w:eastAsiaTheme="minorEastAsia"/>
          <w:sz w:val="24"/>
        </w:rPr>
        <w:t>紫极村虾养殖基础设施项目绩效评价得分97.5分，绩效评价等级为：优。</w:t>
      </w:r>
    </w:p>
    <w:p w14:paraId="43C9113E">
      <w:pPr>
        <w:spacing w:line="360" w:lineRule="auto"/>
        <w:ind w:firstLine="482" w:firstLineChars="200"/>
        <w:outlineLvl w:val="0"/>
        <w:rPr>
          <w:rFonts w:ascii="Arial Narrow" w:hAnsi="Arial Narrow" w:eastAsiaTheme="minorEastAsia"/>
          <w:b/>
          <w:sz w:val="24"/>
        </w:rPr>
      </w:pPr>
      <w:bookmarkStart w:id="24" w:name="_Toc171611930"/>
      <w:r>
        <w:rPr>
          <w:rFonts w:ascii="Arial Narrow" w:hAnsi="Arial Narrow" w:eastAsiaTheme="minorEastAsia"/>
          <w:b/>
          <w:sz w:val="24"/>
        </w:rPr>
        <w:t>四、综合评价情况</w:t>
      </w:r>
      <w:bookmarkEnd w:id="24"/>
    </w:p>
    <w:p w14:paraId="3366EBF3">
      <w:pPr>
        <w:spacing w:line="360" w:lineRule="auto"/>
        <w:ind w:firstLine="482" w:firstLineChars="200"/>
        <w:jc w:val="left"/>
        <w:outlineLvl w:val="0"/>
        <w:rPr>
          <w:rFonts w:ascii="Arial Narrow" w:hAnsi="Arial Narrow" w:eastAsiaTheme="minorEastAsia"/>
          <w:b/>
          <w:sz w:val="24"/>
        </w:rPr>
      </w:pPr>
      <w:bookmarkStart w:id="25" w:name="_Toc171611931"/>
      <w:r>
        <w:rPr>
          <w:rFonts w:ascii="Arial Narrow" w:hAnsi="Arial Narrow" w:eastAsiaTheme="minorEastAsia"/>
          <w:b/>
          <w:sz w:val="24"/>
        </w:rPr>
        <w:t>（一）资金管理</w:t>
      </w:r>
      <w:bookmarkEnd w:id="25"/>
    </w:p>
    <w:p w14:paraId="0495BCAE">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1.财政衔接资金安排情况</w:t>
      </w:r>
    </w:p>
    <w:p w14:paraId="28D89F2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项目按照《重庆市财政局关于提前下达2023年市财政衔接推进乡村振兴补助资金预算的通知》</w:t>
      </w:r>
      <w:r>
        <w:rPr>
          <w:rFonts w:hint="eastAsia" w:ascii="Arial Narrow" w:hAnsi="Arial Narrow" w:eastAsiaTheme="minorEastAsia"/>
          <w:sz w:val="24"/>
          <w:lang w:eastAsia="zh-CN"/>
        </w:rPr>
        <w:t>（</w:t>
      </w:r>
      <w:r>
        <w:rPr>
          <w:rFonts w:ascii="Arial Narrow" w:hAnsi="Arial Narrow" w:eastAsiaTheme="minorEastAsia"/>
          <w:sz w:val="24"/>
        </w:rPr>
        <w:t>渝财农〔2022〕146</w:t>
      </w:r>
      <w:r>
        <w:rPr>
          <w:rFonts w:hint="eastAsia" w:ascii="Arial Narrow" w:hAnsi="Arial Narrow" w:eastAsiaTheme="minorEastAsia"/>
          <w:sz w:val="24"/>
          <w:lang w:val="en-US" w:eastAsia="zh-CN"/>
        </w:rPr>
        <w:t>号</w:t>
      </w:r>
      <w:r>
        <w:rPr>
          <w:rFonts w:hint="eastAsia" w:ascii="Arial Narrow" w:hAnsi="Arial Narrow" w:eastAsiaTheme="minorEastAsia"/>
          <w:sz w:val="24"/>
          <w:lang w:eastAsia="zh-CN"/>
        </w:rPr>
        <w:t>）</w:t>
      </w:r>
      <w:r>
        <w:rPr>
          <w:rFonts w:ascii="Arial Narrow" w:hAnsi="Arial Narrow" w:eastAsiaTheme="minorEastAsia"/>
          <w:sz w:val="24"/>
        </w:rPr>
        <w:t>、《重庆市铜梁区财政局关于提前下达2023年中央财政衔接推进乡村振兴补助资金预算的通知》（铜财〔2022〕550号）、《重庆市铜梁区财政局关于下达2023年区级财政衔接推进乡村振兴补助资金预算的通知》</w:t>
      </w:r>
      <w:r>
        <w:rPr>
          <w:rFonts w:hint="eastAsia" w:ascii="Arial Narrow" w:hAnsi="Arial Narrow" w:eastAsiaTheme="minorEastAsia"/>
          <w:sz w:val="24"/>
          <w:lang w:eastAsia="zh-CN"/>
        </w:rPr>
        <w:t>（</w:t>
      </w:r>
      <w:r>
        <w:rPr>
          <w:rFonts w:ascii="Arial Narrow" w:hAnsi="Arial Narrow" w:eastAsiaTheme="minorEastAsia"/>
          <w:sz w:val="24"/>
        </w:rPr>
        <w:t>铜财〔2023〕46号</w:t>
      </w:r>
      <w:r>
        <w:rPr>
          <w:rFonts w:hint="eastAsia" w:ascii="Arial Narrow" w:hAnsi="Arial Narrow" w:eastAsiaTheme="minorEastAsia"/>
          <w:sz w:val="24"/>
          <w:lang w:eastAsia="zh-CN"/>
        </w:rPr>
        <w:t>）</w:t>
      </w:r>
      <w:r>
        <w:rPr>
          <w:rFonts w:ascii="Arial Narrow" w:hAnsi="Arial Narrow" w:eastAsiaTheme="minorEastAsia"/>
          <w:sz w:val="24"/>
        </w:rPr>
        <w:t>等相关政策性文件规定落实衔接资金。</w:t>
      </w:r>
    </w:p>
    <w:p w14:paraId="401B6AA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2.资金分解下达进度</w:t>
      </w:r>
    </w:p>
    <w:p w14:paraId="391C95A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项目资金从区财政局下达资金文件时间到区级业务主管部门下达项目及资金计划文件时间间隔小于30天。</w:t>
      </w:r>
    </w:p>
    <w:p w14:paraId="15EA73D1">
      <w:pPr>
        <w:spacing w:line="360" w:lineRule="auto"/>
        <w:ind w:firstLine="482" w:firstLineChars="200"/>
        <w:jc w:val="left"/>
        <w:outlineLvl w:val="0"/>
        <w:rPr>
          <w:rFonts w:ascii="Arial Narrow" w:hAnsi="Arial Narrow" w:eastAsiaTheme="minorEastAsia"/>
          <w:b/>
          <w:sz w:val="24"/>
        </w:rPr>
      </w:pPr>
      <w:bookmarkStart w:id="26" w:name="_Toc171611932"/>
      <w:r>
        <w:rPr>
          <w:rFonts w:ascii="Arial Narrow" w:hAnsi="Arial Narrow" w:eastAsiaTheme="minorEastAsia"/>
          <w:b/>
          <w:sz w:val="24"/>
        </w:rPr>
        <w:t>（二）项目管理</w:t>
      </w:r>
      <w:bookmarkEnd w:id="26"/>
    </w:p>
    <w:p w14:paraId="06AA6FA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1.项目库建设管理情况</w:t>
      </w:r>
    </w:p>
    <w:p w14:paraId="66EFD7D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项目入库及时充分、程序规范、内容完整，制定</w:t>
      </w:r>
      <w:r>
        <w:rPr>
          <w:rFonts w:hint="eastAsia" w:ascii="Arial Narrow" w:hAnsi="Arial Narrow" w:eastAsiaTheme="minorEastAsia"/>
          <w:sz w:val="24"/>
        </w:rPr>
        <w:t>了</w:t>
      </w:r>
      <w:r>
        <w:rPr>
          <w:rFonts w:ascii="Arial Narrow" w:hAnsi="Arial Narrow" w:eastAsiaTheme="minorEastAsia"/>
          <w:sz w:val="24"/>
        </w:rPr>
        <w:t>切合实际的实施方案，具备实施条件，衔接资金未用于项目库之外的项目。</w:t>
      </w:r>
    </w:p>
    <w:p w14:paraId="46911DB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2.项目绩效管理情况</w:t>
      </w:r>
    </w:p>
    <w:p w14:paraId="628F642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项目及时制定了明确的绩效目标，实施过程中对绩效目标进行监控，对绩效目标偏离项目采取纠偏措施，在项目实施完毕后开展了绩效自评，并形成绩效自评表、自评报告。</w:t>
      </w:r>
    </w:p>
    <w:p w14:paraId="2A9A5F5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3.项目建设管理情况</w:t>
      </w:r>
    </w:p>
    <w:p w14:paraId="4BDA797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项目实施方案不存在变更情况，实施过程中由重庆市铜梁区安居镇人民政府进行监督检查，检查中未发现重大问题，项目按照实施节点按时提交项目报账资料。紫极村虾养殖基础设施项目纸质资料归档不及时。</w:t>
      </w:r>
    </w:p>
    <w:p w14:paraId="7E3E2B8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4.预算执行率情况</w:t>
      </w:r>
    </w:p>
    <w:p w14:paraId="0CBFF69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 xml:space="preserve">淘河村农副产品加工厂房建设项目、石马村水果基地水肥一体化设施建设项目、紫极村虾养殖基础设施项目12月执行率达100%；四面村明日见采摘园基础设施建设提质项目10月执行率达100%。 </w:t>
      </w:r>
    </w:p>
    <w:p w14:paraId="3251E08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5.跟踪督促及发现问题整改情况</w:t>
      </w:r>
    </w:p>
    <w:p w14:paraId="40C5821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通过实施单位提供的监控表、自评表等资料显示，本项目实施单位定期开展项目实施和资金支出进度等跟踪督促，跟踪督促及各类检查发现问题整改到位。</w:t>
      </w:r>
    </w:p>
    <w:p w14:paraId="509B3EF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6.账务处理及档案管理等情况</w:t>
      </w:r>
    </w:p>
    <w:p w14:paraId="0493FD08">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紫极村虾养殖基础设施项目实施单位对该项目账务处理规范，档案管理完整。</w:t>
      </w:r>
      <w:bookmarkStart w:id="27" w:name="_Hlk170402432"/>
      <w:r>
        <w:rPr>
          <w:rFonts w:ascii="Arial Narrow" w:hAnsi="Arial Narrow" w:eastAsiaTheme="minorEastAsia"/>
          <w:sz w:val="24"/>
        </w:rPr>
        <w:t>淘河村农副产品加工厂房建设项目</w:t>
      </w:r>
      <w:bookmarkEnd w:id="27"/>
      <w:r>
        <w:rPr>
          <w:rFonts w:ascii="Arial Narrow" w:hAnsi="Arial Narrow" w:eastAsiaTheme="minorEastAsia"/>
          <w:sz w:val="24"/>
        </w:rPr>
        <w:t>、石马村水果基地水肥一体化设施建设项目、四面村明日见采摘园基础设施建设提质项目档案管理不及时。</w:t>
      </w:r>
    </w:p>
    <w:p w14:paraId="2014F088">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7.信息公开和公告公示制度落实情况</w:t>
      </w:r>
    </w:p>
    <w:p w14:paraId="5D6FF30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重庆市铜梁区安居镇人民政府对以上4个项目入库情况、资金计划完成情况等进行了公告公示。</w:t>
      </w:r>
    </w:p>
    <w:p w14:paraId="570F1E72">
      <w:pPr>
        <w:spacing w:line="360" w:lineRule="auto"/>
        <w:ind w:firstLine="482" w:firstLineChars="200"/>
        <w:jc w:val="left"/>
        <w:outlineLvl w:val="0"/>
        <w:rPr>
          <w:rFonts w:ascii="Arial Narrow" w:hAnsi="Arial Narrow" w:eastAsiaTheme="minorEastAsia"/>
          <w:b/>
          <w:sz w:val="24"/>
        </w:rPr>
      </w:pPr>
      <w:bookmarkStart w:id="28" w:name="_Toc171611933"/>
      <w:r>
        <w:rPr>
          <w:rFonts w:ascii="Arial Narrow" w:hAnsi="Arial Narrow" w:eastAsiaTheme="minorEastAsia"/>
          <w:b/>
          <w:sz w:val="24"/>
        </w:rPr>
        <w:t>（三）使用成效及通报情况</w:t>
      </w:r>
      <w:bookmarkEnd w:id="28"/>
    </w:p>
    <w:p w14:paraId="19FB6CB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1.资金使用效益</w:t>
      </w:r>
    </w:p>
    <w:p w14:paraId="63D6100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项目总体资金均专款专用，项目完成进度和及时性达到计划预期目的。完成项目的质量能够达标，完成进行了自评、项目资金完整。紫极村虾养殖基础设施项目无建成后管理制度。</w:t>
      </w:r>
    </w:p>
    <w:p w14:paraId="4D305DBA">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2.通报情况</w:t>
      </w:r>
    </w:p>
    <w:p w14:paraId="1D14BF9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四面村明日见采摘园基础设施建设提质项目、紫极村虾养殖基础设施项目实施管理日常表现良好，未被通报和问题反馈情况。淘河村农副产品加工厂房建设项目铜乡振〔2023〕19号通报：进度已达80%未完工项目；石马村水果基地水肥一体化设施建设项目铜乡振〔2023〕19号通报：进度滞后。</w:t>
      </w:r>
    </w:p>
    <w:p w14:paraId="46F3FB18">
      <w:pPr>
        <w:spacing w:line="360" w:lineRule="auto"/>
        <w:ind w:firstLine="482" w:firstLineChars="200"/>
        <w:outlineLvl w:val="0"/>
        <w:rPr>
          <w:rFonts w:ascii="Arial Narrow" w:hAnsi="Arial Narrow" w:eastAsiaTheme="minorEastAsia"/>
          <w:b/>
          <w:sz w:val="24"/>
        </w:rPr>
      </w:pPr>
      <w:bookmarkStart w:id="29" w:name="_Toc171611934"/>
      <w:r>
        <w:rPr>
          <w:rFonts w:ascii="Arial Narrow" w:hAnsi="Arial Narrow" w:eastAsiaTheme="minorEastAsia"/>
          <w:b/>
          <w:sz w:val="24"/>
        </w:rPr>
        <w:t>五、存在的问题和建议</w:t>
      </w:r>
      <w:bookmarkEnd w:id="29"/>
    </w:p>
    <w:p w14:paraId="122192E6">
      <w:pPr>
        <w:spacing w:line="360" w:lineRule="auto"/>
        <w:ind w:firstLine="482" w:firstLineChars="200"/>
        <w:jc w:val="left"/>
        <w:outlineLvl w:val="0"/>
        <w:rPr>
          <w:rFonts w:ascii="Arial Narrow" w:hAnsi="Arial Narrow" w:eastAsiaTheme="minorEastAsia"/>
          <w:b/>
          <w:sz w:val="24"/>
        </w:rPr>
      </w:pPr>
      <w:bookmarkStart w:id="30" w:name="_Toc171611935"/>
      <w:r>
        <w:rPr>
          <w:rFonts w:ascii="Arial Narrow" w:hAnsi="Arial Narrow" w:eastAsiaTheme="minorEastAsia"/>
          <w:b/>
          <w:sz w:val="24"/>
        </w:rPr>
        <w:t>（一）存在问题</w:t>
      </w:r>
      <w:bookmarkEnd w:id="30"/>
    </w:p>
    <w:p w14:paraId="1B90F0F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1.日常档案管理资料整理归档不及时。</w:t>
      </w:r>
    </w:p>
    <w:p w14:paraId="647E8B1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2.部分项目无建成后管护措施。</w:t>
      </w:r>
    </w:p>
    <w:p w14:paraId="479EA257">
      <w:pPr>
        <w:spacing w:line="360" w:lineRule="auto"/>
        <w:ind w:firstLine="482" w:firstLineChars="200"/>
        <w:jc w:val="left"/>
        <w:outlineLvl w:val="0"/>
        <w:rPr>
          <w:rFonts w:ascii="Arial Narrow" w:hAnsi="Arial Narrow" w:eastAsiaTheme="minorEastAsia"/>
          <w:b/>
          <w:sz w:val="24"/>
        </w:rPr>
      </w:pPr>
      <w:bookmarkStart w:id="31" w:name="_Toc171611936"/>
      <w:r>
        <w:rPr>
          <w:rFonts w:ascii="Arial Narrow" w:hAnsi="Arial Narrow" w:eastAsiaTheme="minorEastAsia"/>
          <w:b/>
          <w:sz w:val="24"/>
        </w:rPr>
        <w:t>（二）建议</w:t>
      </w:r>
      <w:bookmarkEnd w:id="31"/>
    </w:p>
    <w:p w14:paraId="00556E4D">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1.建议及时检查归档资料是否完备，以保持资料的完整性；避免造成资料的缺失遗漏；</w:t>
      </w:r>
    </w:p>
    <w:p w14:paraId="18C49232">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 xml:space="preserve">2.建立健全日常巡查管护制度，定期巡查管护，保证项目长期健康运行，持续发挥衔接资金带贫作用。 </w:t>
      </w:r>
    </w:p>
    <w:p w14:paraId="23617568">
      <w:pPr>
        <w:adjustRightInd w:val="0"/>
        <w:snapToGrid w:val="0"/>
        <w:spacing w:line="360" w:lineRule="auto"/>
        <w:ind w:firstLine="480" w:firstLineChars="200"/>
        <w:rPr>
          <w:rStyle w:val="11"/>
          <w:rFonts w:ascii="Arial Narrow" w:hAnsi="Arial Narrow" w:eastAsiaTheme="minorEastAsia"/>
          <w:color w:val="auto"/>
          <w:sz w:val="24"/>
          <w:u w:val="none"/>
        </w:rPr>
      </w:pPr>
    </w:p>
    <w:p w14:paraId="76B90875">
      <w:pPr>
        <w:adjustRightInd w:val="0"/>
        <w:snapToGrid w:val="0"/>
        <w:spacing w:line="360" w:lineRule="auto"/>
        <w:ind w:firstLine="480" w:firstLineChars="200"/>
        <w:rPr>
          <w:rStyle w:val="11"/>
          <w:rFonts w:ascii="Arial Narrow" w:hAnsi="Arial Narrow" w:eastAsiaTheme="minorEastAsia"/>
          <w:color w:val="auto"/>
          <w:sz w:val="24"/>
          <w:u w:val="none"/>
        </w:rPr>
      </w:pPr>
    </w:p>
    <w:p w14:paraId="7D38FAA7">
      <w:pPr>
        <w:adjustRightInd w:val="0"/>
        <w:snapToGrid w:val="0"/>
        <w:spacing w:line="360" w:lineRule="auto"/>
        <w:ind w:firstLine="420" w:firstLineChars="200"/>
        <w:rPr>
          <w:rStyle w:val="11"/>
          <w:rFonts w:ascii="Arial Narrow" w:hAnsi="Arial Narrow" w:eastAsiaTheme="minorEastAsia"/>
          <w:color w:val="auto"/>
          <w:u w:val="none"/>
        </w:rPr>
      </w:pPr>
    </w:p>
    <w:p w14:paraId="66671F17">
      <w:pPr>
        <w:adjustRightInd w:val="0"/>
        <w:snapToGrid w:val="0"/>
        <w:spacing w:line="360" w:lineRule="auto"/>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附件：1、</w:t>
      </w:r>
      <w:bookmarkStart w:id="32" w:name="_Hlk171668702"/>
      <w:r>
        <w:rPr>
          <w:rStyle w:val="11"/>
          <w:rFonts w:ascii="Arial Narrow" w:hAnsi="Arial Narrow" w:eastAsiaTheme="minorEastAsia"/>
          <w:color w:val="auto"/>
          <w:sz w:val="24"/>
          <w:u w:val="none"/>
        </w:rPr>
        <w:t>铜梁区衔接资金项目绩效评价及考核指标评分表</w:t>
      </w:r>
      <w:bookmarkEnd w:id="32"/>
      <w:r>
        <w:rPr>
          <w:rStyle w:val="11"/>
          <w:rFonts w:ascii="Arial Narrow" w:hAnsi="Arial Narrow" w:eastAsiaTheme="minorEastAsia"/>
          <w:color w:val="auto"/>
          <w:sz w:val="24"/>
          <w:u w:val="none"/>
        </w:rPr>
        <w:t>；</w:t>
      </w:r>
    </w:p>
    <w:p w14:paraId="34EBB2FC">
      <w:pPr>
        <w:adjustRightInd w:val="0"/>
        <w:snapToGrid w:val="0"/>
        <w:spacing w:line="360" w:lineRule="auto"/>
        <w:ind w:firstLine="720" w:firstLineChars="3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2、会计师事务所营业执照和资质复印件。</w:t>
      </w:r>
    </w:p>
    <w:p w14:paraId="3F471795">
      <w:pPr>
        <w:adjustRightInd w:val="0"/>
        <w:snapToGrid w:val="0"/>
        <w:spacing w:line="360" w:lineRule="auto"/>
        <w:ind w:firstLine="720" w:firstLineChars="300"/>
        <w:rPr>
          <w:rStyle w:val="11"/>
          <w:rFonts w:ascii="Arial Narrow" w:hAnsi="Arial Narrow" w:eastAsiaTheme="minorEastAsia"/>
          <w:color w:val="auto"/>
          <w:sz w:val="24"/>
          <w:u w:val="none"/>
        </w:rPr>
      </w:pPr>
    </w:p>
    <w:p w14:paraId="0F1FED14">
      <w:pPr>
        <w:adjustRightInd w:val="0"/>
        <w:snapToGrid w:val="0"/>
        <w:spacing w:line="360" w:lineRule="auto"/>
        <w:ind w:firstLine="720" w:firstLineChars="300"/>
        <w:rPr>
          <w:rStyle w:val="11"/>
          <w:rFonts w:ascii="Arial Narrow" w:hAnsi="Arial Narrow" w:eastAsiaTheme="minorEastAsia"/>
          <w:color w:val="auto"/>
          <w:sz w:val="24"/>
          <w:u w:val="none"/>
        </w:rPr>
      </w:pPr>
    </w:p>
    <w:p w14:paraId="73A9B180">
      <w:pPr>
        <w:adjustRightInd w:val="0"/>
        <w:snapToGrid w:val="0"/>
        <w:spacing w:line="360" w:lineRule="auto"/>
        <w:ind w:firstLine="720" w:firstLineChars="300"/>
        <w:rPr>
          <w:rStyle w:val="11"/>
          <w:rFonts w:ascii="Arial Narrow" w:hAnsi="Arial Narrow" w:eastAsiaTheme="minorEastAsia"/>
          <w:color w:val="auto"/>
          <w:sz w:val="24"/>
          <w:u w:val="none"/>
        </w:rPr>
      </w:pPr>
    </w:p>
    <w:p w14:paraId="3B5858BD">
      <w:pPr>
        <w:adjustRightInd w:val="0"/>
        <w:snapToGrid w:val="0"/>
        <w:spacing w:line="360" w:lineRule="auto"/>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 xml:space="preserve"> 重庆铭鸿金全会计师事务所有限责任公司</w:t>
      </w:r>
    </w:p>
    <w:p w14:paraId="2FBF16C2">
      <w:pPr>
        <w:adjustRightInd w:val="0"/>
        <w:snapToGrid w:val="0"/>
        <w:spacing w:line="360" w:lineRule="auto"/>
        <w:ind w:right="960" w:firstLine="4800" w:firstLineChars="2000"/>
        <w:jc w:val="right"/>
        <w:rPr>
          <w:rStyle w:val="11"/>
          <w:rFonts w:ascii="Arial Narrow" w:hAnsi="Arial Narrow" w:eastAsiaTheme="minorEastAsia"/>
          <w:color w:val="auto"/>
          <w:sz w:val="24"/>
          <w:u w:val="none"/>
        </w:rPr>
      </w:pPr>
      <w:r>
        <w:rPr>
          <w:rStyle w:val="11"/>
          <w:rFonts w:hint="eastAsia" w:ascii="Arial Narrow" w:hAnsi="Arial Narrow" w:eastAsiaTheme="minorEastAsia"/>
          <w:color w:val="auto"/>
          <w:sz w:val="24"/>
          <w:u w:val="none"/>
          <w:lang w:eastAsia="zh-CN"/>
        </w:rPr>
        <w:t>二○二</w:t>
      </w:r>
      <w:bookmarkStart w:id="33" w:name="_GoBack"/>
      <w:bookmarkEnd w:id="33"/>
      <w:r>
        <w:rPr>
          <w:rStyle w:val="11"/>
          <w:rFonts w:ascii="Arial Narrow" w:hAnsi="Arial Narrow" w:eastAsiaTheme="minorEastAsia"/>
          <w:color w:val="auto"/>
          <w:sz w:val="24"/>
          <w:u w:val="none"/>
        </w:rPr>
        <w:t>四年六月三十日</w:t>
      </w:r>
    </w:p>
    <w:sectPr>
      <w:headerReference r:id="rId4" w:type="default"/>
      <w:footerReference r:id="rId5" w:type="default"/>
      <w:pgSz w:w="11906" w:h="16838"/>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CF1A0">
    <w:pPr>
      <w:pStyle w:val="5"/>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8DC69">
    <w:pPr>
      <w:pStyle w:val="5"/>
      <w:jc w:val="center"/>
      <w:rPr>
        <w:rFonts w:hint="eastAsia"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FFE0C5">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EFFE0C5">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36BAC">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45A7C"/>
    <w:rsid w:val="00055BBF"/>
    <w:rsid w:val="00060BD2"/>
    <w:rsid w:val="00063E0B"/>
    <w:rsid w:val="00066D80"/>
    <w:rsid w:val="00070CE3"/>
    <w:rsid w:val="000769EE"/>
    <w:rsid w:val="00085F46"/>
    <w:rsid w:val="000933AE"/>
    <w:rsid w:val="00095A1B"/>
    <w:rsid w:val="000A7E50"/>
    <w:rsid w:val="000D1A3B"/>
    <w:rsid w:val="000D2E2A"/>
    <w:rsid w:val="000E4529"/>
    <w:rsid w:val="000E4B15"/>
    <w:rsid w:val="000E6A52"/>
    <w:rsid w:val="000F4A80"/>
    <w:rsid w:val="0010003E"/>
    <w:rsid w:val="00103B93"/>
    <w:rsid w:val="00104568"/>
    <w:rsid w:val="00143A99"/>
    <w:rsid w:val="00152152"/>
    <w:rsid w:val="00164C87"/>
    <w:rsid w:val="0018023A"/>
    <w:rsid w:val="001A1C0A"/>
    <w:rsid w:val="001A42EB"/>
    <w:rsid w:val="001B25F9"/>
    <w:rsid w:val="001C6F32"/>
    <w:rsid w:val="001D6A69"/>
    <w:rsid w:val="001E0132"/>
    <w:rsid w:val="001F3624"/>
    <w:rsid w:val="001F3AC2"/>
    <w:rsid w:val="001F3F03"/>
    <w:rsid w:val="001F43AE"/>
    <w:rsid w:val="00216472"/>
    <w:rsid w:val="00224D96"/>
    <w:rsid w:val="0022592D"/>
    <w:rsid w:val="00226E7E"/>
    <w:rsid w:val="00230338"/>
    <w:rsid w:val="002316CB"/>
    <w:rsid w:val="00266038"/>
    <w:rsid w:val="00276D1C"/>
    <w:rsid w:val="00282997"/>
    <w:rsid w:val="002946CE"/>
    <w:rsid w:val="002C083D"/>
    <w:rsid w:val="002C24ED"/>
    <w:rsid w:val="002C36AE"/>
    <w:rsid w:val="002C5020"/>
    <w:rsid w:val="002C7EFA"/>
    <w:rsid w:val="002E16A4"/>
    <w:rsid w:val="002E1DB2"/>
    <w:rsid w:val="002F7076"/>
    <w:rsid w:val="00324E2F"/>
    <w:rsid w:val="00331DC5"/>
    <w:rsid w:val="0034480A"/>
    <w:rsid w:val="0035449B"/>
    <w:rsid w:val="003605BE"/>
    <w:rsid w:val="00361265"/>
    <w:rsid w:val="0037066E"/>
    <w:rsid w:val="0038310F"/>
    <w:rsid w:val="00384C3C"/>
    <w:rsid w:val="00385A38"/>
    <w:rsid w:val="0038704F"/>
    <w:rsid w:val="003879CE"/>
    <w:rsid w:val="00391E00"/>
    <w:rsid w:val="00395C15"/>
    <w:rsid w:val="003A00D8"/>
    <w:rsid w:val="003B0061"/>
    <w:rsid w:val="003B42BF"/>
    <w:rsid w:val="003E5714"/>
    <w:rsid w:val="003F1935"/>
    <w:rsid w:val="003F71CF"/>
    <w:rsid w:val="00414A58"/>
    <w:rsid w:val="004158F8"/>
    <w:rsid w:val="004200C2"/>
    <w:rsid w:val="00420AA7"/>
    <w:rsid w:val="00421C71"/>
    <w:rsid w:val="00422A98"/>
    <w:rsid w:val="004444D8"/>
    <w:rsid w:val="004470B7"/>
    <w:rsid w:val="0044730F"/>
    <w:rsid w:val="00463F8A"/>
    <w:rsid w:val="00470930"/>
    <w:rsid w:val="004A3906"/>
    <w:rsid w:val="004C1F3A"/>
    <w:rsid w:val="004C38B4"/>
    <w:rsid w:val="004D0882"/>
    <w:rsid w:val="004D1145"/>
    <w:rsid w:val="004D146B"/>
    <w:rsid w:val="004D2A6E"/>
    <w:rsid w:val="004E5E96"/>
    <w:rsid w:val="004E6833"/>
    <w:rsid w:val="004F0C1D"/>
    <w:rsid w:val="004F5A80"/>
    <w:rsid w:val="004F7A0F"/>
    <w:rsid w:val="00501A64"/>
    <w:rsid w:val="00536985"/>
    <w:rsid w:val="00536E92"/>
    <w:rsid w:val="00541DD3"/>
    <w:rsid w:val="005557CE"/>
    <w:rsid w:val="0056376C"/>
    <w:rsid w:val="00572DD6"/>
    <w:rsid w:val="005733CB"/>
    <w:rsid w:val="00594E4E"/>
    <w:rsid w:val="005A6746"/>
    <w:rsid w:val="005A7AB5"/>
    <w:rsid w:val="005B3F07"/>
    <w:rsid w:val="005B7579"/>
    <w:rsid w:val="005C0B33"/>
    <w:rsid w:val="005C28DE"/>
    <w:rsid w:val="005C7459"/>
    <w:rsid w:val="005C7FFB"/>
    <w:rsid w:val="005E133F"/>
    <w:rsid w:val="005E7297"/>
    <w:rsid w:val="005F01BA"/>
    <w:rsid w:val="00607240"/>
    <w:rsid w:val="0061001E"/>
    <w:rsid w:val="0061417A"/>
    <w:rsid w:val="00645220"/>
    <w:rsid w:val="0065332B"/>
    <w:rsid w:val="00655510"/>
    <w:rsid w:val="00674107"/>
    <w:rsid w:val="00677693"/>
    <w:rsid w:val="006859BC"/>
    <w:rsid w:val="0069156D"/>
    <w:rsid w:val="0069678B"/>
    <w:rsid w:val="00696ABA"/>
    <w:rsid w:val="006A58E0"/>
    <w:rsid w:val="006A6481"/>
    <w:rsid w:val="006B32A8"/>
    <w:rsid w:val="006C0B16"/>
    <w:rsid w:val="006D14F7"/>
    <w:rsid w:val="006D4646"/>
    <w:rsid w:val="006E75D6"/>
    <w:rsid w:val="006E7DA1"/>
    <w:rsid w:val="006F7CBD"/>
    <w:rsid w:val="007047C4"/>
    <w:rsid w:val="007112C5"/>
    <w:rsid w:val="00715488"/>
    <w:rsid w:val="007154F4"/>
    <w:rsid w:val="00715EA0"/>
    <w:rsid w:val="00723270"/>
    <w:rsid w:val="0072565C"/>
    <w:rsid w:val="0073019B"/>
    <w:rsid w:val="00730A8E"/>
    <w:rsid w:val="00740E9D"/>
    <w:rsid w:val="00741402"/>
    <w:rsid w:val="007545D5"/>
    <w:rsid w:val="00766DE0"/>
    <w:rsid w:val="00773C4D"/>
    <w:rsid w:val="00776704"/>
    <w:rsid w:val="00782E61"/>
    <w:rsid w:val="00790D96"/>
    <w:rsid w:val="007963CF"/>
    <w:rsid w:val="00796549"/>
    <w:rsid w:val="007A03A0"/>
    <w:rsid w:val="007A6BE6"/>
    <w:rsid w:val="007B0AC3"/>
    <w:rsid w:val="007B187C"/>
    <w:rsid w:val="007D5845"/>
    <w:rsid w:val="007E7CD8"/>
    <w:rsid w:val="00801724"/>
    <w:rsid w:val="00827385"/>
    <w:rsid w:val="008309D9"/>
    <w:rsid w:val="0084063E"/>
    <w:rsid w:val="008414AC"/>
    <w:rsid w:val="00842151"/>
    <w:rsid w:val="0084220F"/>
    <w:rsid w:val="00847FC7"/>
    <w:rsid w:val="00856815"/>
    <w:rsid w:val="008571D6"/>
    <w:rsid w:val="00874957"/>
    <w:rsid w:val="008815FF"/>
    <w:rsid w:val="008952B1"/>
    <w:rsid w:val="008966D2"/>
    <w:rsid w:val="008A39BA"/>
    <w:rsid w:val="008B3050"/>
    <w:rsid w:val="008B3197"/>
    <w:rsid w:val="008B4726"/>
    <w:rsid w:val="008B6E1B"/>
    <w:rsid w:val="008D4F7C"/>
    <w:rsid w:val="008E609D"/>
    <w:rsid w:val="008F151F"/>
    <w:rsid w:val="008F7C26"/>
    <w:rsid w:val="0090729E"/>
    <w:rsid w:val="00925EE4"/>
    <w:rsid w:val="009309C0"/>
    <w:rsid w:val="00931B7D"/>
    <w:rsid w:val="009322BD"/>
    <w:rsid w:val="0093667D"/>
    <w:rsid w:val="00975515"/>
    <w:rsid w:val="009813B6"/>
    <w:rsid w:val="00983CB7"/>
    <w:rsid w:val="00992CAD"/>
    <w:rsid w:val="009957B8"/>
    <w:rsid w:val="0099666C"/>
    <w:rsid w:val="009A30DA"/>
    <w:rsid w:val="009B0AAF"/>
    <w:rsid w:val="009E16CC"/>
    <w:rsid w:val="009E4A98"/>
    <w:rsid w:val="009F1C42"/>
    <w:rsid w:val="009F33B8"/>
    <w:rsid w:val="009F3AC7"/>
    <w:rsid w:val="00A066D6"/>
    <w:rsid w:val="00A07053"/>
    <w:rsid w:val="00A14650"/>
    <w:rsid w:val="00A16AE1"/>
    <w:rsid w:val="00A24CB4"/>
    <w:rsid w:val="00A337F5"/>
    <w:rsid w:val="00A3465C"/>
    <w:rsid w:val="00A352D4"/>
    <w:rsid w:val="00A5175E"/>
    <w:rsid w:val="00A64637"/>
    <w:rsid w:val="00A852FB"/>
    <w:rsid w:val="00A922C5"/>
    <w:rsid w:val="00A95CA5"/>
    <w:rsid w:val="00AB0D84"/>
    <w:rsid w:val="00AB0DCB"/>
    <w:rsid w:val="00AB5858"/>
    <w:rsid w:val="00AC3880"/>
    <w:rsid w:val="00AD0284"/>
    <w:rsid w:val="00AE2391"/>
    <w:rsid w:val="00AE470F"/>
    <w:rsid w:val="00AE4851"/>
    <w:rsid w:val="00AE6CB0"/>
    <w:rsid w:val="00AF42C3"/>
    <w:rsid w:val="00AF58DD"/>
    <w:rsid w:val="00AF7001"/>
    <w:rsid w:val="00B134A6"/>
    <w:rsid w:val="00B1523A"/>
    <w:rsid w:val="00B20FF9"/>
    <w:rsid w:val="00B25A79"/>
    <w:rsid w:val="00B42819"/>
    <w:rsid w:val="00B53584"/>
    <w:rsid w:val="00B6136F"/>
    <w:rsid w:val="00B7289F"/>
    <w:rsid w:val="00B730F8"/>
    <w:rsid w:val="00B843F6"/>
    <w:rsid w:val="00B9005A"/>
    <w:rsid w:val="00BA1D39"/>
    <w:rsid w:val="00BA212E"/>
    <w:rsid w:val="00BB3674"/>
    <w:rsid w:val="00BB4A6D"/>
    <w:rsid w:val="00BB5059"/>
    <w:rsid w:val="00BC2692"/>
    <w:rsid w:val="00BC4E0F"/>
    <w:rsid w:val="00BC7BED"/>
    <w:rsid w:val="00BD6FFD"/>
    <w:rsid w:val="00BE3571"/>
    <w:rsid w:val="00C02FB6"/>
    <w:rsid w:val="00C107C7"/>
    <w:rsid w:val="00C12443"/>
    <w:rsid w:val="00C35442"/>
    <w:rsid w:val="00C36A73"/>
    <w:rsid w:val="00C40056"/>
    <w:rsid w:val="00C4317D"/>
    <w:rsid w:val="00C47BFA"/>
    <w:rsid w:val="00C512D9"/>
    <w:rsid w:val="00C60A62"/>
    <w:rsid w:val="00C614E2"/>
    <w:rsid w:val="00C72EC7"/>
    <w:rsid w:val="00C7723D"/>
    <w:rsid w:val="00CB4D1A"/>
    <w:rsid w:val="00CB54FB"/>
    <w:rsid w:val="00CC12B4"/>
    <w:rsid w:val="00CC5635"/>
    <w:rsid w:val="00CC769D"/>
    <w:rsid w:val="00CD14AA"/>
    <w:rsid w:val="00CD7F52"/>
    <w:rsid w:val="00CE1CB9"/>
    <w:rsid w:val="00CE26E3"/>
    <w:rsid w:val="00CE367F"/>
    <w:rsid w:val="00D00126"/>
    <w:rsid w:val="00D0391C"/>
    <w:rsid w:val="00D1562E"/>
    <w:rsid w:val="00D17073"/>
    <w:rsid w:val="00D17EA9"/>
    <w:rsid w:val="00D254D3"/>
    <w:rsid w:val="00D26E16"/>
    <w:rsid w:val="00D415D5"/>
    <w:rsid w:val="00D5064E"/>
    <w:rsid w:val="00D55970"/>
    <w:rsid w:val="00D962E7"/>
    <w:rsid w:val="00DA5FE5"/>
    <w:rsid w:val="00DB55F0"/>
    <w:rsid w:val="00DB61A1"/>
    <w:rsid w:val="00DC5FCB"/>
    <w:rsid w:val="00DE0DA8"/>
    <w:rsid w:val="00DE10FD"/>
    <w:rsid w:val="00E065AA"/>
    <w:rsid w:val="00E16203"/>
    <w:rsid w:val="00E23D6E"/>
    <w:rsid w:val="00E27A95"/>
    <w:rsid w:val="00E31B9D"/>
    <w:rsid w:val="00E43191"/>
    <w:rsid w:val="00E47A16"/>
    <w:rsid w:val="00E53E50"/>
    <w:rsid w:val="00E66C12"/>
    <w:rsid w:val="00E709E2"/>
    <w:rsid w:val="00E80BDA"/>
    <w:rsid w:val="00E83DB8"/>
    <w:rsid w:val="00E90FA8"/>
    <w:rsid w:val="00E964E2"/>
    <w:rsid w:val="00EA0E33"/>
    <w:rsid w:val="00EA1C10"/>
    <w:rsid w:val="00EB38A4"/>
    <w:rsid w:val="00EB474C"/>
    <w:rsid w:val="00EC18D4"/>
    <w:rsid w:val="00ED0A8C"/>
    <w:rsid w:val="00ED39AF"/>
    <w:rsid w:val="00EE0303"/>
    <w:rsid w:val="00EE229A"/>
    <w:rsid w:val="00EE3E9C"/>
    <w:rsid w:val="00F13B7F"/>
    <w:rsid w:val="00F215E3"/>
    <w:rsid w:val="00F262AC"/>
    <w:rsid w:val="00F36680"/>
    <w:rsid w:val="00F443AC"/>
    <w:rsid w:val="00F52E9E"/>
    <w:rsid w:val="00F54C3F"/>
    <w:rsid w:val="00F61D28"/>
    <w:rsid w:val="00F62E90"/>
    <w:rsid w:val="00F64D50"/>
    <w:rsid w:val="00F6551E"/>
    <w:rsid w:val="00F7157E"/>
    <w:rsid w:val="00F84DF0"/>
    <w:rsid w:val="00FA08BB"/>
    <w:rsid w:val="00FA6718"/>
    <w:rsid w:val="00FC592B"/>
    <w:rsid w:val="00FD1A79"/>
    <w:rsid w:val="00FD5031"/>
    <w:rsid w:val="00FD518E"/>
    <w:rsid w:val="00FD5F18"/>
    <w:rsid w:val="00FE1E65"/>
    <w:rsid w:val="00FE5705"/>
    <w:rsid w:val="00FF5AA5"/>
    <w:rsid w:val="02717C9D"/>
    <w:rsid w:val="0C955D75"/>
    <w:rsid w:val="10FD0312"/>
    <w:rsid w:val="120E6874"/>
    <w:rsid w:val="170035C9"/>
    <w:rsid w:val="17C4240D"/>
    <w:rsid w:val="187C5904"/>
    <w:rsid w:val="270731DD"/>
    <w:rsid w:val="2D165EA2"/>
    <w:rsid w:val="357129F4"/>
    <w:rsid w:val="371050B8"/>
    <w:rsid w:val="45947F31"/>
    <w:rsid w:val="4DF1278B"/>
    <w:rsid w:val="51796255"/>
    <w:rsid w:val="5610762C"/>
    <w:rsid w:val="577719A0"/>
    <w:rsid w:val="57B65664"/>
    <w:rsid w:val="60087B46"/>
    <w:rsid w:val="629B4EDD"/>
    <w:rsid w:val="6C0B491D"/>
    <w:rsid w:val="70C64B79"/>
    <w:rsid w:val="769E3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Date"/>
    <w:basedOn w:val="1"/>
    <w:next w:val="1"/>
    <w:link w:val="18"/>
    <w:qFormat/>
    <w:uiPriority w:val="0"/>
    <w:pPr>
      <w:ind w:left="100" w:leftChars="2500"/>
    </w:p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日期 字符"/>
    <w:basedOn w:val="10"/>
    <w:link w:val="4"/>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6511</Words>
  <Characters>6971</Characters>
  <Lines>59</Lines>
  <Paragraphs>16</Paragraphs>
  <TotalTime>0</TotalTime>
  <ScaleCrop>false</ScaleCrop>
  <LinksUpToDate>false</LinksUpToDate>
  <CharactersWithSpaces>7005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2024-07-29T09:42:00Z</cp:lastPrinted>
  <dcterms:modified xsi:type="dcterms:W3CDTF">2024-11-20T01:15:05Z</dcterms:modified>
  <cp:revision>283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24F4634B02E54956AABA256E0A44FF0D_13</vt:lpwstr>
  </property>
</Properties>
</file>