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A4F0DA">
      <w:pPr>
        <w:spacing w:line="360" w:lineRule="auto"/>
        <w:jc w:val="center"/>
        <w:rPr>
          <w:rFonts w:ascii="Arial Narrow" w:hAnsi="Arial Narrow"/>
          <w:b/>
          <w:bCs/>
          <w:sz w:val="36"/>
          <w:szCs w:val="36"/>
        </w:rPr>
      </w:pPr>
    </w:p>
    <w:p w14:paraId="32E2E6A0">
      <w:pPr>
        <w:spacing w:line="360" w:lineRule="auto"/>
        <w:jc w:val="center"/>
        <w:rPr>
          <w:rFonts w:ascii="Arial Narrow" w:hAnsi="Arial Narrow"/>
          <w:b/>
          <w:bCs/>
          <w:sz w:val="36"/>
          <w:szCs w:val="36"/>
        </w:rPr>
      </w:pPr>
    </w:p>
    <w:p w14:paraId="7BE5084C">
      <w:pPr>
        <w:spacing w:line="360" w:lineRule="auto"/>
        <w:jc w:val="center"/>
        <w:rPr>
          <w:rFonts w:ascii="Arial Narrow" w:hAnsi="Arial Narrow"/>
          <w:b/>
          <w:bCs/>
          <w:sz w:val="36"/>
          <w:szCs w:val="36"/>
        </w:rPr>
      </w:pPr>
    </w:p>
    <w:p w14:paraId="19E441D3">
      <w:pPr>
        <w:spacing w:line="360" w:lineRule="auto"/>
        <w:jc w:val="center"/>
        <w:rPr>
          <w:rFonts w:ascii="Arial Narrow" w:hAnsi="Arial Narrow"/>
          <w:b/>
          <w:bCs/>
          <w:sz w:val="36"/>
          <w:szCs w:val="36"/>
        </w:rPr>
      </w:pPr>
    </w:p>
    <w:p w14:paraId="7601CC73">
      <w:pPr>
        <w:adjustRightInd w:val="0"/>
        <w:snapToGrid w:val="0"/>
        <w:spacing w:line="360" w:lineRule="auto"/>
        <w:jc w:val="center"/>
        <w:rPr>
          <w:rFonts w:ascii="Arial Narrow" w:hAnsi="Arial Narrow" w:eastAsia="仿宋"/>
          <w:b/>
          <w:sz w:val="36"/>
          <w:szCs w:val="36"/>
        </w:rPr>
      </w:pPr>
    </w:p>
    <w:p w14:paraId="3604B254">
      <w:pPr>
        <w:adjustRightInd w:val="0"/>
        <w:snapToGrid w:val="0"/>
        <w:spacing w:line="360" w:lineRule="auto"/>
        <w:jc w:val="center"/>
        <w:rPr>
          <w:rFonts w:ascii="Arial Narrow" w:hAnsi="Arial Narrow" w:eastAsia="仿宋"/>
          <w:b/>
          <w:sz w:val="36"/>
          <w:szCs w:val="36"/>
        </w:rPr>
      </w:pPr>
      <w:r>
        <w:rPr>
          <w:rFonts w:hint="eastAsia" w:ascii="Arial Narrow" w:hAnsi="Arial Narrow" w:eastAsia="仿宋"/>
          <w:b/>
          <w:sz w:val="36"/>
          <w:szCs w:val="36"/>
        </w:rPr>
        <w:t>重庆市铜梁区大庙镇三品村桑枝菌大棚建设项目</w:t>
      </w:r>
    </w:p>
    <w:p w14:paraId="0D64AF24">
      <w:pPr>
        <w:adjustRightInd w:val="0"/>
        <w:snapToGrid w:val="0"/>
        <w:spacing w:line="360" w:lineRule="auto"/>
        <w:jc w:val="center"/>
        <w:rPr>
          <w:rFonts w:ascii="Arial Narrow" w:hAnsi="Arial Narrow" w:eastAsia="仿宋"/>
          <w:b/>
          <w:sz w:val="36"/>
          <w:szCs w:val="36"/>
        </w:rPr>
      </w:pPr>
      <w:r>
        <w:rPr>
          <w:rFonts w:hint="eastAsia" w:ascii="Arial Narrow" w:hAnsi="Arial Narrow" w:eastAsia="仿宋"/>
          <w:b/>
          <w:sz w:val="36"/>
          <w:szCs w:val="36"/>
        </w:rPr>
        <w:t>等3个项目财政专项衔接资金</w:t>
      </w:r>
    </w:p>
    <w:p w14:paraId="5A0CB7AF">
      <w:pPr>
        <w:adjustRightInd w:val="0"/>
        <w:snapToGrid w:val="0"/>
        <w:spacing w:line="360" w:lineRule="auto"/>
        <w:jc w:val="center"/>
        <w:rPr>
          <w:rFonts w:ascii="Arial Narrow" w:hAnsi="Arial Narrow"/>
          <w:b/>
          <w:sz w:val="36"/>
          <w:szCs w:val="36"/>
        </w:rPr>
      </w:pPr>
    </w:p>
    <w:p w14:paraId="09859E00">
      <w:pPr>
        <w:adjustRightInd w:val="0"/>
        <w:snapToGrid w:val="0"/>
        <w:spacing w:line="360" w:lineRule="auto"/>
        <w:jc w:val="center"/>
        <w:rPr>
          <w:rFonts w:ascii="Arial Narrow" w:hAnsi="Arial Narrow"/>
          <w:b/>
          <w:spacing w:val="100"/>
          <w:sz w:val="32"/>
          <w:szCs w:val="32"/>
        </w:rPr>
      </w:pPr>
    </w:p>
    <w:p w14:paraId="7E9E5D93">
      <w:pPr>
        <w:adjustRightInd w:val="0"/>
        <w:snapToGrid w:val="0"/>
        <w:spacing w:line="360" w:lineRule="auto"/>
        <w:jc w:val="center"/>
        <w:rPr>
          <w:rFonts w:ascii="Arial Narrow" w:hAnsi="Arial Narrow"/>
          <w:b/>
          <w:spacing w:val="100"/>
          <w:sz w:val="32"/>
          <w:szCs w:val="32"/>
        </w:rPr>
      </w:pPr>
    </w:p>
    <w:p w14:paraId="6317906A">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804777"/>
      <w:bookmarkStart w:id="1" w:name="_Toc488637980"/>
      <w:r>
        <w:rPr>
          <w:rFonts w:ascii="Arial Narrow" w:hAnsi="Arial Narrow" w:eastAsia="仿宋"/>
          <w:b/>
          <w:w w:val="102"/>
          <w:sz w:val="44"/>
          <w:szCs w:val="44"/>
        </w:rPr>
        <w:t>报告</w:t>
      </w:r>
    </w:p>
    <w:p w14:paraId="5FF95C06">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0069</w:t>
      </w:r>
      <w:r>
        <w:rPr>
          <w:rFonts w:ascii="Arial Narrow" w:hAnsi="Arial Narrow" w:eastAsia="仿宋"/>
          <w:bCs/>
          <w:sz w:val="32"/>
          <w:szCs w:val="32"/>
        </w:rPr>
        <w:t>号</w:t>
      </w:r>
    </w:p>
    <w:p w14:paraId="5D129759">
      <w:pPr>
        <w:adjustRightInd w:val="0"/>
        <w:snapToGrid w:val="0"/>
        <w:spacing w:line="360" w:lineRule="auto"/>
        <w:jc w:val="center"/>
        <w:rPr>
          <w:rFonts w:ascii="Arial Narrow" w:hAnsi="Arial Narrow"/>
          <w:b/>
          <w:spacing w:val="100"/>
          <w:sz w:val="32"/>
          <w:szCs w:val="32"/>
        </w:rPr>
      </w:pPr>
    </w:p>
    <w:p w14:paraId="742B4E52">
      <w:pPr>
        <w:adjustRightInd w:val="0"/>
        <w:snapToGrid w:val="0"/>
        <w:spacing w:line="360" w:lineRule="auto"/>
        <w:jc w:val="center"/>
        <w:rPr>
          <w:rFonts w:ascii="Arial Narrow" w:hAnsi="Arial Narrow"/>
          <w:b/>
          <w:spacing w:val="100"/>
          <w:sz w:val="32"/>
          <w:szCs w:val="32"/>
        </w:rPr>
      </w:pPr>
    </w:p>
    <w:p w14:paraId="387D8365">
      <w:pPr>
        <w:adjustRightInd w:val="0"/>
        <w:snapToGrid w:val="0"/>
        <w:spacing w:line="360" w:lineRule="auto"/>
        <w:jc w:val="center"/>
        <w:rPr>
          <w:rFonts w:ascii="Arial Narrow" w:hAnsi="Arial Narrow"/>
          <w:b/>
          <w:spacing w:val="100"/>
          <w:sz w:val="32"/>
          <w:szCs w:val="32"/>
        </w:rPr>
      </w:pPr>
    </w:p>
    <w:p w14:paraId="0E06A350">
      <w:pPr>
        <w:adjustRightInd w:val="0"/>
        <w:snapToGrid w:val="0"/>
        <w:spacing w:line="360" w:lineRule="auto"/>
        <w:jc w:val="center"/>
        <w:rPr>
          <w:rFonts w:ascii="Arial Narrow" w:hAnsi="Arial Narrow"/>
          <w:b/>
          <w:spacing w:val="100"/>
          <w:sz w:val="32"/>
          <w:szCs w:val="32"/>
        </w:rPr>
      </w:pPr>
    </w:p>
    <w:p w14:paraId="6198FE45">
      <w:pPr>
        <w:adjustRightInd w:val="0"/>
        <w:snapToGrid w:val="0"/>
        <w:spacing w:line="360" w:lineRule="auto"/>
        <w:jc w:val="center"/>
        <w:rPr>
          <w:rFonts w:ascii="Arial Narrow" w:hAnsi="Arial Narrow"/>
          <w:b/>
          <w:spacing w:val="100"/>
          <w:sz w:val="32"/>
          <w:szCs w:val="32"/>
        </w:rPr>
      </w:pPr>
    </w:p>
    <w:p w14:paraId="0E953DCD">
      <w:pPr>
        <w:adjustRightInd w:val="0"/>
        <w:snapToGrid w:val="0"/>
        <w:spacing w:line="360" w:lineRule="auto"/>
        <w:jc w:val="center"/>
        <w:rPr>
          <w:rFonts w:ascii="Arial Narrow" w:hAnsi="Arial Narrow"/>
          <w:b/>
          <w:spacing w:val="100"/>
          <w:sz w:val="32"/>
          <w:szCs w:val="32"/>
        </w:rPr>
      </w:pPr>
    </w:p>
    <w:p w14:paraId="06AB9871">
      <w:pPr>
        <w:adjustRightInd w:val="0"/>
        <w:snapToGrid w:val="0"/>
        <w:spacing w:line="360" w:lineRule="auto"/>
        <w:jc w:val="center"/>
        <w:rPr>
          <w:rFonts w:ascii="Arial Narrow" w:hAnsi="Arial Narrow"/>
          <w:b/>
          <w:spacing w:val="100"/>
          <w:sz w:val="32"/>
          <w:szCs w:val="32"/>
        </w:rPr>
      </w:pPr>
    </w:p>
    <w:p w14:paraId="40F76199">
      <w:pPr>
        <w:spacing w:line="360" w:lineRule="auto"/>
        <w:jc w:val="center"/>
        <w:rPr>
          <w:rFonts w:ascii="Arial Narrow" w:hAnsi="Arial Narrow" w:eastAsia="仿宋"/>
          <w:sz w:val="32"/>
          <w:szCs w:val="32"/>
        </w:rPr>
      </w:pPr>
    </w:p>
    <w:p w14:paraId="14A8A217">
      <w:pPr>
        <w:spacing w:line="360" w:lineRule="auto"/>
        <w:jc w:val="center"/>
        <w:rPr>
          <w:rFonts w:ascii="Arial Narrow" w:hAnsi="Arial Narrow" w:eastAsia="仿宋"/>
          <w:sz w:val="32"/>
          <w:szCs w:val="32"/>
        </w:rPr>
      </w:pPr>
    </w:p>
    <w:p w14:paraId="158DB340">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w:t>
      </w:r>
      <w:r>
        <w:rPr>
          <w:rFonts w:hint="eastAsia" w:ascii="Arial Narrow" w:hAnsi="Arial Narrow" w:eastAsia="仿宋"/>
          <w:sz w:val="32"/>
          <w:szCs w:val="32"/>
        </w:rPr>
        <w:t>责任</w:t>
      </w:r>
      <w:r>
        <w:rPr>
          <w:rFonts w:ascii="Arial Narrow" w:hAnsi="Arial Narrow" w:eastAsia="仿宋"/>
          <w:sz w:val="32"/>
          <w:szCs w:val="32"/>
        </w:rPr>
        <w:t>公司</w:t>
      </w:r>
    </w:p>
    <w:p w14:paraId="74E5442A">
      <w:pPr>
        <w:spacing w:line="360" w:lineRule="auto"/>
        <w:jc w:val="center"/>
        <w:rPr>
          <w:rFonts w:ascii="Arial Narrow" w:hAnsi="Arial Narrow"/>
          <w:sz w:val="44"/>
          <w:szCs w:val="44"/>
        </w:rPr>
      </w:pPr>
      <w:r>
        <w:rPr>
          <w:rFonts w:hint="eastAsia" w:ascii="Arial Narrow" w:hAnsi="Arial Narrow" w:eastAsia="仿宋"/>
          <w:sz w:val="32"/>
          <w:szCs w:val="32"/>
          <w:lang w:eastAsia="zh-CN"/>
        </w:rPr>
        <w:t>二○二四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   录</w:t>
      </w:r>
    </w:p>
    <w:p w14:paraId="5326046B">
      <w:pPr>
        <w:spacing w:line="360" w:lineRule="auto"/>
        <w:jc w:val="center"/>
        <w:rPr>
          <w:rFonts w:ascii="Arial Narrow" w:hAnsi="Arial Narrow"/>
          <w:sz w:val="24"/>
        </w:rPr>
      </w:pPr>
    </w:p>
    <w:p w14:paraId="77611AC5">
      <w:pPr>
        <w:pStyle w:val="6"/>
        <w:rPr>
          <w:rFonts w:asciiTheme="minorHAnsi" w:hAnsiTheme="minorHAnsi" w:eastAsiaTheme="minorEastAsia" w:cstheme="minorBidi"/>
          <w:b w:val="0"/>
          <w:bCs w:val="0"/>
          <w:szCs w:val="22"/>
          <w14:ligatures w14:val="standardContextual"/>
        </w:rPr>
      </w:pPr>
      <w:r>
        <w:rPr>
          <w:rStyle w:val="10"/>
          <w:rFonts w:ascii="仿宋" w:hAnsi="仿宋" w:eastAsia="仿宋"/>
          <w:b w:val="0"/>
          <w:bCs w:val="0"/>
          <w:color w:val="auto"/>
          <w:szCs w:val="21"/>
          <w:u w:val="none"/>
        </w:rPr>
        <w:fldChar w:fldCharType="begin"/>
      </w:r>
      <w:r>
        <w:rPr>
          <w:rStyle w:val="10"/>
          <w:rFonts w:ascii="仿宋" w:hAnsi="仿宋" w:eastAsia="仿宋"/>
          <w:b w:val="0"/>
          <w:bCs w:val="0"/>
          <w:color w:val="auto"/>
          <w:szCs w:val="21"/>
          <w:u w:val="none"/>
        </w:rPr>
        <w:instrText xml:space="preserve"> TOC \o "1-3" \h \z \u </w:instrText>
      </w:r>
      <w:r>
        <w:rPr>
          <w:rStyle w:val="10"/>
          <w:rFonts w:ascii="仿宋" w:hAnsi="仿宋" w:eastAsia="仿宋"/>
          <w:b w:val="0"/>
          <w:bCs w:val="0"/>
          <w:color w:val="auto"/>
          <w:szCs w:val="21"/>
          <w:u w:val="none"/>
        </w:rPr>
        <w:fldChar w:fldCharType="separate"/>
      </w:r>
      <w:r>
        <w:fldChar w:fldCharType="begin"/>
      </w:r>
      <w:r>
        <w:instrText xml:space="preserve"> HYPERLINK \l "_Toc169624358" </w:instrText>
      </w:r>
      <w:r>
        <w:fldChar w:fldCharType="separate"/>
      </w:r>
      <w:r>
        <w:rPr>
          <w:rStyle w:val="10"/>
        </w:rPr>
        <w:t>一、基本情况</w:t>
      </w:r>
      <w:r>
        <w:tab/>
      </w:r>
      <w:r>
        <w:fldChar w:fldCharType="begin"/>
      </w:r>
      <w:r>
        <w:instrText xml:space="preserve"> PAGEREF _Toc169624358 \h </w:instrText>
      </w:r>
      <w:r>
        <w:fldChar w:fldCharType="separate"/>
      </w:r>
      <w:r>
        <w:t>1</w:t>
      </w:r>
      <w:r>
        <w:fldChar w:fldCharType="end"/>
      </w:r>
      <w:r>
        <w:fldChar w:fldCharType="end"/>
      </w:r>
    </w:p>
    <w:p w14:paraId="0746E1AC">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"_Toc169624359" </w:instrText>
      </w:r>
      <w:r>
        <w:fldChar w:fldCharType="separate"/>
      </w:r>
      <w:r>
        <w:rPr>
          <w:rStyle w:val="10"/>
          <w:rFonts w:eastAsia="仿宋" w:cs="宋体"/>
          <w:kern w:val="0"/>
        </w:rPr>
        <w:t>（一）项目情况</w:t>
      </w:r>
      <w:r>
        <w:tab/>
      </w:r>
      <w:r>
        <w:fldChar w:fldCharType="begin"/>
      </w:r>
      <w:r>
        <w:instrText xml:space="preserve"> PAGEREF _Toc169624359 \h </w:instrText>
      </w:r>
      <w:r>
        <w:fldChar w:fldCharType="separate"/>
      </w:r>
      <w:r>
        <w:t>1</w:t>
      </w:r>
      <w:r>
        <w:fldChar w:fldCharType="end"/>
      </w:r>
      <w:r>
        <w:fldChar w:fldCharType="end"/>
      </w:r>
    </w:p>
    <w:p w14:paraId="0270FBE0">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"_Toc169624360" </w:instrText>
      </w:r>
      <w:r>
        <w:fldChar w:fldCharType="separate"/>
      </w:r>
      <w:r>
        <w:rPr>
          <w:rStyle w:val="10"/>
        </w:rPr>
        <w:t>二、绩效评价工作情况</w:t>
      </w:r>
      <w:r>
        <w:tab/>
      </w:r>
      <w:r>
        <w:fldChar w:fldCharType="begin"/>
      </w:r>
      <w:r>
        <w:instrText xml:space="preserve"> PAGEREF _Toc169624360 \h </w:instrText>
      </w:r>
      <w:r>
        <w:fldChar w:fldCharType="separate"/>
      </w:r>
      <w:r>
        <w:t>2</w:t>
      </w:r>
      <w:r>
        <w:fldChar w:fldCharType="end"/>
      </w:r>
      <w:r>
        <w:fldChar w:fldCharType="end"/>
      </w:r>
    </w:p>
    <w:p w14:paraId="24425094">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"_Toc169624361" </w:instrText>
      </w:r>
      <w:r>
        <w:fldChar w:fldCharType="separate"/>
      </w:r>
      <w:r>
        <w:rPr>
          <w:rStyle w:val="10"/>
        </w:rPr>
        <w:t>（一）绩效评价目的</w:t>
      </w:r>
      <w:r>
        <w:tab/>
      </w:r>
      <w:r>
        <w:fldChar w:fldCharType="begin"/>
      </w:r>
      <w:r>
        <w:instrText xml:space="preserve"> PAGEREF _Toc169624361 \h </w:instrText>
      </w:r>
      <w:r>
        <w:fldChar w:fldCharType="separate"/>
      </w:r>
      <w:r>
        <w:t>2</w:t>
      </w:r>
      <w:r>
        <w:fldChar w:fldCharType="end"/>
      </w:r>
      <w:r>
        <w:fldChar w:fldCharType="end"/>
      </w:r>
    </w:p>
    <w:p w14:paraId="33907771">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"_Toc169624362" </w:instrText>
      </w:r>
      <w:r>
        <w:fldChar w:fldCharType="separate"/>
      </w:r>
      <w:r>
        <w:rPr>
          <w:rStyle w:val="10"/>
        </w:rPr>
        <w:t>（二）绩效评价的基本内容</w:t>
      </w:r>
      <w:r>
        <w:tab/>
      </w:r>
      <w:r>
        <w:fldChar w:fldCharType="begin"/>
      </w:r>
      <w:r>
        <w:instrText xml:space="preserve"> PAGEREF _Toc169624362 \h </w:instrText>
      </w:r>
      <w:r>
        <w:fldChar w:fldCharType="separate"/>
      </w:r>
      <w:r>
        <w:t>2</w:t>
      </w:r>
      <w:r>
        <w:fldChar w:fldCharType="end"/>
      </w:r>
      <w:r>
        <w:fldChar w:fldCharType="end"/>
      </w:r>
    </w:p>
    <w:p w14:paraId="6C4656A4">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"_Toc169624363" </w:instrText>
      </w:r>
      <w:r>
        <w:fldChar w:fldCharType="separate"/>
      </w:r>
      <w:r>
        <w:rPr>
          <w:rStyle w:val="10"/>
        </w:rPr>
        <w:t>（三）绩效评价依据</w:t>
      </w:r>
      <w:r>
        <w:tab/>
      </w:r>
      <w:r>
        <w:fldChar w:fldCharType="begin"/>
      </w:r>
      <w:r>
        <w:instrText xml:space="preserve"> PAGEREF _Toc169624363 \h </w:instrText>
      </w:r>
      <w:r>
        <w:fldChar w:fldCharType="separate"/>
      </w:r>
      <w:r>
        <w:t>2</w:t>
      </w:r>
      <w:r>
        <w:fldChar w:fldCharType="end"/>
      </w:r>
      <w:r>
        <w:fldChar w:fldCharType="end"/>
      </w:r>
    </w:p>
    <w:p w14:paraId="613C1C22">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"_Toc169624364" </w:instrText>
      </w:r>
      <w:r>
        <w:fldChar w:fldCharType="separate"/>
      </w:r>
      <w:r>
        <w:rPr>
          <w:rStyle w:val="10"/>
        </w:rPr>
        <w:t>（四）绩效评价原则和指标体系</w:t>
      </w:r>
      <w:r>
        <w:tab/>
      </w:r>
      <w:r>
        <w:fldChar w:fldCharType="begin"/>
      </w:r>
      <w:r>
        <w:instrText xml:space="preserve"> PAGEREF _Toc169624364 \h </w:instrText>
      </w:r>
      <w:r>
        <w:fldChar w:fldCharType="separate"/>
      </w:r>
      <w:r>
        <w:t>3</w:t>
      </w:r>
      <w:r>
        <w:fldChar w:fldCharType="end"/>
      </w:r>
      <w:r>
        <w:fldChar w:fldCharType="end"/>
      </w:r>
    </w:p>
    <w:p w14:paraId="6986EC46">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"_Toc169624365" </w:instrText>
      </w:r>
      <w:r>
        <w:fldChar w:fldCharType="separate"/>
      </w:r>
      <w:r>
        <w:rPr>
          <w:rStyle w:val="10"/>
        </w:rPr>
        <w:t>（五）绩效评价标准和评价方法</w:t>
      </w:r>
      <w:r>
        <w:tab/>
      </w:r>
      <w:r>
        <w:rPr>
          <w:rFonts w:hint="eastAsia"/>
        </w:rPr>
        <w:t>5</w:t>
      </w:r>
      <w:r>
        <w:rPr>
          <w:rFonts w:hint="eastAsia"/>
        </w:rPr>
        <w:fldChar w:fldCharType="end"/>
      </w:r>
    </w:p>
    <w:p w14:paraId="707F5548">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"_Toc169624366" </w:instrText>
      </w:r>
      <w:r>
        <w:fldChar w:fldCharType="separate"/>
      </w:r>
      <w:r>
        <w:rPr>
          <w:rStyle w:val="10"/>
        </w:rPr>
        <w:t>（六）绩效评价工作过程</w:t>
      </w:r>
      <w:r>
        <w:tab/>
      </w:r>
      <w:r>
        <w:rPr>
          <w:rFonts w:hint="eastAsia"/>
        </w:rPr>
        <w:t>6</w:t>
      </w:r>
      <w:r>
        <w:rPr>
          <w:rFonts w:hint="eastAsia"/>
        </w:rPr>
        <w:fldChar w:fldCharType="end"/>
      </w:r>
    </w:p>
    <w:p w14:paraId="52D686DD">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"_Toc169624367" </w:instrText>
      </w:r>
      <w:r>
        <w:fldChar w:fldCharType="separate"/>
      </w:r>
      <w:r>
        <w:rPr>
          <w:rStyle w:val="10"/>
        </w:rPr>
        <w:t>三、项目评价结论</w:t>
      </w:r>
      <w:r>
        <w:tab/>
      </w:r>
      <w:r>
        <w:rPr>
          <w:rFonts w:hint="eastAsia"/>
        </w:rPr>
        <w:t>6</w:t>
      </w:r>
      <w:r>
        <w:rPr>
          <w:rFonts w:hint="eastAsia"/>
        </w:rPr>
        <w:fldChar w:fldCharType="end"/>
      </w:r>
    </w:p>
    <w:p w14:paraId="1F9E8A74">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"_Toc169624368" </w:instrText>
      </w:r>
      <w:r>
        <w:fldChar w:fldCharType="separate"/>
      </w:r>
      <w:r>
        <w:rPr>
          <w:rStyle w:val="10"/>
        </w:rPr>
        <w:t>四、综合评价情况</w:t>
      </w:r>
      <w:r>
        <w:tab/>
      </w:r>
      <w:r>
        <w:rPr>
          <w:rFonts w:hint="eastAsia"/>
        </w:rPr>
        <w:t>6</w:t>
      </w:r>
      <w:r>
        <w:rPr>
          <w:rFonts w:hint="eastAsia"/>
        </w:rPr>
        <w:fldChar w:fldCharType="end"/>
      </w:r>
    </w:p>
    <w:p w14:paraId="3AC92C39">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"_Toc169624369" </w:instrText>
      </w:r>
      <w:r>
        <w:fldChar w:fldCharType="separate"/>
      </w:r>
      <w:r>
        <w:rPr>
          <w:rStyle w:val="10"/>
          <w:rFonts w:ascii="仿宋_GB2312"/>
        </w:rPr>
        <w:t>（一）资金管理</w:t>
      </w:r>
      <w:r>
        <w:tab/>
      </w:r>
      <w:r>
        <w:rPr>
          <w:rFonts w:hint="eastAsia"/>
        </w:rPr>
        <w:t>6</w:t>
      </w:r>
      <w:r>
        <w:rPr>
          <w:rFonts w:hint="eastAsia"/>
        </w:rPr>
        <w:fldChar w:fldCharType="end"/>
      </w:r>
    </w:p>
    <w:p w14:paraId="2CBADC9D">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"_Toc169624370" </w:instrText>
      </w:r>
      <w:r>
        <w:fldChar w:fldCharType="separate"/>
      </w:r>
      <w:r>
        <w:rPr>
          <w:rStyle w:val="10"/>
          <w:rFonts w:ascii="仿宋_GB2312"/>
        </w:rPr>
        <w:t>（二）项目管理</w:t>
      </w:r>
      <w:r>
        <w:tab/>
      </w:r>
      <w:r>
        <w:rPr>
          <w:rFonts w:hint="eastAsia"/>
        </w:rPr>
        <w:t>6</w:t>
      </w:r>
      <w:r>
        <w:rPr>
          <w:rFonts w:hint="eastAsia"/>
        </w:rPr>
        <w:fldChar w:fldCharType="end"/>
      </w:r>
    </w:p>
    <w:p w14:paraId="545EB519">
      <w:pPr>
        <w:pStyle w:val="6"/>
      </w:pPr>
      <w:r>
        <w:fldChar w:fldCharType="begin"/>
      </w:r>
      <w:r>
        <w:instrText xml:space="preserve"> HYPERLINK \l "_Toc169624371" </w:instrText>
      </w:r>
      <w:r>
        <w:fldChar w:fldCharType="separate"/>
      </w:r>
      <w:r>
        <w:rPr>
          <w:rStyle w:val="10"/>
          <w:rFonts w:ascii="仿宋_GB2312"/>
        </w:rPr>
        <w:t>（三）</w:t>
      </w:r>
      <w:r>
        <w:rPr>
          <w:rStyle w:val="10"/>
          <w:rFonts w:hint="eastAsia" w:ascii="仿宋_GB2312"/>
        </w:rPr>
        <w:t>使用成效及通报情况</w:t>
      </w:r>
      <w:r>
        <w:tab/>
      </w:r>
      <w:r>
        <w:rPr>
          <w:rFonts w:hint="eastAsia"/>
        </w:rPr>
        <w:t>7</w:t>
      </w:r>
      <w:r>
        <w:rPr>
          <w:rFonts w:hint="eastAsia"/>
        </w:rPr>
        <w:fldChar w:fldCharType="end"/>
      </w:r>
    </w:p>
    <w:p w14:paraId="2DE2E9A9">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"_Toc169624368" </w:instrText>
      </w:r>
      <w:r>
        <w:fldChar w:fldCharType="separate"/>
      </w:r>
      <w:r>
        <w:rPr>
          <w:rStyle w:val="10"/>
          <w:rFonts w:hint="eastAsia"/>
        </w:rPr>
        <w:t>五</w:t>
      </w:r>
      <w:r>
        <w:rPr>
          <w:rStyle w:val="10"/>
        </w:rPr>
        <w:t>、</w:t>
      </w:r>
      <w:r>
        <w:rPr>
          <w:rStyle w:val="10"/>
          <w:rFonts w:hint="eastAsia"/>
        </w:rPr>
        <w:t>存在的问题及建议</w:t>
      </w:r>
      <w:r>
        <w:tab/>
      </w:r>
      <w:r>
        <w:rPr>
          <w:rFonts w:hint="eastAsia"/>
        </w:rPr>
        <w:t>7</w:t>
      </w:r>
      <w:r>
        <w:rPr>
          <w:rFonts w:hint="eastAsia"/>
        </w:rPr>
        <w:fldChar w:fldCharType="end"/>
      </w:r>
    </w:p>
    <w:p w14:paraId="3B4E0A6C">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"_Toc169624372" </w:instrText>
      </w:r>
      <w:r>
        <w:fldChar w:fldCharType="separate"/>
      </w:r>
      <w:r>
        <w:rPr>
          <w:rStyle w:val="10"/>
          <w:rFonts w:ascii="仿宋_GB2312"/>
        </w:rPr>
        <w:t>（一）存在问题</w:t>
      </w:r>
      <w:r>
        <w:tab/>
      </w:r>
      <w:r>
        <w:rPr>
          <w:rFonts w:hint="eastAsia"/>
        </w:rPr>
        <w:t>7</w:t>
      </w:r>
      <w:r>
        <w:rPr>
          <w:rFonts w:hint="eastAsia"/>
        </w:rPr>
        <w:fldChar w:fldCharType="end"/>
      </w:r>
    </w:p>
    <w:p w14:paraId="23834401">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"_Toc169624373" </w:instrText>
      </w:r>
      <w:r>
        <w:fldChar w:fldCharType="separate"/>
      </w:r>
      <w:r>
        <w:rPr>
          <w:rStyle w:val="10"/>
          <w:rFonts w:ascii="仿宋_GB2312"/>
        </w:rPr>
        <w:t>（二）建议</w:t>
      </w:r>
      <w:r>
        <w:tab/>
      </w:r>
      <w:r>
        <w:rPr>
          <w:rFonts w:hint="eastAsia"/>
        </w:rPr>
        <w:t>7</w:t>
      </w:r>
      <w:r>
        <w:rPr>
          <w:rFonts w:hint="eastAsia"/>
        </w:rPr>
        <w:fldChar w:fldCharType="end"/>
      </w:r>
    </w:p>
    <w:p w14:paraId="4771F1B3">
      <w:pPr>
        <w:pStyle w:val="12"/>
        <w:spacing w:line="460" w:lineRule="exact"/>
        <w:rPr>
          <w:rFonts w:ascii="Arial Narrow" w:hAnsi="Arial Narrow" w:eastAsia="仿宋_GB2312"/>
          <w:bCs/>
          <w:w w:val="80"/>
        </w:rPr>
        <w:sectPr>
          <w:footerReference r:id="rId6" w:type="first"/>
          <w:footerReference r:id="rId4" w:type="default"/>
          <w:headerReference r:id="rId3" w:type="even"/>
          <w:footerReference r:id="rId5" w:type="even"/>
          <w:pgSz w:w="11907" w:h="16840"/>
          <w:pgMar w:top="1418" w:right="1418" w:bottom="1134" w:left="1701" w:header="851" w:footer="851" w:gutter="0"/>
          <w:pgNumType w:start="1"/>
          <w:cols w:space="425" w:num="1"/>
          <w:docGrid w:linePitch="312" w:charSpace="0"/>
        </w:sectPr>
      </w:pPr>
      <w:r>
        <w:rPr>
          <w:rStyle w:val="10"/>
          <w:color w:val="auto"/>
          <w:sz w:val="21"/>
          <w:szCs w:val="21"/>
          <w:u w:val="none"/>
        </w:rPr>
        <w:fldChar w:fldCharType="end"/>
      </w:r>
    </w:p>
    <w:p w14:paraId="61BDD01B">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77FDA512">
      <w:pPr>
        <w:widowControl/>
        <w:spacing w:line="360" w:lineRule="auto"/>
        <w:ind w:right="-2"/>
        <w:jc w:val="distribute"/>
        <w:rPr>
          <w:rFonts w:hint="eastAsia"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07EA8B80">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0069号</w:t>
      </w:r>
    </w:p>
    <w:p w14:paraId="41F53B90">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6BFE570F">
      <w:pPr>
        <w:adjustRightInd w:val="0"/>
        <w:snapToGrid w:val="0"/>
        <w:spacing w:line="360" w:lineRule="auto"/>
        <w:jc w:val="center"/>
        <w:rPr>
          <w:rStyle w:val="10"/>
          <w:rFonts w:ascii="Arial Narrow" w:hAnsi="Arial Narrow" w:eastAsia="仿宋_GB2312"/>
          <w:b/>
          <w:color w:val="auto"/>
          <w:sz w:val="36"/>
          <w:szCs w:val="36"/>
          <w:u w:val="none"/>
        </w:rPr>
      </w:pPr>
      <w:r>
        <w:rPr>
          <w:rStyle w:val="10"/>
          <w:rFonts w:hint="eastAsia" w:ascii="Arial Narrow" w:hAnsi="Arial Narrow" w:eastAsia="仿宋_GB2312"/>
          <w:b/>
          <w:color w:val="auto"/>
          <w:sz w:val="36"/>
          <w:szCs w:val="36"/>
          <w:u w:val="none"/>
        </w:rPr>
        <w:t>重庆市铜梁区大庙镇三品村桑枝菌大棚建设项目</w:t>
      </w:r>
    </w:p>
    <w:p w14:paraId="4EC6EF60">
      <w:pPr>
        <w:adjustRightInd w:val="0"/>
        <w:snapToGrid w:val="0"/>
        <w:spacing w:line="360" w:lineRule="auto"/>
        <w:jc w:val="center"/>
        <w:rPr>
          <w:rFonts w:ascii="Arial Narrow" w:hAnsi="Arial Narrow" w:eastAsia="仿宋_GB2312"/>
          <w:b/>
          <w:sz w:val="36"/>
          <w:szCs w:val="36"/>
        </w:rPr>
      </w:pPr>
      <w:r>
        <w:rPr>
          <w:rStyle w:val="10"/>
          <w:rFonts w:hint="eastAsia" w:ascii="Arial Narrow" w:hAnsi="Arial Narrow" w:eastAsia="仿宋_GB2312"/>
          <w:b/>
          <w:color w:val="auto"/>
          <w:sz w:val="36"/>
          <w:szCs w:val="36"/>
          <w:u w:val="none"/>
        </w:rPr>
        <w:t>等3个项目</w:t>
      </w:r>
      <w:r>
        <w:rPr>
          <w:rFonts w:hint="eastAsia" w:ascii="仿宋_GB2312" w:eastAsia="仿宋_GB2312"/>
          <w:b/>
          <w:sz w:val="36"/>
          <w:szCs w:val="36"/>
        </w:rPr>
        <w:t>绩效评价报告</w:t>
      </w:r>
    </w:p>
    <w:p w14:paraId="0FE2EBD6">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为深入贯彻落实党的十九大“全面实施绩效管理”决策部署，进一步提高政府投入资金的使用效益，促进公共服务资源的优化配置，根据《中华人民共和国预算法》、《项目支出绩效评价管理办法》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rPr>
        <w:t>财政局</w:t>
      </w:r>
      <w:r>
        <w:rPr>
          <w:rFonts w:ascii="Arial Narrow" w:hAnsi="Arial Narrow" w:eastAsia="仿宋_GB2312"/>
          <w:color w:val="auto"/>
        </w:rPr>
        <w:t>”）的委托，我们对</w:t>
      </w:r>
      <w:r>
        <w:rPr>
          <w:rFonts w:hint="eastAsia" w:ascii="Arial Narrow" w:hAnsi="Arial Narrow" w:eastAsia="仿宋_GB2312"/>
          <w:color w:val="auto"/>
        </w:rPr>
        <w:t>重庆市铜梁区大庙镇（</w:t>
      </w:r>
      <w:r>
        <w:rPr>
          <w:rFonts w:ascii="Arial Narrow" w:hAnsi="Arial Narrow" w:eastAsia="仿宋_GB2312"/>
          <w:color w:val="auto"/>
        </w:rPr>
        <w:t>以下简称“</w:t>
      </w:r>
      <w:r>
        <w:rPr>
          <w:rFonts w:hint="eastAsia" w:ascii="Arial Narrow" w:hAnsi="Arial Narrow" w:eastAsia="仿宋_GB2312"/>
          <w:color w:val="auto"/>
        </w:rPr>
        <w:t>大庙镇</w:t>
      </w:r>
      <w:r>
        <w:rPr>
          <w:rFonts w:ascii="Arial Narrow" w:hAnsi="Arial Narrow" w:eastAsia="仿宋_GB2312"/>
          <w:color w:val="auto"/>
        </w:rPr>
        <w:t>”</w:t>
      </w:r>
      <w:r>
        <w:rPr>
          <w:rFonts w:hint="eastAsia" w:ascii="Arial Narrow" w:hAnsi="Arial Narrow" w:eastAsia="仿宋_GB2312"/>
          <w:color w:val="auto"/>
        </w:rPr>
        <w:t>）三品村桑枝菌大棚建设项目等3个项目</w:t>
      </w:r>
      <w:r>
        <w:rPr>
          <w:rFonts w:ascii="Arial Narrow" w:hAnsi="Arial Narrow" w:eastAsia="仿宋_GB2312"/>
          <w:color w:val="auto"/>
        </w:rPr>
        <w:t>进行绩效评价，现将评价情况报告如下：</w:t>
      </w:r>
    </w:p>
    <w:p w14:paraId="3B300851">
      <w:pPr>
        <w:spacing w:before="240" w:beforeLines="100" w:line="360" w:lineRule="auto"/>
        <w:ind w:firstLine="482" w:firstLineChars="200"/>
        <w:jc w:val="left"/>
        <w:outlineLvl w:val="0"/>
        <w:rPr>
          <w:rFonts w:ascii="Arial Narrow" w:hAnsi="Arial Narrow" w:eastAsia="仿宋_GB2312"/>
          <w:b/>
          <w:sz w:val="24"/>
        </w:rPr>
      </w:pPr>
      <w:bookmarkStart w:id="3" w:name="_Toc169624358"/>
      <w:r>
        <w:rPr>
          <w:rFonts w:ascii="Arial Narrow" w:hAnsi="Arial Narrow" w:eastAsia="仿宋_GB2312"/>
          <w:b/>
          <w:sz w:val="24"/>
        </w:rPr>
        <w:t>一、基本情况</w:t>
      </w:r>
      <w:bookmarkEnd w:id="3"/>
    </w:p>
    <w:p w14:paraId="7BD4C807">
      <w:pPr>
        <w:spacing w:before="120" w:beforeLines="50" w:line="360" w:lineRule="auto"/>
        <w:ind w:firstLine="482" w:firstLineChars="200"/>
        <w:jc w:val="left"/>
        <w:outlineLvl w:val="0"/>
        <w:rPr>
          <w:rFonts w:ascii="Arial Narrow" w:hAnsi="Arial Narrow" w:eastAsia="仿宋" w:cs="宋体"/>
          <w:b/>
          <w:bCs/>
          <w:kern w:val="0"/>
          <w:sz w:val="24"/>
        </w:rPr>
      </w:pPr>
      <w:bookmarkStart w:id="4" w:name="_Toc169624359"/>
      <w:r>
        <w:rPr>
          <w:rFonts w:hint="eastAsia" w:ascii="Arial Narrow" w:hAnsi="Arial Narrow" w:eastAsia="仿宋" w:cs="宋体"/>
          <w:b/>
          <w:bCs/>
          <w:kern w:val="0"/>
          <w:sz w:val="24"/>
        </w:rPr>
        <w:t>（一）项目情况</w:t>
      </w:r>
      <w:bookmarkEnd w:id="4"/>
    </w:p>
    <w:p w14:paraId="01F36B8E">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1.三品村桑枝菌大棚建设项目</w:t>
      </w:r>
    </w:p>
    <w:p w14:paraId="46987AAC">
      <w:pPr>
        <w:spacing w:line="360" w:lineRule="auto"/>
        <w:ind w:firstLine="480" w:firstLineChars="200"/>
        <w:rPr>
          <w:rFonts w:ascii="Arial Narrow" w:hAnsi="Arial Narrow" w:eastAsia="仿宋_GB2312" w:cs="宋体"/>
          <w:kern w:val="0"/>
          <w:sz w:val="32"/>
          <w:szCs w:val="32"/>
        </w:rPr>
      </w:pPr>
      <w:r>
        <w:rPr>
          <w:rFonts w:hint="eastAsia" w:ascii="Arial Narrow" w:hAnsi="Arial Narrow" w:eastAsia="仿宋_GB2312" w:cs="宋体"/>
          <w:kern w:val="0"/>
          <w:sz w:val="24"/>
        </w:rPr>
        <w:t>实施单位：</w:t>
      </w:r>
      <w:r>
        <w:rPr>
          <w:rFonts w:hint="eastAsia" w:ascii="Arial Narrow" w:hAnsi="Arial Narrow" w:eastAsia="仿宋_GB2312"/>
          <w:sz w:val="24"/>
          <w:szCs w:val="32"/>
        </w:rPr>
        <w:t>铜梁区大庙镇三品村股份经济合作联合社</w:t>
      </w:r>
      <w:r>
        <w:rPr>
          <w:rFonts w:ascii="Arial Narrow" w:hAnsi="Arial Narrow" w:eastAsia="仿宋_GB2312" w:cs="宋体"/>
          <w:kern w:val="0"/>
          <w:sz w:val="32"/>
          <w:szCs w:val="32"/>
        </w:rPr>
        <w:t xml:space="preserve"> </w:t>
      </w:r>
    </w:p>
    <w:p w14:paraId="28276777">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项目内容：新建长40米，宽35米，高9米得桑枝菌大棚一个；面积约1400平方米，包括土石方工程、独立基础、地圈梁、现浇钢筋、实心砖墙、钢管柱、钢桁架、墙面板、屋面板、门窗安装等。</w:t>
      </w:r>
    </w:p>
    <w:p w14:paraId="05100CF9">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项目资金安排情况：该项目2023年计划投入100.00万元，申请专项衔接资金100.00万元。</w:t>
      </w:r>
    </w:p>
    <w:p w14:paraId="1350F371">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2.石兴村养殖基地升级改造项目</w:t>
      </w:r>
    </w:p>
    <w:p w14:paraId="2F7DC3B7">
      <w:pPr>
        <w:spacing w:line="360" w:lineRule="auto"/>
        <w:ind w:firstLine="480" w:firstLineChars="200"/>
        <w:rPr>
          <w:rFonts w:ascii="Arial Narrow" w:hAnsi="Arial Narrow" w:eastAsia="仿宋_GB2312" w:cs="宋体"/>
          <w:kern w:val="0"/>
          <w:sz w:val="32"/>
          <w:szCs w:val="32"/>
        </w:rPr>
      </w:pPr>
      <w:r>
        <w:rPr>
          <w:rFonts w:hint="eastAsia" w:ascii="Arial Narrow" w:hAnsi="Arial Narrow" w:eastAsia="仿宋_GB2312" w:cs="宋体"/>
          <w:kern w:val="0"/>
          <w:sz w:val="24"/>
        </w:rPr>
        <w:t>实施单位：</w:t>
      </w:r>
      <w:r>
        <w:rPr>
          <w:rFonts w:hint="eastAsia" w:ascii="Arial Narrow" w:hAnsi="Arial Narrow" w:eastAsia="仿宋_GB2312"/>
          <w:sz w:val="24"/>
          <w:szCs w:val="32"/>
        </w:rPr>
        <w:t>铜梁区大庙镇石兴村股份经济合作联合社</w:t>
      </w:r>
    </w:p>
    <w:p w14:paraId="38A9B4B7">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项目内容：安装风机16个；料塔1个；料线250米；料巢40个；驱动主机1台；水帘70</w:t>
      </w:r>
      <w:r>
        <w:rPr>
          <w:rFonts w:hint="eastAsia" w:ascii="Segoe UI Symbol" w:hAnsi="Segoe UI Symbol" w:eastAsia="仿宋_GB2312" w:cs="Segoe UI Symbol"/>
          <w:kern w:val="0"/>
          <w:sz w:val="24"/>
        </w:rPr>
        <w:t>㎡；380V温控箱2台；2.2Kv污水泵3台；1.1Kv水泵10台；饮水器带加药器1套；3*2.5m㎡设备配套电线700m；4*4m㎡设备配套电线700m；地磅1台；土石方21m³（挖方和弃方）；设备基础“c30”9m³；钢筋0.4吨。</w:t>
      </w:r>
    </w:p>
    <w:p w14:paraId="0E4DD7CA">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项目资金安排情况：该项目2023年计划投入40.75万元，申请专项衔接资金40.00万元，自筹资金0.75万元。</w:t>
      </w:r>
    </w:p>
    <w:p w14:paraId="745CE6EB">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3.双马村葡萄基地改造项目</w:t>
      </w:r>
    </w:p>
    <w:p w14:paraId="692F183E">
      <w:pPr>
        <w:spacing w:line="360" w:lineRule="auto"/>
        <w:ind w:firstLine="480" w:firstLineChars="200"/>
        <w:rPr>
          <w:rFonts w:ascii="Arial Narrow" w:hAnsi="Arial Narrow" w:eastAsia="仿宋_GB2312"/>
          <w:sz w:val="24"/>
          <w:szCs w:val="32"/>
        </w:rPr>
      </w:pPr>
      <w:r>
        <w:rPr>
          <w:rFonts w:hint="eastAsia" w:ascii="Arial Narrow" w:hAnsi="Arial Narrow" w:eastAsia="仿宋_GB2312" w:cs="宋体"/>
          <w:kern w:val="0"/>
          <w:sz w:val="24"/>
        </w:rPr>
        <w:t>实施单位：</w:t>
      </w:r>
      <w:r>
        <w:rPr>
          <w:rFonts w:hint="eastAsia" w:ascii="Arial Narrow" w:hAnsi="Arial Narrow" w:eastAsia="仿宋_GB2312"/>
          <w:sz w:val="24"/>
          <w:szCs w:val="32"/>
        </w:rPr>
        <w:t>铜梁区大庙镇双马村股份经济合作联合社</w:t>
      </w:r>
    </w:p>
    <w:p w14:paraId="0A3F2913">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项目内容：新建钢管大棚2个，总面积3763</w:t>
      </w:r>
      <w:r>
        <w:rPr>
          <w:rFonts w:hint="eastAsia" w:ascii="Segoe UI Symbol" w:hAnsi="Segoe UI Symbol" w:eastAsia="仿宋_GB2312" w:cs="Segoe UI Symbol"/>
          <w:kern w:val="0"/>
          <w:sz w:val="24"/>
        </w:rPr>
        <w:t>平米，屋结构膜面采用15丝PEP透明膜，屋架采用Q235级钢。其中左侧大棚长137米，宽5.2米，高4.6米；上侧大棚长67.5米，宽44米，高5.1米。</w:t>
      </w:r>
    </w:p>
    <w:p w14:paraId="41B23DD9">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项目资金安排情况：该项目2023年计划投入56.20万元，申请专项衔接资金50.00万元，村级自筹6.20万元。</w:t>
      </w:r>
    </w:p>
    <w:p w14:paraId="59F6D508">
      <w:pPr>
        <w:spacing w:line="360" w:lineRule="auto"/>
        <w:ind w:firstLine="482" w:firstLineChars="200"/>
        <w:jc w:val="left"/>
        <w:outlineLvl w:val="0"/>
        <w:rPr>
          <w:rFonts w:ascii="Arial Narrow" w:hAnsi="Arial Narrow" w:eastAsia="仿宋_GB2312"/>
          <w:b/>
          <w:sz w:val="24"/>
        </w:rPr>
      </w:pPr>
      <w:bookmarkStart w:id="5" w:name="_Toc169624360"/>
      <w:r>
        <w:rPr>
          <w:rFonts w:ascii="Arial Narrow" w:hAnsi="Arial Narrow" w:eastAsia="仿宋_GB2312"/>
          <w:b/>
          <w:sz w:val="24"/>
        </w:rPr>
        <w:t>二、绩效评价工作情况</w:t>
      </w:r>
      <w:bookmarkEnd w:id="5"/>
    </w:p>
    <w:p w14:paraId="51082357">
      <w:pPr>
        <w:spacing w:line="360" w:lineRule="auto"/>
        <w:ind w:firstLine="482" w:firstLineChars="200"/>
        <w:jc w:val="left"/>
        <w:outlineLvl w:val="0"/>
        <w:rPr>
          <w:rFonts w:ascii="Arial Narrow" w:hAnsi="Arial Narrow" w:eastAsia="仿宋_GB2312"/>
          <w:b/>
          <w:sz w:val="24"/>
        </w:rPr>
      </w:pPr>
      <w:bookmarkStart w:id="6" w:name="_Toc513775099"/>
      <w:bookmarkStart w:id="7" w:name="_Toc169624361"/>
      <w:r>
        <w:rPr>
          <w:rFonts w:ascii="Arial Narrow" w:hAnsi="Arial Narrow" w:eastAsia="仿宋_GB2312"/>
          <w:b/>
          <w:sz w:val="24"/>
        </w:rPr>
        <w:t>（一）绩效评价目的</w:t>
      </w:r>
      <w:bookmarkEnd w:id="6"/>
      <w:bookmarkEnd w:id="7"/>
    </w:p>
    <w:p w14:paraId="37C6F4C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3FB07531">
      <w:pPr>
        <w:spacing w:line="360" w:lineRule="auto"/>
        <w:ind w:firstLine="482" w:firstLineChars="200"/>
        <w:jc w:val="left"/>
        <w:outlineLvl w:val="0"/>
        <w:rPr>
          <w:rFonts w:ascii="Arial Narrow" w:hAnsi="Arial Narrow" w:eastAsia="仿宋_GB2312"/>
          <w:b/>
          <w:sz w:val="24"/>
        </w:rPr>
      </w:pPr>
      <w:bookmarkStart w:id="8" w:name="_Toc169624362"/>
      <w:bookmarkStart w:id="9"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8"/>
    </w:p>
    <w:p w14:paraId="6D06A579">
      <w:pPr>
        <w:pStyle w:val="13"/>
        <w:spacing w:line="360" w:lineRule="auto"/>
        <w:ind w:firstLine="480" w:firstLineChars="200"/>
        <w:rPr>
          <w:rFonts w:ascii="Arial Narrow" w:hAnsi="Arial Narrow" w:eastAsia="仿宋_GB2312"/>
          <w:color w:val="auto"/>
        </w:rPr>
      </w:pPr>
      <w:bookmarkStart w:id="10" w:name="_Toc166332968"/>
      <w:r>
        <w:rPr>
          <w:rFonts w:hint="eastAsia" w:ascii="Arial Narrow" w:hAnsi="Arial Narrow" w:eastAsia="仿宋_GB2312"/>
          <w:color w:val="auto"/>
        </w:rPr>
        <w:t>1.绩效目标的设定情况；</w:t>
      </w:r>
    </w:p>
    <w:p w14:paraId="61AB379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2.资金投入和使用情况；</w:t>
      </w:r>
    </w:p>
    <w:p w14:paraId="1E9F22E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3.为实现绩效目标制定的制度、采取的措施等；</w:t>
      </w:r>
    </w:p>
    <w:p w14:paraId="06F2F67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4.绩效目标的实现程度及效果；</w:t>
      </w:r>
    </w:p>
    <w:p w14:paraId="468348F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5.根据实际情况需要评价的其他内容。</w:t>
      </w:r>
    </w:p>
    <w:p w14:paraId="01746C01">
      <w:pPr>
        <w:spacing w:line="360" w:lineRule="auto"/>
        <w:ind w:firstLine="482" w:firstLineChars="200"/>
        <w:jc w:val="left"/>
        <w:outlineLvl w:val="0"/>
        <w:rPr>
          <w:rFonts w:ascii="Arial Narrow" w:hAnsi="Arial Narrow" w:eastAsia="仿宋_GB2312"/>
          <w:b/>
          <w:sz w:val="24"/>
        </w:rPr>
      </w:pPr>
      <w:bookmarkStart w:id="11" w:name="_Toc169624363"/>
      <w:r>
        <w:rPr>
          <w:rFonts w:ascii="Arial Narrow" w:hAnsi="Arial Narrow" w:eastAsia="仿宋_GB2312"/>
          <w:b/>
          <w:sz w:val="24"/>
        </w:rPr>
        <w:t>（三）绩效评价依据</w:t>
      </w:r>
      <w:bookmarkEnd w:id="9"/>
      <w:bookmarkEnd w:id="10"/>
      <w:bookmarkEnd w:id="11"/>
      <w:bookmarkStart w:id="12" w:name="_Toc335040595"/>
    </w:p>
    <w:bookmarkEnd w:id="12"/>
    <w:p w14:paraId="65F02D7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3DDFBD8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 2023年度项目财政重点绩效评价的通知》（铜财〔2024〕237号）；</w:t>
      </w:r>
    </w:p>
    <w:p w14:paraId="4D12AE1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3.《重庆市财政衔接推进乡村振兴补助资金绩效评价及考核办法》（渝财农〔2022〕2号)</w:t>
      </w:r>
      <w:r>
        <w:rPr>
          <w:rFonts w:ascii="Arial Narrow" w:hAnsi="Arial Narrow" w:eastAsia="仿宋_GB2312"/>
          <w:color w:val="auto"/>
        </w:rPr>
        <w:t xml:space="preserve"> </w:t>
      </w:r>
      <w:r>
        <w:rPr>
          <w:rFonts w:hint="eastAsia" w:ascii="Arial Narrow" w:hAnsi="Arial Narrow" w:eastAsia="仿宋_GB2312"/>
          <w:color w:val="auto"/>
        </w:rPr>
        <w:t>；</w:t>
      </w:r>
    </w:p>
    <w:p w14:paraId="125DCFB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4.《铜梁区区级政策和项目预算绩效管理办法(试行)》（铜财〔2022〕41号）；</w:t>
      </w:r>
    </w:p>
    <w:p w14:paraId="011ACAA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1077116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232C90B5">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68BC4353">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r>
        <w:rPr>
          <w:rFonts w:hint="eastAsia" w:ascii="Arial Narrow" w:hAnsi="Arial Narrow" w:eastAsia="仿宋_GB2312"/>
          <w:color w:val="auto"/>
        </w:rPr>
        <w:t>；</w:t>
      </w:r>
    </w:p>
    <w:p w14:paraId="49F227C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r>
        <w:rPr>
          <w:rFonts w:hint="eastAsia" w:ascii="Arial Narrow" w:hAnsi="Arial Narrow" w:eastAsia="仿宋_GB2312"/>
          <w:color w:val="auto"/>
        </w:rPr>
        <w:t>；</w:t>
      </w:r>
    </w:p>
    <w:p w14:paraId="0DE033E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3" w:name="_Hlk162597612"/>
      <w:r>
        <w:rPr>
          <w:rFonts w:hint="eastAsia" w:ascii="Arial Narrow" w:hAnsi="Arial Narrow" w:eastAsia="仿宋_GB2312"/>
          <w:color w:val="auto"/>
        </w:rPr>
        <w:t>〔2016〕</w:t>
      </w:r>
      <w:bookmarkEnd w:id="13"/>
      <w:r>
        <w:rPr>
          <w:rFonts w:ascii="Arial Narrow" w:hAnsi="Arial Narrow" w:eastAsia="仿宋_GB2312"/>
          <w:color w:val="auto"/>
        </w:rPr>
        <w:t>10号）</w:t>
      </w:r>
      <w:r>
        <w:rPr>
          <w:rFonts w:hint="eastAsia" w:ascii="Arial Narrow" w:hAnsi="Arial Narrow" w:eastAsia="仿宋_GB2312"/>
          <w:color w:val="auto"/>
        </w:rPr>
        <w:t>；</w:t>
      </w:r>
    </w:p>
    <w:p w14:paraId="45031A59">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r>
        <w:rPr>
          <w:rFonts w:hint="eastAsia" w:ascii="Arial Narrow" w:hAnsi="Arial Narrow" w:eastAsia="仿宋_GB2312"/>
          <w:color w:val="auto"/>
        </w:rPr>
        <w:t>。</w:t>
      </w:r>
    </w:p>
    <w:p w14:paraId="2DEC1765">
      <w:pPr>
        <w:spacing w:line="360" w:lineRule="auto"/>
        <w:ind w:firstLine="482" w:firstLineChars="200"/>
        <w:jc w:val="left"/>
        <w:outlineLvl w:val="0"/>
        <w:rPr>
          <w:rFonts w:ascii="Arial Narrow" w:hAnsi="Arial Narrow" w:eastAsia="仿宋_GB2312"/>
          <w:b/>
          <w:sz w:val="24"/>
        </w:rPr>
      </w:pPr>
      <w:bookmarkStart w:id="14" w:name="_Toc169624364"/>
      <w:r>
        <w:rPr>
          <w:rFonts w:ascii="Arial Narrow" w:hAnsi="Arial Narrow" w:eastAsia="仿宋_GB2312"/>
          <w:b/>
          <w:sz w:val="24"/>
        </w:rPr>
        <w:t>（四）绩效评价原则和指标体系</w:t>
      </w:r>
      <w:bookmarkEnd w:id="14"/>
    </w:p>
    <w:p w14:paraId="16D2455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35C4AF2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ascii="Arial Narrow" w:hAnsi="Arial Narrow" w:eastAsia="仿宋_GB2312"/>
          <w:color w:val="auto"/>
        </w:rPr>
        <w:t>相关性原则。应当与绩效目标有直接的联系，能够恰当反映目标的实现程度。</w:t>
      </w:r>
    </w:p>
    <w:p w14:paraId="5534C17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ascii="Arial Narrow" w:hAnsi="Arial Narrow" w:eastAsia="仿宋_GB2312"/>
          <w:color w:val="auto"/>
        </w:rPr>
        <w:t>重要性原则。应当优先使用最具评价对象代表性、最能反映评价要求的核心指标。</w:t>
      </w:r>
    </w:p>
    <w:p w14:paraId="7DD9E8B5">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5BAD44F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444AD8C4">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02D3D76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2451FEF7">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ascii="Arial Narrow" w:hAnsi="Arial Narrow" w:eastAsia="仿宋_GB2312"/>
          <w:color w:val="auto"/>
        </w:rPr>
        <w:t>)</w:t>
      </w:r>
      <w:r>
        <w:rPr>
          <w:rFonts w:hint="eastAsia" w:ascii="Arial Narrow" w:hAnsi="Arial Narrow" w:eastAsia="仿宋_GB2312"/>
          <w:color w:val="auto"/>
        </w:rPr>
        <w:t>，本次绩效评价及考核指标体系如下：</w:t>
      </w:r>
    </w:p>
    <w:p w14:paraId="434B5ADE">
      <w:pPr>
        <w:pStyle w:val="13"/>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7"/>
        <w:gridCol w:w="1049"/>
        <w:gridCol w:w="536"/>
        <w:gridCol w:w="2762"/>
        <w:gridCol w:w="3591"/>
      </w:tblGrid>
      <w:tr w14:paraId="2F72FE99">
        <w:tblPrEx>
          <w:tblCellMar>
            <w:top w:w="0" w:type="dxa"/>
            <w:left w:w="108" w:type="dxa"/>
            <w:bottom w:w="0" w:type="dxa"/>
            <w:right w:w="108" w:type="dxa"/>
          </w:tblCellMar>
        </w:tblPrEx>
        <w:trPr>
          <w:cantSplit/>
          <w:trHeight w:val="201" w:hRule="atLeast"/>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7B5AF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33F47326">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75DE144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79DAEB2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分值</w:t>
            </w:r>
          </w:p>
        </w:tc>
        <w:tc>
          <w:tcPr>
            <w:tcW w:w="2762" w:type="dxa"/>
            <w:tcBorders>
              <w:top w:val="single" w:color="auto" w:sz="4" w:space="0"/>
              <w:left w:val="nil"/>
              <w:bottom w:val="single" w:color="auto" w:sz="4" w:space="0"/>
              <w:right w:val="single" w:color="auto" w:sz="4" w:space="0"/>
            </w:tcBorders>
            <w:shd w:val="clear" w:color="auto" w:fill="auto"/>
            <w:noWrap/>
            <w:vAlign w:val="center"/>
          </w:tcPr>
          <w:p w14:paraId="130B5B67">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35E4FD1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评价标准</w:t>
            </w:r>
          </w:p>
        </w:tc>
      </w:tr>
      <w:tr w14:paraId="1A0CE92B">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3D18FE6">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404C66C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4D5E2C48">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11E5F2D0">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2</w:t>
            </w:r>
          </w:p>
        </w:tc>
        <w:tc>
          <w:tcPr>
            <w:tcW w:w="2762" w:type="dxa"/>
            <w:tcBorders>
              <w:top w:val="nil"/>
              <w:left w:val="nil"/>
              <w:bottom w:val="single" w:color="auto" w:sz="4" w:space="0"/>
              <w:right w:val="single" w:color="auto" w:sz="4" w:space="0"/>
            </w:tcBorders>
            <w:shd w:val="clear" w:color="auto" w:fill="auto"/>
            <w:vAlign w:val="center"/>
          </w:tcPr>
          <w:p w14:paraId="07848B8B">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314CF009">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资金使用方向符合文件规定（2分）。</w:t>
            </w:r>
          </w:p>
        </w:tc>
      </w:tr>
      <w:tr w14:paraId="69BD46DF">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D38F739">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64A2B781">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46866838">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38A85F50">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3</w:t>
            </w:r>
          </w:p>
        </w:tc>
        <w:tc>
          <w:tcPr>
            <w:tcW w:w="2762" w:type="dxa"/>
            <w:tcBorders>
              <w:top w:val="nil"/>
              <w:left w:val="nil"/>
              <w:bottom w:val="single" w:color="auto" w:sz="4" w:space="0"/>
              <w:right w:val="single" w:color="auto" w:sz="4" w:space="0"/>
            </w:tcBorders>
            <w:shd w:val="clear" w:color="auto" w:fill="auto"/>
            <w:vAlign w:val="center"/>
          </w:tcPr>
          <w:p w14:paraId="2F8E9721">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2131B4E4">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区财政局下达资金文件时间到区级业务主管部门下达项目及资金计划文件时间间隔≤30日（3分）。</w:t>
            </w:r>
          </w:p>
        </w:tc>
      </w:tr>
      <w:tr w14:paraId="4372BD45">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81118F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281D6F2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项目管理（55分）</w:t>
            </w:r>
          </w:p>
        </w:tc>
        <w:tc>
          <w:tcPr>
            <w:tcW w:w="1049" w:type="dxa"/>
            <w:tcBorders>
              <w:top w:val="nil"/>
              <w:left w:val="nil"/>
              <w:bottom w:val="single" w:color="auto" w:sz="4" w:space="0"/>
              <w:right w:val="single" w:color="auto" w:sz="4" w:space="0"/>
            </w:tcBorders>
            <w:shd w:val="clear" w:color="auto" w:fill="auto"/>
            <w:vAlign w:val="center"/>
          </w:tcPr>
          <w:p w14:paraId="6982E36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1DBF045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nil"/>
              <w:right w:val="nil"/>
            </w:tcBorders>
            <w:shd w:val="clear" w:color="auto" w:fill="auto"/>
            <w:vAlign w:val="center"/>
          </w:tcPr>
          <w:p w14:paraId="06D7335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评价落实《铜梁区巩固拓展脱贫攻坚成果和衔接乡村振兴项目库建设管理实施细则》（铜乡振〔2021〕7号）落实情况。根据抽查情况赋分。</w:t>
            </w:r>
          </w:p>
        </w:tc>
        <w:tc>
          <w:tcPr>
            <w:tcW w:w="3591" w:type="dxa"/>
            <w:tcBorders>
              <w:top w:val="nil"/>
              <w:left w:val="single" w:color="auto" w:sz="4" w:space="0"/>
              <w:bottom w:val="single" w:color="auto" w:sz="4" w:space="0"/>
              <w:right w:val="single" w:color="auto" w:sz="4" w:space="0"/>
            </w:tcBorders>
            <w:shd w:val="clear" w:color="auto" w:fill="auto"/>
            <w:vAlign w:val="center"/>
          </w:tcPr>
          <w:p w14:paraId="09F57A1D">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1.项目入库及时充分、程序规范、内容完整（3分）；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2.入库项目具备实施条件（2分）；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3.衔接资金用于项目库之外的项目（-5分）。</w:t>
            </w:r>
          </w:p>
        </w:tc>
      </w:tr>
      <w:tr w14:paraId="3A60A436">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0BAAD8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562383F3">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19A58DEE">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5D41EE5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56951C84">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评价具体项目实施方案明确绩效目标情况、开展跟踪监督绩效监控情况、事后评价情况等。根据抽查情况赋分。</w:t>
            </w:r>
          </w:p>
        </w:tc>
        <w:tc>
          <w:tcPr>
            <w:tcW w:w="3591" w:type="dxa"/>
            <w:tcBorders>
              <w:top w:val="nil"/>
              <w:left w:val="nil"/>
              <w:bottom w:val="single" w:color="auto" w:sz="4" w:space="0"/>
              <w:right w:val="single" w:color="auto" w:sz="4" w:space="0"/>
            </w:tcBorders>
            <w:shd w:val="clear" w:color="auto" w:fill="auto"/>
            <w:vAlign w:val="center"/>
          </w:tcPr>
          <w:p w14:paraId="39EF945B">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1.及时制定绩效目标、审核绩效目标（2分）；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2.开展绩效监控不少于1次（2分）；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3.对绩效目标偏离项目采取纠偏措施（2分）；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4.项目实施完毕后立即开展绩效自评，并形成绩效自评报告及绩效自评表。（2分）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5.项目绩效是否达到预期。（2分）</w:t>
            </w:r>
          </w:p>
        </w:tc>
      </w:tr>
      <w:tr w14:paraId="2560FA83">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E995D93">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501686E3">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335DEE9">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6BDF675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6</w:t>
            </w:r>
          </w:p>
        </w:tc>
        <w:tc>
          <w:tcPr>
            <w:tcW w:w="2762" w:type="dxa"/>
            <w:tcBorders>
              <w:top w:val="nil"/>
              <w:left w:val="nil"/>
              <w:bottom w:val="single" w:color="auto" w:sz="4" w:space="0"/>
              <w:right w:val="single" w:color="auto" w:sz="4" w:space="0"/>
            </w:tcBorders>
            <w:shd w:val="clear" w:color="auto" w:fill="auto"/>
            <w:vAlign w:val="center"/>
          </w:tcPr>
          <w:p w14:paraId="491AE6E4">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评价有序推进项目前期工作、组织实施、项目验收、资料报送等情况。根据抽查情况赋分。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33D89697">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1.项目实施方法存在变更是否按规定报批；（1分）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2.是否定期对项目实施情况进行监督检查，对检查中发现的问题进行整改；（2分）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3.是否按照项目实施节点按时提交项目报账资料；（1分）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4.日常管理资料是否及时归档整理；（1分）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5.项目完工后是否在规定时间内进行验收。（1分）</w:t>
            </w:r>
          </w:p>
        </w:tc>
      </w:tr>
      <w:tr w14:paraId="17D51981">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751941E">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587B0BC3">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422A8E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69DEB6C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12</w:t>
            </w:r>
          </w:p>
        </w:tc>
        <w:tc>
          <w:tcPr>
            <w:tcW w:w="2762" w:type="dxa"/>
            <w:tcBorders>
              <w:top w:val="nil"/>
              <w:left w:val="nil"/>
              <w:bottom w:val="single" w:color="auto" w:sz="4" w:space="0"/>
              <w:right w:val="single" w:color="auto" w:sz="4" w:space="0"/>
            </w:tcBorders>
            <w:shd w:val="clear" w:color="auto" w:fill="auto"/>
            <w:vAlign w:val="center"/>
          </w:tcPr>
          <w:p w14:paraId="0C25641C">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评价有序推进项目工作和资金支付情况。根据抽查情况赋分。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0AE732F5">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1.主要通过支出进度评价有序推进项目工作和资金支付情况，于7月末、10月中旬定期调度。</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1.7月末支出进度评分4分。资金支出进度达到全区平均进度或者序时进度的，得满分；未达到的按照与序时进度的比例扣分；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2.10月中旬支出进度评分4分。资金支出进度达到全区平均进度或者序时进度的，得满分；未达到的按照与序时进度的比例扣分；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66D44E8F">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BFA2770">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4D4483C7">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A3CAD2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2C74B88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8</w:t>
            </w:r>
          </w:p>
        </w:tc>
        <w:tc>
          <w:tcPr>
            <w:tcW w:w="2762" w:type="dxa"/>
            <w:tcBorders>
              <w:top w:val="nil"/>
              <w:left w:val="nil"/>
              <w:bottom w:val="single" w:color="auto" w:sz="4" w:space="0"/>
              <w:right w:val="single" w:color="auto" w:sz="4" w:space="0"/>
            </w:tcBorders>
            <w:shd w:val="clear" w:color="auto" w:fill="auto"/>
            <w:vAlign w:val="center"/>
          </w:tcPr>
          <w:p w14:paraId="7A06F85A">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评价定期开展监督检查情况、发现问题整改情况。根据未处理问题比例扣减。根据抽查情况赋分。</w:t>
            </w:r>
          </w:p>
        </w:tc>
        <w:tc>
          <w:tcPr>
            <w:tcW w:w="3591" w:type="dxa"/>
            <w:tcBorders>
              <w:top w:val="nil"/>
              <w:left w:val="nil"/>
              <w:bottom w:val="single" w:color="auto" w:sz="4" w:space="0"/>
              <w:right w:val="single" w:color="auto" w:sz="4" w:space="0"/>
            </w:tcBorders>
            <w:shd w:val="clear" w:color="auto" w:fill="auto"/>
            <w:vAlign w:val="center"/>
          </w:tcPr>
          <w:p w14:paraId="16574A62">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1.定期开展项目实施和资金支出进度等跟踪督促情况，落实到位的得2分，未完全落实到位的酌情扣分；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2.跟踪督促及各类检查发现问题整改到位情况，满分5分，根据未整改问题比例扣减；</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3.全国12317防止返贫监测和乡村振兴咨询服务平台（简称12317平台）反馈问题处理情况，满分1分。</w:t>
            </w:r>
          </w:p>
        </w:tc>
      </w:tr>
      <w:tr w14:paraId="7D97FCF1">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BBDECE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5B029920">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12635D33">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303DB8E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73CC813D">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评价账务处理，资产转固，收益管理、档案管理等情况。根据抽查情况赋分。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0D6E4D81">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1.财务处理是否规范，原始凭证是否齐全，建成资产是否及时转固、收益管理是否合规；（4分）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2.档案管理是否完整、合规、真实。（1分）</w:t>
            </w:r>
          </w:p>
        </w:tc>
      </w:tr>
      <w:tr w14:paraId="377CAC09">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76C54B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373D8D19">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59178B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5762E09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9</w:t>
            </w:r>
          </w:p>
        </w:tc>
        <w:tc>
          <w:tcPr>
            <w:tcW w:w="2762" w:type="dxa"/>
            <w:tcBorders>
              <w:top w:val="nil"/>
              <w:left w:val="nil"/>
              <w:bottom w:val="single" w:color="auto" w:sz="4" w:space="0"/>
              <w:right w:val="single" w:color="auto" w:sz="4" w:space="0"/>
            </w:tcBorders>
            <w:shd w:val="clear" w:color="auto" w:fill="auto"/>
            <w:vAlign w:val="center"/>
          </w:tcPr>
          <w:p w14:paraId="57B7D637">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评价区级、镇级、村级落实《铜梁区财政衔接推进乡村振兴补助资金项目公告公示实施办法》（铜委农办〔2021〕19号）文件要求情况。根据抽查情况赋分。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12D83DB4">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分区级、镇级、村级进行评价。</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1.抽查区级公示公开情况，满分3分，未完整公开酌情扣分；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2.抽查镇级公示公开情况，满分3分，未完整公开酌情扣分；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3.抽查村级公示公开情况，满分3分，未完整公开酌情扣分。</w:t>
            </w:r>
          </w:p>
        </w:tc>
      </w:tr>
      <w:tr w14:paraId="2E93B64C">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47C083A">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0B21972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使用成效及通报情况（40分）</w:t>
            </w:r>
          </w:p>
        </w:tc>
        <w:tc>
          <w:tcPr>
            <w:tcW w:w="1049" w:type="dxa"/>
            <w:tcBorders>
              <w:top w:val="nil"/>
              <w:left w:val="nil"/>
              <w:bottom w:val="single" w:color="auto" w:sz="4" w:space="0"/>
              <w:right w:val="single" w:color="auto" w:sz="4" w:space="0"/>
            </w:tcBorders>
            <w:shd w:val="clear" w:color="auto" w:fill="auto"/>
            <w:vAlign w:val="center"/>
          </w:tcPr>
          <w:p w14:paraId="2F8DC8B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73B1A07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35</w:t>
            </w:r>
          </w:p>
        </w:tc>
        <w:tc>
          <w:tcPr>
            <w:tcW w:w="2762" w:type="dxa"/>
            <w:tcBorders>
              <w:top w:val="nil"/>
              <w:left w:val="nil"/>
              <w:bottom w:val="single" w:color="auto" w:sz="4" w:space="0"/>
              <w:right w:val="single" w:color="auto" w:sz="4" w:space="0"/>
            </w:tcBorders>
            <w:shd w:val="clear" w:color="auto" w:fill="auto"/>
            <w:vAlign w:val="center"/>
          </w:tcPr>
          <w:p w14:paraId="3B87CC09">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评价项目是否达到预期成效，后续管护是否存在问题等。根据抽查情况赋分。</w:t>
            </w:r>
          </w:p>
        </w:tc>
        <w:tc>
          <w:tcPr>
            <w:tcW w:w="3591" w:type="dxa"/>
            <w:tcBorders>
              <w:top w:val="nil"/>
              <w:left w:val="nil"/>
              <w:bottom w:val="single" w:color="auto" w:sz="4" w:space="0"/>
              <w:right w:val="single" w:color="auto" w:sz="4" w:space="0"/>
            </w:tcBorders>
            <w:shd w:val="clear" w:color="auto" w:fill="auto"/>
            <w:vAlign w:val="center"/>
          </w:tcPr>
          <w:p w14:paraId="662D7F0C">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满分35分，根据抽查项目情况赋分。项目管理各环节，每存在一例不符合相关规定的，扣0.5分，扣完为止。</w:t>
            </w:r>
          </w:p>
        </w:tc>
      </w:tr>
      <w:tr w14:paraId="31B3A6C5">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FC4392A">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33FFD81E">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1705565E">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757ABFB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2688A4EC">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评价日常表现情况。</w:t>
            </w:r>
          </w:p>
        </w:tc>
        <w:tc>
          <w:tcPr>
            <w:tcW w:w="3591" w:type="dxa"/>
            <w:tcBorders>
              <w:top w:val="nil"/>
              <w:left w:val="nil"/>
              <w:bottom w:val="single" w:color="auto" w:sz="4" w:space="0"/>
              <w:right w:val="single" w:color="auto" w:sz="4" w:space="0"/>
            </w:tcBorders>
            <w:shd w:val="clear" w:color="auto" w:fill="auto"/>
            <w:vAlign w:val="center"/>
          </w:tcPr>
          <w:p w14:paraId="789FB451">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2F5AE107">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68C0B2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206B7B66">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加减分指标</w:t>
            </w:r>
          </w:p>
        </w:tc>
        <w:tc>
          <w:tcPr>
            <w:tcW w:w="1049" w:type="dxa"/>
            <w:tcBorders>
              <w:top w:val="nil"/>
              <w:left w:val="nil"/>
              <w:bottom w:val="single" w:color="auto" w:sz="4" w:space="0"/>
              <w:right w:val="single" w:color="auto" w:sz="4" w:space="0"/>
            </w:tcBorders>
            <w:shd w:val="clear" w:color="auto" w:fill="auto"/>
            <w:vAlign w:val="center"/>
          </w:tcPr>
          <w:p w14:paraId="5B982F9E">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4BC2A196">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2F3BC921">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评价机制创新情况。最高加5分。</w:t>
            </w:r>
          </w:p>
        </w:tc>
        <w:tc>
          <w:tcPr>
            <w:tcW w:w="3591" w:type="dxa"/>
            <w:tcBorders>
              <w:top w:val="nil"/>
              <w:left w:val="nil"/>
              <w:bottom w:val="single" w:color="auto" w:sz="4" w:space="0"/>
              <w:right w:val="single" w:color="auto" w:sz="4" w:space="0"/>
            </w:tcBorders>
            <w:shd w:val="clear" w:color="auto" w:fill="auto"/>
            <w:vAlign w:val="center"/>
          </w:tcPr>
          <w:p w14:paraId="09A5EA3E">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1.在财政衔接资金分配、使用、监管等方面存在机制创新；（2分）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2.国家、市级对我区财政衔接资金绩效评价中，被财政部、国家乡村振兴局及其第三方总结经验做法，并调研推广的。（3分）</w:t>
            </w:r>
          </w:p>
        </w:tc>
      </w:tr>
      <w:tr w14:paraId="2AC27366">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F0CDD0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33DC437A">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E60D19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6F65678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10</w:t>
            </w:r>
          </w:p>
        </w:tc>
        <w:tc>
          <w:tcPr>
            <w:tcW w:w="2762" w:type="dxa"/>
            <w:tcBorders>
              <w:top w:val="nil"/>
              <w:left w:val="nil"/>
              <w:bottom w:val="single" w:color="auto" w:sz="4" w:space="0"/>
              <w:right w:val="single" w:color="auto" w:sz="4" w:space="0"/>
            </w:tcBorders>
            <w:shd w:val="clear" w:color="auto" w:fill="auto"/>
            <w:vAlign w:val="center"/>
          </w:tcPr>
          <w:p w14:paraId="23EF6264">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反映提供材料的真实性，有效性以及相关工作合法合规情况。（用于负面清单事项）</w:t>
            </w:r>
          </w:p>
        </w:tc>
        <w:tc>
          <w:tcPr>
            <w:tcW w:w="3591" w:type="dxa"/>
            <w:tcBorders>
              <w:top w:val="nil"/>
              <w:left w:val="nil"/>
              <w:bottom w:val="single" w:color="auto" w:sz="4" w:space="0"/>
              <w:right w:val="single" w:color="auto" w:sz="4" w:space="0"/>
            </w:tcBorders>
            <w:shd w:val="clear" w:color="auto" w:fill="auto"/>
            <w:vAlign w:val="center"/>
          </w:tcPr>
          <w:p w14:paraId="20E86364">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考核材料、数据中存在虚假信息的，或经有关部门监督检查发现问题的，视情节严重程度扣1-10分。</w:t>
            </w:r>
          </w:p>
        </w:tc>
      </w:tr>
    </w:tbl>
    <w:p w14:paraId="0A952804">
      <w:pPr>
        <w:spacing w:before="120" w:beforeLines="50" w:line="360" w:lineRule="auto"/>
        <w:ind w:firstLine="482" w:firstLineChars="200"/>
        <w:jc w:val="left"/>
        <w:outlineLvl w:val="0"/>
        <w:rPr>
          <w:rFonts w:ascii="Arial Narrow" w:hAnsi="Arial Narrow" w:eastAsia="仿宋_GB2312"/>
          <w:b/>
          <w:sz w:val="24"/>
        </w:rPr>
      </w:pPr>
      <w:bookmarkStart w:id="15" w:name="_Toc169624365"/>
      <w:r>
        <w:rPr>
          <w:rFonts w:ascii="Arial Narrow" w:hAnsi="Arial Narrow" w:eastAsia="仿宋_GB2312"/>
          <w:b/>
          <w:sz w:val="24"/>
        </w:rPr>
        <w:t>（五）绩效评价标准和评价方法</w:t>
      </w:r>
      <w:bookmarkEnd w:id="15"/>
    </w:p>
    <w:p w14:paraId="7700E3A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2B9080D7">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绩效评价标准采用定量评分，满分为100分。指标分值是根据确定的指标内容及项目实施的具体情况综合分析确定的，详见附件。</w:t>
      </w:r>
    </w:p>
    <w:p w14:paraId="7980774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6" w:name="_Hlk162596803"/>
      <w:r>
        <w:rPr>
          <w:rFonts w:ascii="Arial Narrow" w:hAnsi="Arial Narrow" w:eastAsia="仿宋_GB2312"/>
          <w:color w:val="auto"/>
        </w:rPr>
        <w:t>≥90</w:t>
      </w:r>
      <w:bookmarkEnd w:id="16"/>
      <w:r>
        <w:rPr>
          <w:rFonts w:ascii="Arial Narrow" w:hAnsi="Arial Narrow" w:eastAsia="仿宋_GB2312"/>
          <w:color w:val="auto"/>
        </w:rPr>
        <w:t>）、良</w:t>
      </w:r>
      <w:bookmarkStart w:id="17" w:name="_Hlk168473502"/>
      <w:r>
        <w:rPr>
          <w:rFonts w:ascii="Arial Narrow" w:hAnsi="Arial Narrow" w:eastAsia="仿宋_GB2312"/>
          <w:color w:val="auto"/>
        </w:rPr>
        <w:t>（90＞得分≥80）</w:t>
      </w:r>
      <w:bookmarkEnd w:id="17"/>
      <w:r>
        <w:rPr>
          <w:rFonts w:ascii="Arial Narrow" w:hAnsi="Arial Narrow" w:eastAsia="仿宋_GB2312"/>
          <w:color w:val="auto"/>
        </w:rPr>
        <w:t>、中（80＞得分≥60）、差（得分＜60）四个等级，按百分制综合得分高低按分值划段确定。</w:t>
      </w:r>
    </w:p>
    <w:p w14:paraId="3F52608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6144632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30F2ACE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13B8FEE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3FC4995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20552364">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最低成本法。是指对效益确定不易计量的多个同类对象的实施成本进行比较，评价绩效目标实现程度。</w:t>
      </w:r>
    </w:p>
    <w:p w14:paraId="2844B18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7C5A9E27">
      <w:pPr>
        <w:spacing w:line="360" w:lineRule="auto"/>
        <w:ind w:firstLine="482" w:firstLineChars="200"/>
        <w:jc w:val="left"/>
        <w:outlineLvl w:val="0"/>
        <w:rPr>
          <w:rFonts w:ascii="Arial Narrow" w:hAnsi="Arial Narrow" w:eastAsia="仿宋_GB2312"/>
          <w:b/>
          <w:sz w:val="24"/>
        </w:rPr>
      </w:pPr>
      <w:bookmarkStart w:id="18" w:name="_Toc437528932"/>
      <w:bookmarkStart w:id="19" w:name="_Toc169624366"/>
      <w:r>
        <w:rPr>
          <w:rFonts w:ascii="Arial Narrow" w:hAnsi="Arial Narrow" w:eastAsia="仿宋_GB2312"/>
          <w:b/>
          <w:sz w:val="24"/>
        </w:rPr>
        <w:t>（六）绩效评价</w:t>
      </w:r>
      <w:bookmarkEnd w:id="18"/>
      <w:r>
        <w:rPr>
          <w:rFonts w:ascii="Arial Narrow" w:hAnsi="Arial Narrow" w:eastAsia="仿宋_GB2312"/>
          <w:b/>
          <w:sz w:val="24"/>
        </w:rPr>
        <w:t>工作过程</w:t>
      </w:r>
      <w:bookmarkEnd w:id="19"/>
    </w:p>
    <w:p w14:paraId="4EED354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r>
        <w:rPr>
          <w:rFonts w:hint="eastAsia" w:ascii="Arial Narrow" w:hAnsi="Arial Narrow" w:eastAsia="仿宋_GB2312"/>
          <w:color w:val="auto"/>
        </w:rPr>
        <w:t>；</w:t>
      </w:r>
    </w:p>
    <w:p w14:paraId="46A27259">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70BCE33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3.组织实施现场调查、检查、走访等具体工作；</w:t>
      </w:r>
    </w:p>
    <w:p w14:paraId="7F6A226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0AF86A9A">
      <w:pPr>
        <w:spacing w:line="360" w:lineRule="auto"/>
        <w:ind w:firstLine="482" w:firstLineChars="200"/>
        <w:jc w:val="left"/>
        <w:outlineLvl w:val="0"/>
        <w:rPr>
          <w:rFonts w:ascii="Arial Narrow" w:hAnsi="Arial Narrow" w:eastAsia="仿宋_GB2312"/>
          <w:b/>
          <w:sz w:val="24"/>
        </w:rPr>
      </w:pPr>
      <w:bookmarkStart w:id="20" w:name="_Toc437528933"/>
      <w:bookmarkStart w:id="21" w:name="_Toc169624367"/>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0"/>
      <w:r>
        <w:rPr>
          <w:rFonts w:ascii="Arial Narrow" w:hAnsi="Arial Narrow" w:eastAsia="仿宋_GB2312"/>
          <w:b/>
          <w:sz w:val="24"/>
        </w:rPr>
        <w:t>结论</w:t>
      </w:r>
      <w:bookmarkEnd w:id="21"/>
    </w:p>
    <w:p w14:paraId="72D7A640">
      <w:pPr>
        <w:spacing w:line="360" w:lineRule="auto"/>
        <w:ind w:left="420" w:leftChars="200"/>
        <w:jc w:val="left"/>
        <w:rPr>
          <w:rFonts w:ascii="Arial Narrow" w:hAnsi="Arial Narrow" w:eastAsia="仿宋_GB2312" w:cs="宋体"/>
          <w:kern w:val="0"/>
          <w:sz w:val="24"/>
        </w:rPr>
      </w:pPr>
      <w:r>
        <w:rPr>
          <w:rFonts w:hint="eastAsia" w:ascii="Arial Narrow" w:hAnsi="Arial Narrow" w:eastAsia="仿宋_GB2312" w:cs="宋体"/>
          <w:kern w:val="0"/>
          <w:sz w:val="24"/>
        </w:rPr>
        <w:t>三品村桑枝菌大棚建设项目</w:t>
      </w:r>
      <w:r>
        <w:rPr>
          <w:rFonts w:ascii="Arial Narrow" w:hAnsi="Arial Narrow" w:eastAsia="仿宋_GB2312" w:cs="宋体"/>
          <w:kern w:val="0"/>
          <w:sz w:val="24"/>
        </w:rPr>
        <w:t>绩效评价得分</w:t>
      </w:r>
      <w:r>
        <w:rPr>
          <w:rFonts w:hint="eastAsia" w:ascii="Arial Narrow" w:hAnsi="Arial Narrow" w:eastAsia="仿宋_GB2312" w:cs="宋体"/>
          <w:kern w:val="0"/>
          <w:sz w:val="24"/>
        </w:rPr>
        <w:t>100.00</w:t>
      </w:r>
      <w:r>
        <w:rPr>
          <w:rFonts w:ascii="Arial Narrow" w:hAnsi="Arial Narrow" w:eastAsia="仿宋_GB2312" w:cs="宋体"/>
          <w:kern w:val="0"/>
          <w:sz w:val="24"/>
        </w:rPr>
        <w:t>分，绩效评价等级为：</w:t>
      </w:r>
      <w:r>
        <w:rPr>
          <w:rFonts w:hint="eastAsia" w:ascii="Arial Narrow" w:hAnsi="Arial Narrow" w:eastAsia="仿宋_GB2312" w:cs="宋体"/>
          <w:kern w:val="0"/>
          <w:sz w:val="24"/>
        </w:rPr>
        <w:t>优；</w:t>
      </w:r>
    </w:p>
    <w:p w14:paraId="768A807A">
      <w:pPr>
        <w:spacing w:line="360" w:lineRule="auto"/>
        <w:ind w:left="420" w:leftChars="200"/>
        <w:jc w:val="left"/>
        <w:rPr>
          <w:rFonts w:ascii="Arial Narrow" w:hAnsi="Arial Narrow" w:eastAsia="仿宋_GB2312"/>
          <w:sz w:val="24"/>
        </w:rPr>
      </w:pPr>
      <w:r>
        <w:rPr>
          <w:rFonts w:hint="eastAsia" w:ascii="Arial Narrow" w:hAnsi="Arial Narrow" w:eastAsia="仿宋_GB2312" w:cs="宋体"/>
          <w:kern w:val="0"/>
          <w:sz w:val="24"/>
        </w:rPr>
        <w:t>石兴村养殖基地升级改造项目</w:t>
      </w:r>
      <w:r>
        <w:rPr>
          <w:rFonts w:ascii="Arial Narrow" w:hAnsi="Arial Narrow" w:eastAsia="仿宋_GB2312"/>
          <w:sz w:val="24"/>
        </w:rPr>
        <w:t>绩效评价得分</w:t>
      </w:r>
      <w:r>
        <w:rPr>
          <w:rFonts w:hint="eastAsia" w:ascii="Arial Narrow" w:hAnsi="Arial Narrow" w:eastAsia="仿宋_GB2312"/>
          <w:sz w:val="24"/>
        </w:rPr>
        <w:t>97.00</w:t>
      </w:r>
      <w:r>
        <w:rPr>
          <w:rFonts w:ascii="Arial Narrow" w:hAnsi="Arial Narrow" w:eastAsia="仿宋_GB2312"/>
          <w:sz w:val="24"/>
        </w:rPr>
        <w:t>分</w:t>
      </w:r>
      <w:r>
        <w:rPr>
          <w:rFonts w:hint="eastAsia" w:ascii="Arial Narrow" w:hAnsi="Arial Narrow" w:eastAsia="仿宋_GB2312"/>
          <w:sz w:val="24"/>
        </w:rPr>
        <w:t>，</w:t>
      </w:r>
      <w:r>
        <w:rPr>
          <w:rFonts w:ascii="Arial Narrow" w:hAnsi="Arial Narrow" w:eastAsia="仿宋_GB2312"/>
          <w:sz w:val="24"/>
        </w:rPr>
        <w:t>绩效评价等级为：</w:t>
      </w:r>
      <w:r>
        <w:rPr>
          <w:rFonts w:hint="eastAsia" w:ascii="Arial Narrow" w:hAnsi="Arial Narrow" w:eastAsia="仿宋_GB2312"/>
          <w:sz w:val="24"/>
        </w:rPr>
        <w:t>优；</w:t>
      </w:r>
    </w:p>
    <w:p w14:paraId="276140DA">
      <w:pPr>
        <w:spacing w:line="360" w:lineRule="auto"/>
        <w:ind w:firstLine="480" w:firstLineChars="200"/>
        <w:jc w:val="left"/>
        <w:rPr>
          <w:rFonts w:ascii="Arial Narrow" w:hAnsi="Arial Narrow" w:eastAsia="仿宋_GB2312"/>
          <w:sz w:val="24"/>
        </w:rPr>
      </w:pPr>
      <w:r>
        <w:rPr>
          <w:rFonts w:hint="eastAsia" w:ascii="Arial Narrow" w:hAnsi="Arial Narrow" w:eastAsia="仿宋_GB2312"/>
          <w:sz w:val="24"/>
        </w:rPr>
        <w:t>双马村葡萄基地改造项目绩效评价得分97.00分，</w:t>
      </w:r>
      <w:r>
        <w:rPr>
          <w:rFonts w:ascii="Arial Narrow" w:hAnsi="Arial Narrow" w:eastAsia="仿宋_GB2312"/>
          <w:sz w:val="24"/>
        </w:rPr>
        <w:t>绩效评价等级为：</w:t>
      </w:r>
      <w:r>
        <w:rPr>
          <w:rFonts w:hint="eastAsia" w:ascii="Arial Narrow" w:hAnsi="Arial Narrow" w:eastAsia="仿宋_GB2312"/>
          <w:sz w:val="24"/>
        </w:rPr>
        <w:t>优。</w:t>
      </w:r>
    </w:p>
    <w:p w14:paraId="4E82582E">
      <w:pPr>
        <w:spacing w:line="360" w:lineRule="auto"/>
        <w:ind w:firstLine="482" w:firstLineChars="200"/>
        <w:outlineLvl w:val="0"/>
        <w:rPr>
          <w:rFonts w:ascii="Arial Narrow" w:hAnsi="Arial Narrow" w:eastAsia="仿宋_GB2312"/>
          <w:b/>
          <w:sz w:val="24"/>
        </w:rPr>
      </w:pPr>
      <w:bookmarkStart w:id="22" w:name="_Toc169624368"/>
      <w:r>
        <w:rPr>
          <w:rFonts w:hint="eastAsia" w:ascii="Arial Narrow" w:hAnsi="Arial Narrow" w:eastAsia="仿宋_GB2312"/>
          <w:b/>
          <w:sz w:val="24"/>
        </w:rPr>
        <w:t>四、</w:t>
      </w:r>
      <w:r>
        <w:rPr>
          <w:rFonts w:ascii="Arial Narrow" w:hAnsi="Arial Narrow" w:eastAsia="仿宋_GB2312"/>
          <w:b/>
          <w:sz w:val="24"/>
        </w:rPr>
        <w:t>综合评价情况</w:t>
      </w:r>
      <w:bookmarkEnd w:id="22"/>
    </w:p>
    <w:p w14:paraId="388509A1">
      <w:pPr>
        <w:spacing w:line="360" w:lineRule="auto"/>
        <w:ind w:firstLine="482" w:firstLineChars="200"/>
        <w:jc w:val="left"/>
        <w:outlineLvl w:val="0"/>
        <w:rPr>
          <w:rFonts w:ascii="仿宋_GB2312" w:eastAsia="仿宋_GB2312"/>
          <w:b/>
          <w:sz w:val="24"/>
        </w:rPr>
      </w:pPr>
      <w:bookmarkStart w:id="23" w:name="_Toc169624369"/>
      <w:r>
        <w:rPr>
          <w:rFonts w:hint="eastAsia" w:ascii="仿宋_GB2312" w:eastAsia="仿宋_GB2312"/>
          <w:b/>
          <w:sz w:val="24"/>
        </w:rPr>
        <w:t>（一）资金管理</w:t>
      </w:r>
      <w:bookmarkEnd w:id="23"/>
    </w:p>
    <w:p w14:paraId="4AAB54A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1.财政衔接资金安排情况</w:t>
      </w:r>
    </w:p>
    <w:p w14:paraId="308699D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号)、《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26AE48B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5728BA8C">
      <w:pPr>
        <w:adjustRightInd w:val="0"/>
        <w:snapToGrid w:val="0"/>
        <w:spacing w:line="360" w:lineRule="auto"/>
        <w:ind w:firstLine="480" w:firstLineChars="200"/>
        <w:rPr>
          <w:rFonts w:ascii="Arial Narrow" w:hAnsi="Arial Narrow" w:eastAsia="仿宋_GB2312" w:cs="Arial Narrow"/>
          <w:sz w:val="24"/>
        </w:rPr>
      </w:pPr>
      <w:r>
        <w:rPr>
          <w:rFonts w:ascii="Arial Narrow" w:hAnsi="Arial Narrow" w:eastAsia="仿宋_GB2312" w:cs="Arial Narrow"/>
          <w:sz w:val="24"/>
        </w:rPr>
        <w:t>项目资金从区财政局下达资金文件时间到区级业务主管部门下达项目及资金计划文件时间间隔小于30天。</w:t>
      </w:r>
    </w:p>
    <w:p w14:paraId="352E98DC">
      <w:pPr>
        <w:spacing w:line="360" w:lineRule="auto"/>
        <w:ind w:firstLine="482" w:firstLineChars="200"/>
        <w:jc w:val="left"/>
        <w:outlineLvl w:val="0"/>
        <w:rPr>
          <w:rFonts w:ascii="仿宋_GB2312" w:eastAsia="仿宋_GB2312"/>
          <w:b/>
          <w:sz w:val="24"/>
        </w:rPr>
      </w:pPr>
      <w:bookmarkStart w:id="24" w:name="_Toc169624370"/>
      <w:r>
        <w:rPr>
          <w:rFonts w:hint="eastAsia" w:ascii="仿宋_GB2312" w:eastAsia="仿宋_GB2312"/>
          <w:b/>
          <w:sz w:val="24"/>
        </w:rPr>
        <w:t>（二）项目管理</w:t>
      </w:r>
      <w:bookmarkEnd w:id="24"/>
    </w:p>
    <w:p w14:paraId="2402435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项目库建设管理情况</w:t>
      </w:r>
    </w:p>
    <w:p w14:paraId="2F8B21A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项目入库及时充分、程序规范、内容完整，制定和切合实际的实施方案，具备实施条件，衔接资金未用于项目库之外的项目。</w:t>
      </w:r>
    </w:p>
    <w:p w14:paraId="287C34F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rPr>
        <w:t xml:space="preserve"> </w:t>
      </w:r>
      <w:r>
        <w:rPr>
          <w:rFonts w:hint="eastAsia" w:ascii="Arial Narrow" w:hAnsi="Arial Narrow" w:eastAsia="仿宋_GB2312"/>
          <w:sz w:val="24"/>
        </w:rPr>
        <w:t>项目绩效管理情况</w:t>
      </w:r>
    </w:p>
    <w:p w14:paraId="56A4336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三品村桑枝菌大棚建设项目、石兴村养殖基地升级改造项目、双马村葡萄基地改造项目3个项目</w:t>
      </w:r>
      <w:r>
        <w:rPr>
          <w:rFonts w:hint="eastAsia" w:ascii="Arial Narrow" w:hAnsi="Arial Narrow" w:eastAsia="仿宋_GB2312"/>
          <w:sz w:val="24"/>
        </w:rPr>
        <w:t>及时制定了明确的绩效目标，实施过程中对绩效目标进行监控，对绩效目标偏离项目采取纠偏措施，在项目实施完毕后开展了绩效自评，形成自评表及自评报告。以上3个项目绩效基本达到预期。</w:t>
      </w:r>
    </w:p>
    <w:p w14:paraId="4838E58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rPr>
        <w:t xml:space="preserve"> </w:t>
      </w:r>
      <w:r>
        <w:rPr>
          <w:rFonts w:hint="eastAsia" w:ascii="Arial Narrow" w:hAnsi="Arial Narrow" w:eastAsia="仿宋_GB2312"/>
          <w:sz w:val="24"/>
        </w:rPr>
        <w:t>项目建设管理情况</w:t>
      </w:r>
    </w:p>
    <w:p w14:paraId="5B8D486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项目实施方案不存在变更情况，实施过程中由重庆市铜梁区大庙镇人民政府进行监督检查，检查中未发现重大问题，项目按照实施节点按时提交项目报账资料。</w:t>
      </w:r>
    </w:p>
    <w:p w14:paraId="3A40FEE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4.预算执行率情况</w:t>
      </w:r>
    </w:p>
    <w:p w14:paraId="19EECF3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石兴村养殖基地升级改造资金预算执行率于2023年12月底才到达100%；双马村葡萄基地改造项目资金预算执行率于2023年12月底才到达100%。</w:t>
      </w:r>
    </w:p>
    <w:p w14:paraId="0D21CB7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5.跟踪督促及发现问题整改情况</w:t>
      </w:r>
    </w:p>
    <w:p w14:paraId="6FF9CF3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22E372E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0A891D7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三品村桑枝菌大棚建设项目、石兴村养殖基地升级改造项目、</w:t>
      </w:r>
      <w:bookmarkStart w:id="25" w:name="_Hlk171426336"/>
      <w:r>
        <w:rPr>
          <w:rFonts w:hint="eastAsia" w:ascii="Arial Narrow" w:hAnsi="Arial Narrow" w:eastAsia="仿宋_GB2312"/>
          <w:sz w:val="24"/>
        </w:rPr>
        <w:t>双马村葡萄基地改造项目</w:t>
      </w:r>
      <w:bookmarkEnd w:id="25"/>
      <w:r>
        <w:rPr>
          <w:rFonts w:hint="eastAsia" w:ascii="Arial Narrow" w:hAnsi="Arial Narrow" w:eastAsia="仿宋_GB2312"/>
          <w:sz w:val="24"/>
        </w:rPr>
        <w:t xml:space="preserve">未见付款资料的记账凭证，其他档案资料齐全。 </w:t>
      </w:r>
    </w:p>
    <w:p w14:paraId="6B7E198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w:t>
      </w:r>
      <w:r>
        <w:rPr>
          <w:rFonts w:hint="eastAsia"/>
        </w:rPr>
        <w:t xml:space="preserve"> </w:t>
      </w:r>
      <w:r>
        <w:rPr>
          <w:rFonts w:hint="eastAsia" w:ascii="Arial Narrow" w:hAnsi="Arial Narrow" w:eastAsia="仿宋_GB2312"/>
          <w:sz w:val="24"/>
        </w:rPr>
        <w:t>信息公开和公告公示制度落实情况</w:t>
      </w:r>
    </w:p>
    <w:p w14:paraId="1B39F6A5">
      <w:pPr>
        <w:adjustRightInd w:val="0"/>
        <w:snapToGrid w:val="0"/>
        <w:spacing w:line="360" w:lineRule="auto"/>
        <w:ind w:firstLine="480" w:firstLineChars="200"/>
        <w:rPr>
          <w:rFonts w:ascii="Arial Narrow" w:hAnsi="Arial Narrow" w:eastAsia="仿宋_GB2312"/>
          <w:sz w:val="24"/>
        </w:rPr>
      </w:pPr>
      <w:bookmarkStart w:id="26" w:name="_Toc169624371"/>
      <w:r>
        <w:rPr>
          <w:rFonts w:hint="eastAsia" w:ascii="Arial Narrow" w:hAnsi="Arial Narrow" w:eastAsia="仿宋_GB2312"/>
          <w:sz w:val="24"/>
        </w:rPr>
        <w:t>重庆市铜梁区大庙镇人民政府对以上3个项目入库情况、资金计划完成情况等进行了公告公示。</w:t>
      </w:r>
    </w:p>
    <w:p w14:paraId="07425EDB">
      <w:pPr>
        <w:spacing w:line="360" w:lineRule="auto"/>
        <w:ind w:firstLine="482" w:firstLineChars="200"/>
        <w:jc w:val="left"/>
        <w:outlineLvl w:val="0"/>
        <w:rPr>
          <w:rFonts w:ascii="仿宋_GB2312" w:eastAsia="仿宋_GB2312"/>
          <w:b/>
          <w:sz w:val="24"/>
        </w:rPr>
      </w:pPr>
      <w:r>
        <w:rPr>
          <w:rFonts w:hint="eastAsia" w:ascii="仿宋_GB2312" w:eastAsia="仿宋_GB2312"/>
          <w:b/>
          <w:sz w:val="24"/>
        </w:rPr>
        <w:t>（三）</w:t>
      </w:r>
      <w:bookmarkEnd w:id="26"/>
      <w:r>
        <w:rPr>
          <w:rFonts w:hint="eastAsia" w:ascii="仿宋_GB2312" w:eastAsia="仿宋_GB2312"/>
          <w:b/>
          <w:sz w:val="24"/>
        </w:rPr>
        <w:t>使用成效及通报情况</w:t>
      </w:r>
    </w:p>
    <w:p w14:paraId="419EDBE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资金使用效益</w:t>
      </w:r>
    </w:p>
    <w:p w14:paraId="5FC95D2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项目总体资金均专款专用，完成项目的质量能够达标，完成进行了自评、项目资金完整。建立了后期管护制度，并执行到位。</w:t>
      </w:r>
    </w:p>
    <w:p w14:paraId="5281EA9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4BD0DEA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项目实施管理日常表现良好，未被通报和问题反馈情况。</w:t>
      </w:r>
    </w:p>
    <w:p w14:paraId="5B41F3BC">
      <w:pPr>
        <w:adjustRightInd w:val="0"/>
        <w:snapToGrid w:val="0"/>
        <w:spacing w:line="360" w:lineRule="auto"/>
        <w:ind w:firstLine="482" w:firstLineChars="200"/>
        <w:rPr>
          <w:rFonts w:ascii="Arial Narrow" w:hAnsi="Arial Narrow" w:eastAsia="仿宋_GB2312"/>
          <w:b/>
          <w:sz w:val="24"/>
        </w:rPr>
      </w:pPr>
      <w:r>
        <w:rPr>
          <w:rFonts w:hint="eastAsia" w:ascii="Arial Narrow" w:hAnsi="Arial Narrow" w:eastAsia="仿宋_GB2312"/>
          <w:b/>
          <w:sz w:val="24"/>
        </w:rPr>
        <w:t>五</w:t>
      </w:r>
      <w:r>
        <w:rPr>
          <w:rFonts w:ascii="Arial Narrow" w:hAnsi="Arial Narrow" w:eastAsia="仿宋_GB2312"/>
          <w:b/>
          <w:sz w:val="24"/>
        </w:rPr>
        <w:t>、存在的问题和建议</w:t>
      </w:r>
    </w:p>
    <w:p w14:paraId="7114B41E">
      <w:pPr>
        <w:spacing w:line="360" w:lineRule="auto"/>
        <w:ind w:firstLine="482" w:firstLineChars="200"/>
        <w:jc w:val="left"/>
        <w:outlineLvl w:val="0"/>
        <w:rPr>
          <w:rFonts w:ascii="仿宋_GB2312" w:eastAsia="仿宋_GB2312"/>
          <w:b/>
          <w:sz w:val="24"/>
        </w:rPr>
      </w:pPr>
      <w:bookmarkStart w:id="27" w:name="_Toc169624372"/>
      <w:r>
        <w:rPr>
          <w:rFonts w:hint="eastAsia" w:ascii="仿宋_GB2312" w:eastAsia="仿宋_GB2312"/>
          <w:b/>
          <w:sz w:val="24"/>
        </w:rPr>
        <w:t>（一）存在问题</w:t>
      </w:r>
      <w:bookmarkEnd w:id="27"/>
      <w:r>
        <w:rPr>
          <w:rFonts w:hint="eastAsia" w:ascii="仿宋_GB2312" w:eastAsia="仿宋_GB2312"/>
          <w:b/>
          <w:sz w:val="24"/>
        </w:rPr>
        <w:t>：</w:t>
      </w:r>
      <w:r>
        <w:rPr>
          <w:rFonts w:hint="eastAsia" w:ascii="Arial Narrow" w:hAnsi="Arial Narrow" w:eastAsia="仿宋_GB2312"/>
          <w:sz w:val="24"/>
        </w:rPr>
        <w:t>无</w:t>
      </w:r>
    </w:p>
    <w:p w14:paraId="06F8E248">
      <w:pPr>
        <w:spacing w:line="360" w:lineRule="auto"/>
        <w:ind w:firstLine="482" w:firstLineChars="200"/>
        <w:jc w:val="left"/>
        <w:outlineLvl w:val="0"/>
        <w:rPr>
          <w:rStyle w:val="10"/>
          <w:rFonts w:ascii="仿宋_GB2312" w:eastAsia="仿宋_GB2312"/>
          <w:b/>
          <w:color w:val="auto"/>
          <w:sz w:val="24"/>
          <w:u w:val="none"/>
        </w:rPr>
      </w:pPr>
      <w:bookmarkStart w:id="28" w:name="_Toc169624373"/>
      <w:r>
        <w:rPr>
          <w:rFonts w:hint="eastAsia" w:ascii="仿宋_GB2312" w:eastAsia="仿宋_GB2312"/>
          <w:b/>
          <w:sz w:val="24"/>
        </w:rPr>
        <w:t>（二）建议</w:t>
      </w:r>
      <w:bookmarkEnd w:id="28"/>
      <w:r>
        <w:rPr>
          <w:rFonts w:hint="eastAsia" w:ascii="仿宋_GB2312" w:eastAsia="仿宋_GB2312"/>
          <w:b/>
          <w:sz w:val="24"/>
        </w:rPr>
        <w:t>：</w:t>
      </w:r>
      <w:r>
        <w:rPr>
          <w:rStyle w:val="10"/>
          <w:rFonts w:hint="eastAsia" w:ascii="Arial Narrow" w:hAnsi="Arial Narrow" w:eastAsia="仿宋_GB2312"/>
          <w:color w:val="auto"/>
          <w:sz w:val="24"/>
          <w:u w:val="none"/>
        </w:rPr>
        <w:t>无</w:t>
      </w:r>
    </w:p>
    <w:p w14:paraId="38C47D1C">
      <w:pPr>
        <w:adjustRightInd w:val="0"/>
        <w:snapToGrid w:val="0"/>
        <w:spacing w:line="360" w:lineRule="auto"/>
        <w:ind w:firstLine="480" w:firstLineChars="200"/>
        <w:rPr>
          <w:rStyle w:val="10"/>
          <w:rFonts w:ascii="Arial Narrow" w:hAnsi="Arial Narrow" w:eastAsia="仿宋_GB2312"/>
          <w:color w:val="auto"/>
          <w:sz w:val="24"/>
          <w:u w:val="none"/>
        </w:rPr>
      </w:pPr>
    </w:p>
    <w:p w14:paraId="6A701FCB">
      <w:pPr>
        <w:adjustRightInd w:val="0"/>
        <w:snapToGrid w:val="0"/>
        <w:spacing w:line="360" w:lineRule="auto"/>
        <w:ind w:firstLine="480" w:firstLineChars="200"/>
        <w:rPr>
          <w:rStyle w:val="10"/>
          <w:rFonts w:ascii="Arial Narrow" w:hAnsi="Arial Narrow" w:eastAsia="仿宋_GB2312"/>
          <w:color w:val="auto"/>
          <w:sz w:val="24"/>
          <w:u w:val="none"/>
        </w:rPr>
      </w:pPr>
    </w:p>
    <w:p w14:paraId="750593CB">
      <w:pPr>
        <w:adjustRightInd w:val="0"/>
        <w:snapToGrid w:val="0"/>
        <w:spacing w:line="360" w:lineRule="auto"/>
        <w:ind w:firstLine="420" w:firstLineChars="200"/>
        <w:rPr>
          <w:rStyle w:val="10"/>
          <w:color w:val="auto"/>
          <w:u w:val="none"/>
        </w:rPr>
      </w:pPr>
    </w:p>
    <w:p w14:paraId="4D5014E3">
      <w:pPr>
        <w:adjustRightInd w:val="0"/>
        <w:snapToGrid w:val="0"/>
        <w:spacing w:line="360" w:lineRule="auto"/>
        <w:ind w:firstLine="420" w:firstLineChars="200"/>
        <w:rPr>
          <w:rStyle w:val="10"/>
          <w:color w:val="auto"/>
          <w:u w:val="none"/>
        </w:rPr>
      </w:pPr>
    </w:p>
    <w:p w14:paraId="66DC9E36">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（此页无正文）</w:t>
      </w:r>
    </w:p>
    <w:p w14:paraId="4381BCED">
      <w:pPr>
        <w:adjustRightInd w:val="0"/>
        <w:snapToGrid w:val="0"/>
        <w:spacing w:line="360" w:lineRule="auto"/>
        <w:ind w:firstLine="420" w:firstLineChars="200"/>
        <w:rPr>
          <w:rStyle w:val="10"/>
          <w:color w:val="auto"/>
          <w:u w:val="none"/>
        </w:rPr>
      </w:pPr>
    </w:p>
    <w:p w14:paraId="79A83437">
      <w:pPr>
        <w:adjustRightInd w:val="0"/>
        <w:snapToGrid w:val="0"/>
        <w:spacing w:line="360" w:lineRule="auto"/>
        <w:ind w:firstLine="420" w:firstLineChars="200"/>
        <w:rPr>
          <w:rStyle w:val="10"/>
          <w:color w:val="auto"/>
          <w:u w:val="none"/>
        </w:rPr>
      </w:pPr>
    </w:p>
    <w:p w14:paraId="7927667B">
      <w:pPr>
        <w:adjustRightInd w:val="0"/>
        <w:snapToGrid w:val="0"/>
        <w:spacing w:line="360" w:lineRule="auto"/>
        <w:ind w:firstLine="420" w:firstLineChars="200"/>
        <w:rPr>
          <w:rStyle w:val="10"/>
          <w:color w:val="auto"/>
          <w:u w:val="none"/>
        </w:rPr>
      </w:pPr>
    </w:p>
    <w:p w14:paraId="698FEA40">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ascii="Arial Narrow" w:hAnsi="Arial Narrow" w:eastAsia="仿宋_GB2312"/>
          <w:color w:val="auto"/>
          <w:sz w:val="24"/>
          <w:u w:val="none"/>
        </w:rPr>
        <w:t>附件：1、绩效评价指标体系及评分结果表；</w:t>
      </w:r>
    </w:p>
    <w:p w14:paraId="755B0E9A">
      <w:pPr>
        <w:adjustRightInd w:val="0"/>
        <w:snapToGrid w:val="0"/>
        <w:spacing w:line="360" w:lineRule="auto"/>
        <w:ind w:firstLine="1200" w:firstLineChars="500"/>
        <w:rPr>
          <w:rStyle w:val="10"/>
          <w:rFonts w:ascii="Arial Narrow" w:hAnsi="Arial Narrow" w:eastAsia="仿宋_GB2312"/>
          <w:color w:val="auto"/>
          <w:sz w:val="24"/>
          <w:u w:val="none"/>
        </w:rPr>
      </w:pPr>
      <w:r>
        <w:rPr>
          <w:rStyle w:val="10"/>
          <w:rFonts w:ascii="Arial Narrow" w:hAnsi="Arial Narrow" w:eastAsia="仿宋_GB2312"/>
          <w:color w:val="auto"/>
          <w:sz w:val="24"/>
          <w:u w:val="none"/>
        </w:rPr>
        <w:t>2、会计师事务所营业执照和资质复印件。</w:t>
      </w:r>
    </w:p>
    <w:p w14:paraId="1F9CEE86">
      <w:pPr>
        <w:adjustRightInd w:val="0"/>
        <w:snapToGrid w:val="0"/>
        <w:spacing w:line="360" w:lineRule="auto"/>
        <w:ind w:firstLine="720" w:firstLineChars="300"/>
        <w:rPr>
          <w:rStyle w:val="10"/>
          <w:rFonts w:ascii="Arial Narrow" w:hAnsi="Arial Narrow" w:eastAsia="仿宋_GB2312"/>
          <w:color w:val="auto"/>
          <w:sz w:val="24"/>
          <w:u w:val="none"/>
        </w:rPr>
      </w:pPr>
    </w:p>
    <w:p w14:paraId="2845F599">
      <w:pPr>
        <w:adjustRightInd w:val="0"/>
        <w:snapToGrid w:val="0"/>
        <w:spacing w:line="360" w:lineRule="auto"/>
        <w:ind w:firstLine="720" w:firstLineChars="300"/>
        <w:rPr>
          <w:rStyle w:val="10"/>
          <w:rFonts w:ascii="Arial Narrow" w:hAnsi="Arial Narrow" w:eastAsia="仿宋_GB2312"/>
          <w:color w:val="auto"/>
          <w:sz w:val="24"/>
          <w:u w:val="none"/>
        </w:rPr>
      </w:pPr>
    </w:p>
    <w:p w14:paraId="7DA24578">
      <w:pPr>
        <w:adjustRightInd w:val="0"/>
        <w:snapToGrid w:val="0"/>
        <w:spacing w:line="360" w:lineRule="auto"/>
        <w:ind w:firstLine="720" w:firstLineChars="300"/>
        <w:rPr>
          <w:rStyle w:val="10"/>
          <w:rFonts w:ascii="Arial Narrow" w:hAnsi="Arial Narrow" w:eastAsia="仿宋_GB2312"/>
          <w:color w:val="auto"/>
          <w:sz w:val="24"/>
          <w:u w:val="none"/>
        </w:rPr>
      </w:pPr>
    </w:p>
    <w:p w14:paraId="253F7DE3">
      <w:pPr>
        <w:adjustRightInd w:val="0"/>
        <w:snapToGrid w:val="0"/>
        <w:spacing w:line="360" w:lineRule="auto"/>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 xml:space="preserve"> 重庆铭鸿金全会计师事务所有限责任公司</w:t>
      </w:r>
    </w:p>
    <w:p w14:paraId="304B82EF">
      <w:pPr>
        <w:adjustRightInd w:val="0"/>
        <w:snapToGrid w:val="0"/>
        <w:spacing w:line="360" w:lineRule="auto"/>
        <w:ind w:firstLine="4800" w:firstLineChars="2000"/>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二</w:t>
      </w:r>
      <w:r>
        <w:rPr>
          <w:rStyle w:val="10"/>
          <w:rFonts w:hint="eastAsia" w:ascii="Arial Narrow" w:hAnsi="Arial Narrow" w:eastAsia="仿宋_GB2312"/>
          <w:color w:val="auto"/>
          <w:sz w:val="24"/>
          <w:u w:val="none"/>
          <w:lang w:val="en-US" w:eastAsia="zh-CN"/>
        </w:rPr>
        <w:t>〇</w:t>
      </w:r>
      <w:bookmarkStart w:id="29" w:name="_GoBack"/>
      <w:bookmarkEnd w:id="29"/>
      <w:r>
        <w:rPr>
          <w:rStyle w:val="10"/>
          <w:rFonts w:hint="eastAsia" w:ascii="Arial Narrow" w:hAnsi="Arial Narrow" w:eastAsia="仿宋_GB2312"/>
          <w:color w:val="auto"/>
          <w:sz w:val="24"/>
          <w:u w:val="none"/>
        </w:rPr>
        <w:t>二四年六月二十八日</w:t>
      </w:r>
    </w:p>
    <w:sectPr>
      <w:headerReference r:id="rId7" w:type="default"/>
      <w:footerReference r:id="rId8" w:type="default"/>
      <w:pgSz w:w="11907" w:h="16840" w:orient="landscape"/>
      <w:pgMar w:top="1418" w:right="1418" w:bottom="1134" w:left="1134" w:header="851" w:footer="851" w:gutter="0"/>
      <w:pgNumType w:start="1"/>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5B564">
    <w:pPr>
      <w:pStyle w:val="4"/>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1884D">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8043182"/>
      <w:docPartObj>
        <w:docPartGallery w:val="autotext"/>
      </w:docPartObj>
    </w:sdtPr>
    <w:sdtContent>
      <w:p w14:paraId="4AB8EE33">
        <w:pPr>
          <w:pStyle w:val="4"/>
          <w:jc w:val="center"/>
        </w:pPr>
        <w:r>
          <w:fldChar w:fldCharType="begin"/>
        </w:r>
        <w:r>
          <w:instrText xml:space="preserve">PAGE   \* MERGEFORMAT</w:instrText>
        </w:r>
        <w:r>
          <w:fldChar w:fldCharType="separate"/>
        </w:r>
        <w:r>
          <w:t>2</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5735677"/>
      <w:docPartObj>
        <w:docPartGallery w:val="autotext"/>
      </w:docPartObj>
    </w:sdtPr>
    <w:sdtContent>
      <w:p w14:paraId="6B65C39E">
        <w:pPr>
          <w:pStyle w:val="4"/>
          <w:jc w:val="center"/>
        </w:pPr>
        <w:r>
          <w:fldChar w:fldCharType="begin"/>
        </w:r>
        <w:r>
          <w:instrText xml:space="preserve">PAGE   \* MERGEFORMAT</w:instrText>
        </w:r>
        <w:r>
          <w:fldChar w:fldCharType="separate"/>
        </w:r>
        <w:r>
          <w:t>2</w:t>
        </w:r>
        <w:r>
          <w:fldChar w:fldCharType="end"/>
        </w:r>
      </w:p>
    </w:sdtContent>
  </w:sdt>
  <w:p w14:paraId="09A804AE">
    <w:pPr>
      <w:pStyle w:val="4"/>
      <w:jc w:val="center"/>
      <w:rPr>
        <w:rFonts w:hint="eastAsia" w:ascii="宋体" w:hAnsi="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AF0BD">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A574C">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60BD2"/>
    <w:rsid w:val="00063E0B"/>
    <w:rsid w:val="0007059F"/>
    <w:rsid w:val="000769EE"/>
    <w:rsid w:val="000D1A3B"/>
    <w:rsid w:val="000E4529"/>
    <w:rsid w:val="000E6A52"/>
    <w:rsid w:val="0010003E"/>
    <w:rsid w:val="00104568"/>
    <w:rsid w:val="00121C35"/>
    <w:rsid w:val="00143A99"/>
    <w:rsid w:val="00152152"/>
    <w:rsid w:val="00164C87"/>
    <w:rsid w:val="001A42EB"/>
    <w:rsid w:val="001B4FB1"/>
    <w:rsid w:val="001C6F32"/>
    <w:rsid w:val="001E0132"/>
    <w:rsid w:val="001E0520"/>
    <w:rsid w:val="001F3624"/>
    <w:rsid w:val="001F43AE"/>
    <w:rsid w:val="002155C2"/>
    <w:rsid w:val="00216472"/>
    <w:rsid w:val="00224D96"/>
    <w:rsid w:val="00226E7E"/>
    <w:rsid w:val="00276D1C"/>
    <w:rsid w:val="00282997"/>
    <w:rsid w:val="002920CC"/>
    <w:rsid w:val="002C083D"/>
    <w:rsid w:val="002C36AE"/>
    <w:rsid w:val="002C5020"/>
    <w:rsid w:val="002C7EFA"/>
    <w:rsid w:val="002D2792"/>
    <w:rsid w:val="00314B2B"/>
    <w:rsid w:val="00324E2F"/>
    <w:rsid w:val="00331DC5"/>
    <w:rsid w:val="0035515E"/>
    <w:rsid w:val="0037066E"/>
    <w:rsid w:val="00384C3C"/>
    <w:rsid w:val="003879CE"/>
    <w:rsid w:val="003A00D8"/>
    <w:rsid w:val="003B42BF"/>
    <w:rsid w:val="003B5E34"/>
    <w:rsid w:val="00413E6F"/>
    <w:rsid w:val="00414A58"/>
    <w:rsid w:val="004200C2"/>
    <w:rsid w:val="00420AA7"/>
    <w:rsid w:val="00421C71"/>
    <w:rsid w:val="004304C9"/>
    <w:rsid w:val="00446004"/>
    <w:rsid w:val="00470930"/>
    <w:rsid w:val="004C1F3A"/>
    <w:rsid w:val="004C38B4"/>
    <w:rsid w:val="004D1145"/>
    <w:rsid w:val="004D2A6E"/>
    <w:rsid w:val="004E6833"/>
    <w:rsid w:val="004F7A0F"/>
    <w:rsid w:val="00501A64"/>
    <w:rsid w:val="00536985"/>
    <w:rsid w:val="00572DD6"/>
    <w:rsid w:val="005A631A"/>
    <w:rsid w:val="005B054B"/>
    <w:rsid w:val="005E133F"/>
    <w:rsid w:val="005F01BA"/>
    <w:rsid w:val="005F7991"/>
    <w:rsid w:val="0061001E"/>
    <w:rsid w:val="0061417A"/>
    <w:rsid w:val="006335A1"/>
    <w:rsid w:val="00655510"/>
    <w:rsid w:val="00693181"/>
    <w:rsid w:val="0069678B"/>
    <w:rsid w:val="006A58E0"/>
    <w:rsid w:val="006C3A59"/>
    <w:rsid w:val="006C4C4D"/>
    <w:rsid w:val="006D14F7"/>
    <w:rsid w:val="006E75D6"/>
    <w:rsid w:val="006E7DA1"/>
    <w:rsid w:val="006F7CBD"/>
    <w:rsid w:val="0073019B"/>
    <w:rsid w:val="00730A8E"/>
    <w:rsid w:val="00740E9D"/>
    <w:rsid w:val="00741402"/>
    <w:rsid w:val="007745AA"/>
    <w:rsid w:val="007A6BE6"/>
    <w:rsid w:val="00827385"/>
    <w:rsid w:val="0083298D"/>
    <w:rsid w:val="00842151"/>
    <w:rsid w:val="00856815"/>
    <w:rsid w:val="0088588F"/>
    <w:rsid w:val="008952B1"/>
    <w:rsid w:val="008D4F7C"/>
    <w:rsid w:val="008E609D"/>
    <w:rsid w:val="0090729E"/>
    <w:rsid w:val="009309C0"/>
    <w:rsid w:val="0093667D"/>
    <w:rsid w:val="00937D15"/>
    <w:rsid w:val="009766D7"/>
    <w:rsid w:val="00983CB7"/>
    <w:rsid w:val="009858B2"/>
    <w:rsid w:val="0099227E"/>
    <w:rsid w:val="009957B8"/>
    <w:rsid w:val="0099666C"/>
    <w:rsid w:val="009C2341"/>
    <w:rsid w:val="009F1C42"/>
    <w:rsid w:val="00A066D6"/>
    <w:rsid w:val="00A14650"/>
    <w:rsid w:val="00A173D2"/>
    <w:rsid w:val="00A352D4"/>
    <w:rsid w:val="00A70CF9"/>
    <w:rsid w:val="00A834EE"/>
    <w:rsid w:val="00A922C5"/>
    <w:rsid w:val="00A95CA5"/>
    <w:rsid w:val="00AC3880"/>
    <w:rsid w:val="00AD0284"/>
    <w:rsid w:val="00AE470F"/>
    <w:rsid w:val="00AF58DD"/>
    <w:rsid w:val="00B134A6"/>
    <w:rsid w:val="00B1679E"/>
    <w:rsid w:val="00B25A79"/>
    <w:rsid w:val="00B63E7A"/>
    <w:rsid w:val="00B7289F"/>
    <w:rsid w:val="00B93392"/>
    <w:rsid w:val="00BA212E"/>
    <w:rsid w:val="00BB3674"/>
    <w:rsid w:val="00BC2692"/>
    <w:rsid w:val="00BC7BED"/>
    <w:rsid w:val="00BD6FFD"/>
    <w:rsid w:val="00BE0FC1"/>
    <w:rsid w:val="00BF7025"/>
    <w:rsid w:val="00C02FB6"/>
    <w:rsid w:val="00C107C7"/>
    <w:rsid w:val="00C12443"/>
    <w:rsid w:val="00C15C20"/>
    <w:rsid w:val="00C2548F"/>
    <w:rsid w:val="00C35442"/>
    <w:rsid w:val="00C35612"/>
    <w:rsid w:val="00C36A73"/>
    <w:rsid w:val="00C60A62"/>
    <w:rsid w:val="00C618E6"/>
    <w:rsid w:val="00C81287"/>
    <w:rsid w:val="00CB54FB"/>
    <w:rsid w:val="00CC769D"/>
    <w:rsid w:val="00CD24A2"/>
    <w:rsid w:val="00CD3FC6"/>
    <w:rsid w:val="00D15092"/>
    <w:rsid w:val="00D1562E"/>
    <w:rsid w:val="00D254D3"/>
    <w:rsid w:val="00D26E16"/>
    <w:rsid w:val="00D415D5"/>
    <w:rsid w:val="00D42186"/>
    <w:rsid w:val="00D9153A"/>
    <w:rsid w:val="00DB55F0"/>
    <w:rsid w:val="00DC4A38"/>
    <w:rsid w:val="00E00AC0"/>
    <w:rsid w:val="00E065AA"/>
    <w:rsid w:val="00E23D6E"/>
    <w:rsid w:val="00E25338"/>
    <w:rsid w:val="00E27A95"/>
    <w:rsid w:val="00E42B04"/>
    <w:rsid w:val="00E53E65"/>
    <w:rsid w:val="00E66C12"/>
    <w:rsid w:val="00E709E2"/>
    <w:rsid w:val="00E71632"/>
    <w:rsid w:val="00E80BDA"/>
    <w:rsid w:val="00EA1C10"/>
    <w:rsid w:val="00EB474C"/>
    <w:rsid w:val="00ED0A8C"/>
    <w:rsid w:val="00ED56B4"/>
    <w:rsid w:val="00EF1282"/>
    <w:rsid w:val="00EF2A9D"/>
    <w:rsid w:val="00F06B5C"/>
    <w:rsid w:val="00F36680"/>
    <w:rsid w:val="00F436FB"/>
    <w:rsid w:val="00F54C3F"/>
    <w:rsid w:val="00F61D28"/>
    <w:rsid w:val="00F64D50"/>
    <w:rsid w:val="00F6551E"/>
    <w:rsid w:val="00F84DF0"/>
    <w:rsid w:val="00F95DA8"/>
    <w:rsid w:val="00FA6718"/>
    <w:rsid w:val="00FD0315"/>
    <w:rsid w:val="00FD1A79"/>
    <w:rsid w:val="00FD5F18"/>
    <w:rsid w:val="00FE1E65"/>
    <w:rsid w:val="00FE5705"/>
    <w:rsid w:val="00FF5AA5"/>
    <w:rsid w:val="02717C9D"/>
    <w:rsid w:val="0C955D75"/>
    <w:rsid w:val="10FD0312"/>
    <w:rsid w:val="120E6874"/>
    <w:rsid w:val="270731DD"/>
    <w:rsid w:val="2D4C192D"/>
    <w:rsid w:val="2ED871D2"/>
    <w:rsid w:val="357129F4"/>
    <w:rsid w:val="371050B8"/>
    <w:rsid w:val="3D191F82"/>
    <w:rsid w:val="45947F31"/>
    <w:rsid w:val="4DF1278B"/>
    <w:rsid w:val="60087B46"/>
    <w:rsid w:val="629B4EDD"/>
    <w:rsid w:val="67F14B96"/>
    <w:rsid w:val="6C0B4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link w:val="17"/>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 w:type="character" w:customStyle="1" w:styleId="17">
    <w:name w:val="页脚 字符"/>
    <w:basedOn w:val="9"/>
    <w:link w:val="4"/>
    <w:qFormat/>
    <w:uiPriority w:val="99"/>
    <w:rPr>
      <w:kern w:val="2"/>
      <w:sz w:val="18"/>
      <w:szCs w:val="18"/>
      <w:lang w:val="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10</Pages>
  <Words>5812</Words>
  <Characters>6235</Characters>
  <Lines>51</Lines>
  <Paragraphs>14</Paragraphs>
  <TotalTime>603</TotalTime>
  <ScaleCrop>false</ScaleCrop>
  <LinksUpToDate>false</LinksUpToDate>
  <CharactersWithSpaces>6272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2024-11-20T01:16:23Z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