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9DEB52">
      <w:pPr>
        <w:spacing w:line="360" w:lineRule="auto"/>
        <w:jc w:val="center"/>
        <w:rPr>
          <w:rFonts w:ascii="Arial Narrow" w:hAnsi="Arial Narrow"/>
          <w:b/>
          <w:bCs/>
          <w:sz w:val="36"/>
          <w:szCs w:val="36"/>
        </w:rPr>
      </w:pPr>
    </w:p>
    <w:p w14:paraId="4090E303">
      <w:pPr>
        <w:spacing w:line="360" w:lineRule="auto"/>
        <w:jc w:val="center"/>
        <w:rPr>
          <w:rFonts w:ascii="Arial Narrow" w:hAnsi="Arial Narrow"/>
          <w:b/>
          <w:bCs/>
          <w:sz w:val="36"/>
          <w:szCs w:val="36"/>
        </w:rPr>
      </w:pPr>
    </w:p>
    <w:p w14:paraId="604C763A">
      <w:pPr>
        <w:spacing w:line="360" w:lineRule="auto"/>
        <w:jc w:val="center"/>
        <w:rPr>
          <w:rFonts w:ascii="Arial Narrow" w:hAnsi="Arial Narrow"/>
          <w:b/>
          <w:bCs/>
          <w:sz w:val="36"/>
          <w:szCs w:val="36"/>
        </w:rPr>
      </w:pPr>
    </w:p>
    <w:p w14:paraId="39A8FDD3">
      <w:pPr>
        <w:spacing w:line="360" w:lineRule="auto"/>
        <w:jc w:val="center"/>
        <w:rPr>
          <w:rFonts w:ascii="Arial Narrow" w:hAnsi="Arial Narrow"/>
          <w:b/>
          <w:bCs/>
          <w:sz w:val="36"/>
          <w:szCs w:val="36"/>
        </w:rPr>
      </w:pPr>
    </w:p>
    <w:p w14:paraId="68A45F14">
      <w:pPr>
        <w:adjustRightInd w:val="0"/>
        <w:snapToGrid w:val="0"/>
        <w:spacing w:line="360" w:lineRule="auto"/>
        <w:jc w:val="center"/>
        <w:rPr>
          <w:rFonts w:ascii="Arial Narrow" w:hAnsi="Arial Narrow"/>
          <w:b/>
          <w:spacing w:val="100"/>
          <w:sz w:val="32"/>
          <w:szCs w:val="32"/>
        </w:rPr>
      </w:pPr>
      <w:r>
        <w:rPr>
          <w:rFonts w:hint="eastAsia" w:ascii="Arial Narrow" w:hAnsi="Arial Narrow" w:eastAsia="仿宋"/>
          <w:b/>
          <w:sz w:val="36"/>
          <w:szCs w:val="36"/>
        </w:rPr>
        <w:t>重庆市铜梁区</w:t>
      </w:r>
      <w:r>
        <w:rPr>
          <w:rFonts w:hint="eastAsia" w:ascii="Arial Narrow" w:hAnsi="Arial Narrow" w:eastAsia="仿宋"/>
          <w:b/>
          <w:sz w:val="36"/>
          <w:szCs w:val="36"/>
          <w:lang w:val="en-US" w:eastAsia="zh-CN"/>
        </w:rPr>
        <w:t>围龙镇农旅融合配套提质工程等2个项目</w:t>
      </w:r>
      <w:r>
        <w:rPr>
          <w:rFonts w:hint="eastAsia" w:ascii="Arial Narrow" w:hAnsi="Arial Narrow" w:eastAsia="仿宋"/>
          <w:b/>
          <w:sz w:val="36"/>
          <w:szCs w:val="36"/>
        </w:rPr>
        <w:t>财政专项衔接资金</w:t>
      </w:r>
    </w:p>
    <w:p w14:paraId="7B7D3A85">
      <w:pPr>
        <w:adjustRightInd w:val="0"/>
        <w:snapToGrid w:val="0"/>
        <w:spacing w:line="360" w:lineRule="auto"/>
        <w:jc w:val="center"/>
        <w:rPr>
          <w:rFonts w:ascii="Arial Narrow" w:hAnsi="Arial Narrow"/>
          <w:b/>
          <w:sz w:val="36"/>
          <w:szCs w:val="36"/>
        </w:rPr>
      </w:pPr>
    </w:p>
    <w:p w14:paraId="38ED38FA">
      <w:pPr>
        <w:adjustRightInd w:val="0"/>
        <w:snapToGrid w:val="0"/>
        <w:spacing w:line="360" w:lineRule="auto"/>
        <w:jc w:val="center"/>
        <w:rPr>
          <w:rFonts w:ascii="Arial Narrow" w:hAnsi="Arial Narrow"/>
          <w:b/>
          <w:spacing w:val="100"/>
          <w:sz w:val="32"/>
          <w:szCs w:val="32"/>
        </w:rPr>
      </w:pPr>
    </w:p>
    <w:p w14:paraId="33410F39">
      <w:pPr>
        <w:adjustRightInd w:val="0"/>
        <w:snapToGrid w:val="0"/>
        <w:spacing w:line="360" w:lineRule="auto"/>
        <w:jc w:val="center"/>
        <w:rPr>
          <w:rFonts w:ascii="Arial Narrow" w:hAnsi="Arial Narrow"/>
          <w:b/>
          <w:spacing w:val="100"/>
          <w:sz w:val="32"/>
          <w:szCs w:val="32"/>
        </w:rPr>
      </w:pPr>
    </w:p>
    <w:p w14:paraId="28E6FC12">
      <w:pPr>
        <w:tabs>
          <w:tab w:val="center" w:pos="4393"/>
          <w:tab w:val="left" w:pos="7258"/>
        </w:tabs>
        <w:adjustRightInd w:val="0"/>
        <w:snapToGrid w:val="0"/>
        <w:spacing w:line="360" w:lineRule="auto"/>
        <w:jc w:val="center"/>
        <w:rPr>
          <w:rFonts w:ascii="Arial Narrow" w:hAnsi="Arial Narrow" w:eastAsia="仿宋"/>
          <w:b/>
          <w:w w:val="102"/>
          <w:sz w:val="44"/>
          <w:szCs w:val="44"/>
        </w:rPr>
      </w:pPr>
      <w:r>
        <w:rPr>
          <w:rFonts w:ascii="Arial Narrow" w:hAnsi="Arial Narrow" w:eastAsia="仿宋"/>
          <w:b/>
          <w:w w:val="102"/>
          <w:sz w:val="44"/>
          <w:szCs w:val="44"/>
        </w:rPr>
        <w:t>绩效评价</w:t>
      </w:r>
      <w:bookmarkStart w:id="0" w:name="_Toc488804777"/>
      <w:bookmarkStart w:id="1" w:name="_Toc488637980"/>
      <w:r>
        <w:rPr>
          <w:rFonts w:ascii="Arial Narrow" w:hAnsi="Arial Narrow" w:eastAsia="仿宋"/>
          <w:b/>
          <w:w w:val="102"/>
          <w:sz w:val="44"/>
          <w:szCs w:val="44"/>
        </w:rPr>
        <w:t>报告</w:t>
      </w:r>
    </w:p>
    <w:p w14:paraId="1265CFA4">
      <w:pPr>
        <w:spacing w:line="360" w:lineRule="auto"/>
        <w:jc w:val="center"/>
        <w:rPr>
          <w:rFonts w:ascii="Arial Narrow" w:hAnsi="Arial Narrow" w:eastAsia="仿宋"/>
          <w:bCs/>
          <w:sz w:val="32"/>
          <w:szCs w:val="32"/>
        </w:rPr>
      </w:pPr>
      <w:r>
        <w:rPr>
          <w:rFonts w:ascii="Arial Narrow" w:hAnsi="Arial Narrow" w:eastAsia="仿宋"/>
          <w:bCs/>
          <w:sz w:val="32"/>
          <w:szCs w:val="32"/>
        </w:rPr>
        <w:t>铭鸿</w:t>
      </w:r>
      <w:r>
        <w:rPr>
          <w:rFonts w:hint="eastAsia" w:ascii="Arial Narrow" w:hAnsi="Arial Narrow" w:eastAsia="仿宋"/>
          <w:bCs/>
          <w:sz w:val="32"/>
          <w:szCs w:val="32"/>
        </w:rPr>
        <w:t>咨字</w:t>
      </w:r>
      <w:r>
        <w:rPr>
          <w:rFonts w:ascii="Arial Narrow" w:hAnsi="Arial Narrow" w:eastAsia="仿宋"/>
          <w:bCs/>
          <w:sz w:val="32"/>
          <w:szCs w:val="32"/>
        </w:rPr>
        <w:t>【2024】第</w:t>
      </w:r>
      <w:r>
        <w:rPr>
          <w:rFonts w:hint="eastAsia" w:ascii="Arial Narrow" w:hAnsi="Arial Narrow" w:eastAsia="仿宋"/>
          <w:bCs/>
          <w:sz w:val="32"/>
          <w:szCs w:val="32"/>
        </w:rPr>
        <w:t>0</w:t>
      </w:r>
      <w:r>
        <w:rPr>
          <w:rFonts w:hint="eastAsia" w:ascii="Arial Narrow" w:hAnsi="Arial Narrow" w:eastAsia="仿宋"/>
          <w:bCs/>
          <w:sz w:val="32"/>
          <w:szCs w:val="32"/>
          <w:lang w:val="en-US" w:eastAsia="zh-CN"/>
        </w:rPr>
        <w:t>026</w:t>
      </w:r>
      <w:r>
        <w:rPr>
          <w:rFonts w:ascii="Arial Narrow" w:hAnsi="Arial Narrow" w:eastAsia="仿宋"/>
          <w:bCs/>
          <w:sz w:val="32"/>
          <w:szCs w:val="32"/>
        </w:rPr>
        <w:t>号</w:t>
      </w:r>
    </w:p>
    <w:p w14:paraId="7F50992C">
      <w:pPr>
        <w:adjustRightInd w:val="0"/>
        <w:snapToGrid w:val="0"/>
        <w:spacing w:line="360" w:lineRule="auto"/>
        <w:jc w:val="center"/>
        <w:rPr>
          <w:rFonts w:ascii="Arial Narrow" w:hAnsi="Arial Narrow"/>
          <w:b/>
          <w:spacing w:val="100"/>
          <w:sz w:val="32"/>
          <w:szCs w:val="32"/>
        </w:rPr>
      </w:pPr>
    </w:p>
    <w:p w14:paraId="52B5B7FA">
      <w:pPr>
        <w:adjustRightInd w:val="0"/>
        <w:snapToGrid w:val="0"/>
        <w:spacing w:line="360" w:lineRule="auto"/>
        <w:jc w:val="center"/>
        <w:rPr>
          <w:rFonts w:ascii="Arial Narrow" w:hAnsi="Arial Narrow"/>
          <w:b/>
          <w:spacing w:val="100"/>
          <w:sz w:val="32"/>
          <w:szCs w:val="32"/>
        </w:rPr>
      </w:pPr>
    </w:p>
    <w:p w14:paraId="1D4DBF96">
      <w:pPr>
        <w:adjustRightInd w:val="0"/>
        <w:snapToGrid w:val="0"/>
        <w:spacing w:line="360" w:lineRule="auto"/>
        <w:jc w:val="center"/>
        <w:rPr>
          <w:rFonts w:ascii="Arial Narrow" w:hAnsi="Arial Narrow"/>
          <w:b/>
          <w:spacing w:val="100"/>
          <w:sz w:val="32"/>
          <w:szCs w:val="32"/>
        </w:rPr>
      </w:pPr>
    </w:p>
    <w:p w14:paraId="7F2A3802">
      <w:pPr>
        <w:adjustRightInd w:val="0"/>
        <w:snapToGrid w:val="0"/>
        <w:spacing w:line="360" w:lineRule="auto"/>
        <w:jc w:val="center"/>
        <w:rPr>
          <w:rFonts w:ascii="Arial Narrow" w:hAnsi="Arial Narrow"/>
          <w:b/>
          <w:spacing w:val="100"/>
          <w:sz w:val="32"/>
          <w:szCs w:val="32"/>
        </w:rPr>
      </w:pPr>
    </w:p>
    <w:p w14:paraId="3B7DB7E1">
      <w:pPr>
        <w:adjustRightInd w:val="0"/>
        <w:snapToGrid w:val="0"/>
        <w:spacing w:line="360" w:lineRule="auto"/>
        <w:jc w:val="center"/>
        <w:rPr>
          <w:rFonts w:ascii="Arial Narrow" w:hAnsi="Arial Narrow"/>
          <w:b/>
          <w:spacing w:val="100"/>
          <w:sz w:val="32"/>
          <w:szCs w:val="32"/>
        </w:rPr>
      </w:pPr>
    </w:p>
    <w:p w14:paraId="4C80B0BD">
      <w:pPr>
        <w:adjustRightInd w:val="0"/>
        <w:snapToGrid w:val="0"/>
        <w:spacing w:line="360" w:lineRule="auto"/>
        <w:jc w:val="center"/>
        <w:rPr>
          <w:rFonts w:ascii="Arial Narrow" w:hAnsi="Arial Narrow"/>
          <w:b/>
          <w:spacing w:val="100"/>
          <w:sz w:val="32"/>
          <w:szCs w:val="32"/>
        </w:rPr>
      </w:pPr>
    </w:p>
    <w:p w14:paraId="05538504">
      <w:pPr>
        <w:adjustRightInd w:val="0"/>
        <w:snapToGrid w:val="0"/>
        <w:spacing w:line="360" w:lineRule="auto"/>
        <w:jc w:val="center"/>
        <w:rPr>
          <w:rFonts w:ascii="Arial Narrow" w:hAnsi="Arial Narrow"/>
          <w:b/>
          <w:spacing w:val="100"/>
          <w:sz w:val="32"/>
          <w:szCs w:val="32"/>
        </w:rPr>
      </w:pPr>
    </w:p>
    <w:p w14:paraId="71F905B2">
      <w:pPr>
        <w:spacing w:line="360" w:lineRule="auto"/>
        <w:jc w:val="center"/>
        <w:rPr>
          <w:rFonts w:ascii="Arial Narrow" w:hAnsi="Arial Narrow" w:eastAsia="仿宋"/>
          <w:sz w:val="32"/>
          <w:szCs w:val="32"/>
        </w:rPr>
      </w:pPr>
      <w:r>
        <w:rPr>
          <w:rFonts w:ascii="Arial Narrow" w:hAnsi="Arial Narrow" w:eastAsia="仿宋"/>
          <w:sz w:val="32"/>
          <w:szCs w:val="32"/>
        </w:rPr>
        <w:t>重庆铭鸿金全会计师事务所有限</w:t>
      </w:r>
      <w:r>
        <w:rPr>
          <w:rFonts w:hint="eastAsia" w:ascii="Arial Narrow" w:hAnsi="Arial Narrow" w:eastAsia="仿宋"/>
          <w:sz w:val="32"/>
          <w:szCs w:val="32"/>
          <w:lang w:val="en-US" w:eastAsia="zh-CN"/>
        </w:rPr>
        <w:t>责任</w:t>
      </w:r>
      <w:r>
        <w:rPr>
          <w:rFonts w:ascii="Arial Narrow" w:hAnsi="Arial Narrow" w:eastAsia="仿宋"/>
          <w:sz w:val="32"/>
          <w:szCs w:val="32"/>
        </w:rPr>
        <w:t>公司</w:t>
      </w:r>
    </w:p>
    <w:p w14:paraId="495F95CE">
      <w:pPr>
        <w:spacing w:line="360" w:lineRule="auto"/>
        <w:jc w:val="center"/>
        <w:rPr>
          <w:rFonts w:ascii="Arial Narrow" w:hAnsi="Arial Narrow"/>
          <w:sz w:val="44"/>
          <w:szCs w:val="44"/>
        </w:rPr>
      </w:pPr>
      <w:r>
        <w:rPr>
          <w:rFonts w:ascii="Arial Narrow" w:hAnsi="Arial Narrow" w:eastAsia="仿宋"/>
          <w:sz w:val="32"/>
          <w:szCs w:val="32"/>
        </w:rPr>
        <w:t>二</w:t>
      </w:r>
      <w:r>
        <w:rPr>
          <w:rFonts w:hint="eastAsia" w:ascii="Arial Narrow" w:hAnsi="Arial Narrow" w:eastAsia="仿宋"/>
          <w:sz w:val="32"/>
          <w:szCs w:val="32"/>
          <w:lang w:val="en-US" w:eastAsia="zh-CN"/>
        </w:rPr>
        <w:t>〇</w:t>
      </w:r>
      <w:r>
        <w:rPr>
          <w:rFonts w:ascii="Arial Narrow" w:hAnsi="Arial Narrow" w:eastAsia="仿宋"/>
          <w:sz w:val="32"/>
          <w:szCs w:val="32"/>
        </w:rPr>
        <w:t>二</w:t>
      </w:r>
      <w:r>
        <w:rPr>
          <w:rFonts w:hint="eastAsia" w:ascii="Arial Narrow" w:hAnsi="Arial Narrow" w:eastAsia="仿宋"/>
          <w:sz w:val="32"/>
          <w:szCs w:val="32"/>
          <w:lang w:eastAsia="zh-CN"/>
        </w:rPr>
        <w:t>四</w:t>
      </w:r>
      <w:r>
        <w:rPr>
          <w:rFonts w:ascii="Arial Narrow" w:hAnsi="Arial Narrow" w:eastAsia="仿宋"/>
          <w:sz w:val="32"/>
          <w:szCs w:val="32"/>
        </w:rPr>
        <w:t>年</w:t>
      </w:r>
      <w:r>
        <w:rPr>
          <w:rFonts w:hint="eastAsia" w:ascii="Arial Narrow" w:hAnsi="Arial Narrow" w:eastAsia="仿宋"/>
          <w:sz w:val="32"/>
          <w:szCs w:val="32"/>
        </w:rPr>
        <w:t>六</w:t>
      </w:r>
      <w:r>
        <w:rPr>
          <w:rFonts w:ascii="Arial Narrow" w:hAnsi="Arial Narrow" w:eastAsia="仿宋"/>
          <w:sz w:val="32"/>
          <w:szCs w:val="32"/>
        </w:rPr>
        <w:t>月</w:t>
      </w:r>
      <w:r>
        <w:rPr>
          <w:rFonts w:ascii="Arial Narrow" w:hAnsi="Arial Narrow"/>
          <w:b/>
          <w:spacing w:val="100"/>
          <w:sz w:val="52"/>
          <w:szCs w:val="52"/>
        </w:rPr>
        <w:br w:type="page"/>
      </w:r>
      <w:bookmarkEnd w:id="0"/>
      <w:bookmarkEnd w:id="1"/>
      <w:r>
        <w:rPr>
          <w:rFonts w:ascii="Arial Narrow" w:hAnsi="Arial Narrow"/>
          <w:sz w:val="44"/>
          <w:szCs w:val="44"/>
        </w:rPr>
        <w:t>目   录</w:t>
      </w:r>
    </w:p>
    <w:p w14:paraId="6B35CCA3">
      <w:pPr>
        <w:spacing w:line="360" w:lineRule="auto"/>
        <w:jc w:val="center"/>
        <w:rPr>
          <w:rFonts w:ascii="Arial Narrow" w:hAnsi="Arial Narrow"/>
          <w:sz w:val="24"/>
        </w:rPr>
      </w:pPr>
    </w:p>
    <w:p w14:paraId="32ED98C4">
      <w:pPr>
        <w:pStyle w:val="7"/>
        <w:tabs>
          <w:tab w:val="right" w:leader="dot" w:pos="8788"/>
          <w:tab w:val="clear" w:pos="8778"/>
        </w:tabs>
      </w:pPr>
      <w:r>
        <w:rPr>
          <w:rStyle w:val="11"/>
          <w:rFonts w:ascii="仿宋" w:hAnsi="仿宋" w:eastAsia="仿宋"/>
          <w:b w:val="0"/>
          <w:bCs w:val="0"/>
          <w:color w:val="auto"/>
          <w:szCs w:val="21"/>
          <w:u w:val="none"/>
        </w:rPr>
        <w:fldChar w:fldCharType="begin"/>
      </w:r>
      <w:r>
        <w:rPr>
          <w:rStyle w:val="11"/>
          <w:rFonts w:ascii="仿宋" w:hAnsi="仿宋" w:eastAsia="仿宋"/>
          <w:b w:val="0"/>
          <w:bCs w:val="0"/>
          <w:color w:val="auto"/>
          <w:szCs w:val="21"/>
          <w:u w:val="none"/>
        </w:rPr>
        <w:instrText xml:space="preserve"> TOC \o "1-3" \h \z \u </w:instrText>
      </w:r>
      <w:r>
        <w:rPr>
          <w:rStyle w:val="11"/>
          <w:rFonts w:ascii="仿宋" w:hAnsi="仿宋" w:eastAsia="仿宋"/>
          <w:b w:val="0"/>
          <w:bCs w:val="0"/>
          <w:color w:val="auto"/>
          <w:szCs w:val="21"/>
          <w:u w:val="none"/>
        </w:rPr>
        <w:fldChar w:fldCharType="separate"/>
      </w:r>
      <w:r>
        <w:rPr>
          <w:rFonts w:ascii="仿宋" w:hAnsi="仿宋" w:eastAsia="仿宋"/>
          <w:bCs w:val="0"/>
          <w:color w:val="auto"/>
          <w:szCs w:val="21"/>
          <w:u w:val="none"/>
        </w:rPr>
        <w:fldChar w:fldCharType="begin"/>
      </w:r>
      <w:r>
        <w:rPr>
          <w:rFonts w:ascii="仿宋" w:hAnsi="仿宋" w:eastAsia="仿宋"/>
          <w:bCs w:val="0"/>
          <w:szCs w:val="21"/>
        </w:rPr>
        <w:instrText xml:space="preserve"> HYPERLINK \l _Toc16758 </w:instrText>
      </w:r>
      <w:r>
        <w:rPr>
          <w:rFonts w:ascii="仿宋" w:hAnsi="仿宋" w:eastAsia="仿宋"/>
          <w:bCs w:val="0"/>
          <w:szCs w:val="21"/>
        </w:rPr>
        <w:fldChar w:fldCharType="separate"/>
      </w:r>
      <w:r>
        <w:rPr>
          <w:rFonts w:ascii="Arial Narrow" w:hAnsi="Arial Narrow" w:eastAsia="仿宋_GB2312"/>
        </w:rPr>
        <w:t>一、基本情况</w:t>
      </w:r>
      <w:r>
        <w:tab/>
      </w:r>
      <w:r>
        <w:fldChar w:fldCharType="begin"/>
      </w:r>
      <w:r>
        <w:instrText xml:space="preserve"> PAGEREF _Toc16758 \h </w:instrText>
      </w:r>
      <w:r>
        <w:fldChar w:fldCharType="separate"/>
      </w:r>
      <w:r>
        <w:t>1</w:t>
      </w:r>
      <w:r>
        <w:fldChar w:fldCharType="end"/>
      </w:r>
      <w:r>
        <w:rPr>
          <w:rFonts w:ascii="仿宋" w:hAnsi="仿宋" w:eastAsia="仿宋"/>
          <w:bCs w:val="0"/>
          <w:color w:val="auto"/>
          <w:szCs w:val="21"/>
          <w:u w:val="none"/>
        </w:rPr>
        <w:fldChar w:fldCharType="end"/>
      </w:r>
    </w:p>
    <w:p w14:paraId="224A8170">
      <w:pPr>
        <w:pStyle w:val="7"/>
        <w:tabs>
          <w:tab w:val="right" w:leader="dot" w:pos="8788"/>
          <w:tab w:val="clear" w:pos="8778"/>
        </w:tabs>
      </w:pPr>
      <w:r>
        <w:rPr>
          <w:color w:val="auto"/>
          <w:szCs w:val="21"/>
          <w:u w:val="none"/>
        </w:rPr>
        <w:fldChar w:fldCharType="begin"/>
      </w:r>
      <w:r>
        <w:rPr>
          <w:szCs w:val="21"/>
        </w:rPr>
        <w:instrText xml:space="preserve"> HYPERLINK \l _Toc12365 </w:instrText>
      </w:r>
      <w:r>
        <w:rPr>
          <w:szCs w:val="21"/>
        </w:rPr>
        <w:fldChar w:fldCharType="separate"/>
      </w:r>
      <w:r>
        <w:rPr>
          <w:rFonts w:hint="eastAsia" w:ascii="Arial Narrow" w:hAnsi="Arial Narrow" w:eastAsia="仿宋" w:cs="宋体"/>
          <w:bCs/>
          <w:kern w:val="0"/>
        </w:rPr>
        <w:t>（一）项目情况</w:t>
      </w:r>
      <w:r>
        <w:tab/>
      </w:r>
      <w:r>
        <w:fldChar w:fldCharType="begin"/>
      </w:r>
      <w:r>
        <w:instrText xml:space="preserve"> PAGEREF _Toc12365 \h </w:instrText>
      </w:r>
      <w:r>
        <w:fldChar w:fldCharType="separate"/>
      </w:r>
      <w:r>
        <w:t>1</w:t>
      </w:r>
      <w:r>
        <w:fldChar w:fldCharType="end"/>
      </w:r>
      <w:r>
        <w:rPr>
          <w:color w:val="auto"/>
          <w:szCs w:val="21"/>
          <w:u w:val="none"/>
        </w:rPr>
        <w:fldChar w:fldCharType="end"/>
      </w:r>
    </w:p>
    <w:p w14:paraId="4D55EB2B">
      <w:pPr>
        <w:pStyle w:val="7"/>
        <w:tabs>
          <w:tab w:val="right" w:leader="dot" w:pos="8788"/>
          <w:tab w:val="clear" w:pos="8778"/>
        </w:tabs>
      </w:pPr>
      <w:r>
        <w:rPr>
          <w:color w:val="auto"/>
          <w:szCs w:val="21"/>
          <w:u w:val="none"/>
        </w:rPr>
        <w:fldChar w:fldCharType="begin"/>
      </w:r>
      <w:r>
        <w:rPr>
          <w:szCs w:val="21"/>
        </w:rPr>
        <w:instrText xml:space="preserve"> HYPERLINK \l _Toc31937 </w:instrText>
      </w:r>
      <w:r>
        <w:rPr>
          <w:szCs w:val="21"/>
        </w:rPr>
        <w:fldChar w:fldCharType="separate"/>
      </w:r>
      <w:r>
        <w:rPr>
          <w:rFonts w:ascii="Arial Narrow" w:hAnsi="Arial Narrow" w:eastAsia="仿宋_GB2312"/>
        </w:rPr>
        <w:t>二、绩效评价工作情况</w:t>
      </w:r>
      <w:r>
        <w:tab/>
      </w:r>
      <w:r>
        <w:fldChar w:fldCharType="begin"/>
      </w:r>
      <w:r>
        <w:instrText xml:space="preserve"> PAGEREF _Toc31937 \h </w:instrText>
      </w:r>
      <w:r>
        <w:fldChar w:fldCharType="separate"/>
      </w:r>
      <w:r>
        <w:t>2</w:t>
      </w:r>
      <w:r>
        <w:fldChar w:fldCharType="end"/>
      </w:r>
      <w:r>
        <w:rPr>
          <w:color w:val="auto"/>
          <w:szCs w:val="21"/>
          <w:u w:val="none"/>
        </w:rPr>
        <w:fldChar w:fldCharType="end"/>
      </w:r>
    </w:p>
    <w:p w14:paraId="51F4A40F">
      <w:pPr>
        <w:pStyle w:val="7"/>
        <w:tabs>
          <w:tab w:val="right" w:leader="dot" w:pos="8788"/>
          <w:tab w:val="clear" w:pos="8778"/>
        </w:tabs>
      </w:pPr>
      <w:r>
        <w:rPr>
          <w:color w:val="auto"/>
          <w:szCs w:val="21"/>
          <w:u w:val="none"/>
        </w:rPr>
        <w:fldChar w:fldCharType="begin"/>
      </w:r>
      <w:r>
        <w:rPr>
          <w:szCs w:val="21"/>
        </w:rPr>
        <w:instrText xml:space="preserve"> HYPERLINK \l _Toc17391 </w:instrText>
      </w:r>
      <w:r>
        <w:rPr>
          <w:szCs w:val="21"/>
        </w:rPr>
        <w:fldChar w:fldCharType="separate"/>
      </w:r>
      <w:r>
        <w:rPr>
          <w:rFonts w:ascii="Arial Narrow" w:hAnsi="Arial Narrow" w:eastAsia="仿宋_GB2312"/>
        </w:rPr>
        <w:t>（一）绩效评价目的</w:t>
      </w:r>
      <w:r>
        <w:tab/>
      </w:r>
      <w:r>
        <w:fldChar w:fldCharType="begin"/>
      </w:r>
      <w:r>
        <w:instrText xml:space="preserve"> PAGEREF _Toc17391 \h </w:instrText>
      </w:r>
      <w:r>
        <w:fldChar w:fldCharType="separate"/>
      </w:r>
      <w:r>
        <w:t>2</w:t>
      </w:r>
      <w:r>
        <w:fldChar w:fldCharType="end"/>
      </w:r>
      <w:r>
        <w:rPr>
          <w:color w:val="auto"/>
          <w:szCs w:val="21"/>
          <w:u w:val="none"/>
        </w:rPr>
        <w:fldChar w:fldCharType="end"/>
      </w:r>
    </w:p>
    <w:p w14:paraId="37790BA4">
      <w:pPr>
        <w:pStyle w:val="7"/>
        <w:tabs>
          <w:tab w:val="right" w:leader="dot" w:pos="8788"/>
          <w:tab w:val="clear" w:pos="8778"/>
        </w:tabs>
      </w:pPr>
      <w:r>
        <w:rPr>
          <w:color w:val="auto"/>
          <w:szCs w:val="21"/>
          <w:u w:val="none"/>
        </w:rPr>
        <w:fldChar w:fldCharType="begin"/>
      </w:r>
      <w:r>
        <w:rPr>
          <w:szCs w:val="21"/>
        </w:rPr>
        <w:instrText xml:space="preserve"> HYPERLINK \l _Toc17014 </w:instrText>
      </w:r>
      <w:r>
        <w:rPr>
          <w:szCs w:val="21"/>
        </w:rPr>
        <w:fldChar w:fldCharType="separate"/>
      </w:r>
      <w:r>
        <w:rPr>
          <w:rFonts w:ascii="Arial Narrow" w:hAnsi="Arial Narrow" w:eastAsia="仿宋_GB2312"/>
        </w:rPr>
        <w:t>（二）绩效评价的</w:t>
      </w:r>
      <w:r>
        <w:rPr>
          <w:rFonts w:hint="eastAsia" w:ascii="Arial Narrow" w:hAnsi="Arial Narrow" w:eastAsia="仿宋_GB2312"/>
        </w:rPr>
        <w:t>基本内容</w:t>
      </w:r>
      <w:r>
        <w:tab/>
      </w:r>
      <w:r>
        <w:fldChar w:fldCharType="begin"/>
      </w:r>
      <w:r>
        <w:instrText xml:space="preserve"> PAGEREF _Toc17014 \h </w:instrText>
      </w:r>
      <w:r>
        <w:fldChar w:fldCharType="separate"/>
      </w:r>
      <w:r>
        <w:t>2</w:t>
      </w:r>
      <w:r>
        <w:fldChar w:fldCharType="end"/>
      </w:r>
      <w:r>
        <w:rPr>
          <w:color w:val="auto"/>
          <w:szCs w:val="21"/>
          <w:u w:val="none"/>
        </w:rPr>
        <w:fldChar w:fldCharType="end"/>
      </w:r>
    </w:p>
    <w:p w14:paraId="2AAF778F">
      <w:pPr>
        <w:pStyle w:val="7"/>
        <w:tabs>
          <w:tab w:val="right" w:leader="dot" w:pos="8788"/>
          <w:tab w:val="clear" w:pos="8778"/>
        </w:tabs>
      </w:pPr>
      <w:r>
        <w:rPr>
          <w:color w:val="auto"/>
          <w:szCs w:val="21"/>
          <w:u w:val="none"/>
        </w:rPr>
        <w:fldChar w:fldCharType="begin"/>
      </w:r>
      <w:r>
        <w:rPr>
          <w:szCs w:val="21"/>
        </w:rPr>
        <w:instrText xml:space="preserve"> HYPERLINK \l _Toc32159 </w:instrText>
      </w:r>
      <w:r>
        <w:rPr>
          <w:szCs w:val="21"/>
        </w:rPr>
        <w:fldChar w:fldCharType="separate"/>
      </w:r>
      <w:r>
        <w:rPr>
          <w:rFonts w:ascii="Arial Narrow" w:hAnsi="Arial Narrow" w:eastAsia="仿宋_GB2312"/>
        </w:rPr>
        <w:t>（三）绩效评价依据</w:t>
      </w:r>
      <w:r>
        <w:tab/>
      </w:r>
      <w:r>
        <w:fldChar w:fldCharType="begin"/>
      </w:r>
      <w:r>
        <w:instrText xml:space="preserve"> PAGEREF _Toc32159 \h </w:instrText>
      </w:r>
      <w:r>
        <w:fldChar w:fldCharType="separate"/>
      </w:r>
      <w:r>
        <w:t>2</w:t>
      </w:r>
      <w:r>
        <w:fldChar w:fldCharType="end"/>
      </w:r>
      <w:r>
        <w:rPr>
          <w:color w:val="auto"/>
          <w:szCs w:val="21"/>
          <w:u w:val="none"/>
        </w:rPr>
        <w:fldChar w:fldCharType="end"/>
      </w:r>
    </w:p>
    <w:p w14:paraId="6C141BDF">
      <w:pPr>
        <w:pStyle w:val="7"/>
        <w:tabs>
          <w:tab w:val="right" w:leader="dot" w:pos="8788"/>
          <w:tab w:val="clear" w:pos="8778"/>
        </w:tabs>
      </w:pPr>
      <w:r>
        <w:rPr>
          <w:color w:val="auto"/>
          <w:szCs w:val="21"/>
          <w:u w:val="none"/>
        </w:rPr>
        <w:fldChar w:fldCharType="begin"/>
      </w:r>
      <w:r>
        <w:rPr>
          <w:szCs w:val="21"/>
        </w:rPr>
        <w:instrText xml:space="preserve"> HYPERLINK \l _Toc20244 </w:instrText>
      </w:r>
      <w:r>
        <w:rPr>
          <w:szCs w:val="21"/>
        </w:rPr>
        <w:fldChar w:fldCharType="separate"/>
      </w:r>
      <w:r>
        <w:rPr>
          <w:rFonts w:ascii="Arial Narrow" w:hAnsi="Arial Narrow" w:eastAsia="仿宋_GB2312"/>
        </w:rPr>
        <w:t>（四）绩效评价原则和指标体系</w:t>
      </w:r>
      <w:r>
        <w:tab/>
      </w:r>
      <w:r>
        <w:fldChar w:fldCharType="begin"/>
      </w:r>
      <w:r>
        <w:instrText xml:space="preserve"> PAGEREF _Toc20244 \h </w:instrText>
      </w:r>
      <w:r>
        <w:fldChar w:fldCharType="separate"/>
      </w:r>
      <w:r>
        <w:t>3</w:t>
      </w:r>
      <w:r>
        <w:fldChar w:fldCharType="end"/>
      </w:r>
      <w:r>
        <w:rPr>
          <w:color w:val="auto"/>
          <w:szCs w:val="21"/>
          <w:u w:val="none"/>
        </w:rPr>
        <w:fldChar w:fldCharType="end"/>
      </w:r>
    </w:p>
    <w:p w14:paraId="081D1385">
      <w:pPr>
        <w:pStyle w:val="7"/>
        <w:tabs>
          <w:tab w:val="right" w:leader="dot" w:pos="8788"/>
          <w:tab w:val="clear" w:pos="8778"/>
        </w:tabs>
      </w:pPr>
      <w:r>
        <w:rPr>
          <w:color w:val="auto"/>
          <w:szCs w:val="21"/>
          <w:u w:val="none"/>
        </w:rPr>
        <w:fldChar w:fldCharType="begin"/>
      </w:r>
      <w:r>
        <w:rPr>
          <w:szCs w:val="21"/>
        </w:rPr>
        <w:instrText xml:space="preserve"> HYPERLINK \l _Toc7253 </w:instrText>
      </w:r>
      <w:r>
        <w:rPr>
          <w:szCs w:val="21"/>
        </w:rPr>
        <w:fldChar w:fldCharType="separate"/>
      </w:r>
      <w:r>
        <w:rPr>
          <w:rFonts w:ascii="Arial Narrow" w:hAnsi="Arial Narrow" w:eastAsia="仿宋_GB2312"/>
        </w:rPr>
        <w:t>（五）绩效评价标准和评价方法</w:t>
      </w:r>
      <w:r>
        <w:tab/>
      </w:r>
      <w:r>
        <w:fldChar w:fldCharType="begin"/>
      </w:r>
      <w:r>
        <w:instrText xml:space="preserve"> PAGEREF _Toc7253 \h </w:instrText>
      </w:r>
      <w:r>
        <w:fldChar w:fldCharType="separate"/>
      </w:r>
      <w:r>
        <w:t>5</w:t>
      </w:r>
      <w:r>
        <w:fldChar w:fldCharType="end"/>
      </w:r>
      <w:r>
        <w:rPr>
          <w:color w:val="auto"/>
          <w:szCs w:val="21"/>
          <w:u w:val="none"/>
        </w:rPr>
        <w:fldChar w:fldCharType="end"/>
      </w:r>
    </w:p>
    <w:p w14:paraId="51E0AB8F">
      <w:pPr>
        <w:pStyle w:val="7"/>
        <w:tabs>
          <w:tab w:val="right" w:leader="dot" w:pos="8788"/>
          <w:tab w:val="clear" w:pos="8778"/>
        </w:tabs>
      </w:pPr>
      <w:r>
        <w:rPr>
          <w:color w:val="auto"/>
          <w:szCs w:val="21"/>
          <w:u w:val="none"/>
        </w:rPr>
        <w:fldChar w:fldCharType="begin"/>
      </w:r>
      <w:r>
        <w:rPr>
          <w:szCs w:val="21"/>
        </w:rPr>
        <w:instrText xml:space="preserve"> HYPERLINK \l _Toc20577 </w:instrText>
      </w:r>
      <w:r>
        <w:rPr>
          <w:szCs w:val="21"/>
        </w:rPr>
        <w:fldChar w:fldCharType="separate"/>
      </w:r>
      <w:r>
        <w:rPr>
          <w:rFonts w:ascii="Arial Narrow" w:hAnsi="Arial Narrow" w:eastAsia="仿宋_GB2312"/>
        </w:rPr>
        <w:t>（六）绩效评价工作过程</w:t>
      </w:r>
      <w:r>
        <w:tab/>
      </w:r>
      <w:r>
        <w:fldChar w:fldCharType="begin"/>
      </w:r>
      <w:r>
        <w:instrText xml:space="preserve"> PAGEREF _Toc20577 \h </w:instrText>
      </w:r>
      <w:r>
        <w:fldChar w:fldCharType="separate"/>
      </w:r>
      <w:r>
        <w:t>6</w:t>
      </w:r>
      <w:r>
        <w:fldChar w:fldCharType="end"/>
      </w:r>
      <w:r>
        <w:rPr>
          <w:color w:val="auto"/>
          <w:szCs w:val="21"/>
          <w:u w:val="none"/>
        </w:rPr>
        <w:fldChar w:fldCharType="end"/>
      </w:r>
    </w:p>
    <w:p w14:paraId="3C071440">
      <w:pPr>
        <w:pStyle w:val="7"/>
        <w:tabs>
          <w:tab w:val="right" w:leader="dot" w:pos="8788"/>
          <w:tab w:val="clear" w:pos="8778"/>
        </w:tabs>
      </w:pPr>
      <w:r>
        <w:rPr>
          <w:color w:val="auto"/>
          <w:szCs w:val="21"/>
          <w:u w:val="none"/>
        </w:rPr>
        <w:fldChar w:fldCharType="begin"/>
      </w:r>
      <w:r>
        <w:rPr>
          <w:szCs w:val="21"/>
        </w:rPr>
        <w:instrText xml:space="preserve"> HYPERLINK \l _Toc32448 </w:instrText>
      </w:r>
      <w:r>
        <w:rPr>
          <w:szCs w:val="21"/>
        </w:rPr>
        <w:fldChar w:fldCharType="separate"/>
      </w:r>
      <w:r>
        <w:rPr>
          <w:rFonts w:ascii="Arial Narrow" w:hAnsi="Arial Narrow" w:eastAsia="仿宋_GB2312"/>
        </w:rPr>
        <w:t>三、</w:t>
      </w:r>
      <w:r>
        <w:rPr>
          <w:rFonts w:hint="eastAsia" w:ascii="Arial Narrow" w:hAnsi="Arial Narrow" w:eastAsia="仿宋_GB2312"/>
        </w:rPr>
        <w:t>项目</w:t>
      </w:r>
      <w:r>
        <w:rPr>
          <w:rFonts w:ascii="Arial Narrow" w:hAnsi="Arial Narrow" w:eastAsia="仿宋_GB2312"/>
        </w:rPr>
        <w:t>评价结论</w:t>
      </w:r>
      <w:r>
        <w:tab/>
      </w:r>
      <w:r>
        <w:fldChar w:fldCharType="begin"/>
      </w:r>
      <w:r>
        <w:instrText xml:space="preserve"> PAGEREF _Toc32448 \h </w:instrText>
      </w:r>
      <w:r>
        <w:fldChar w:fldCharType="separate"/>
      </w:r>
      <w:r>
        <w:t>6</w:t>
      </w:r>
      <w:r>
        <w:fldChar w:fldCharType="end"/>
      </w:r>
      <w:r>
        <w:rPr>
          <w:color w:val="auto"/>
          <w:szCs w:val="21"/>
          <w:u w:val="none"/>
        </w:rPr>
        <w:fldChar w:fldCharType="end"/>
      </w:r>
    </w:p>
    <w:p w14:paraId="445D94DB">
      <w:pPr>
        <w:pStyle w:val="7"/>
        <w:tabs>
          <w:tab w:val="right" w:leader="dot" w:pos="8788"/>
          <w:tab w:val="clear" w:pos="8778"/>
        </w:tabs>
      </w:pPr>
      <w:r>
        <w:rPr>
          <w:color w:val="auto"/>
          <w:szCs w:val="21"/>
          <w:u w:val="none"/>
        </w:rPr>
        <w:fldChar w:fldCharType="begin"/>
      </w:r>
      <w:r>
        <w:rPr>
          <w:szCs w:val="21"/>
        </w:rPr>
        <w:instrText xml:space="preserve"> HYPERLINK \l _Toc31305 </w:instrText>
      </w:r>
      <w:r>
        <w:rPr>
          <w:szCs w:val="21"/>
        </w:rPr>
        <w:fldChar w:fldCharType="separate"/>
      </w:r>
      <w:r>
        <w:rPr>
          <w:rFonts w:hint="eastAsia" w:ascii="Arial Narrow" w:hAnsi="Arial Narrow" w:eastAsia="仿宋_GB2312"/>
        </w:rPr>
        <w:t>四、</w:t>
      </w:r>
      <w:r>
        <w:rPr>
          <w:rFonts w:ascii="Arial Narrow" w:hAnsi="Arial Narrow" w:eastAsia="仿宋_GB2312"/>
        </w:rPr>
        <w:t>综合评价情况</w:t>
      </w:r>
      <w:r>
        <w:tab/>
      </w:r>
      <w:r>
        <w:fldChar w:fldCharType="begin"/>
      </w:r>
      <w:r>
        <w:instrText xml:space="preserve"> PAGEREF _Toc31305 \h </w:instrText>
      </w:r>
      <w:r>
        <w:fldChar w:fldCharType="separate"/>
      </w:r>
      <w:r>
        <w:t>6</w:t>
      </w:r>
      <w:r>
        <w:fldChar w:fldCharType="end"/>
      </w:r>
      <w:r>
        <w:rPr>
          <w:color w:val="auto"/>
          <w:szCs w:val="21"/>
          <w:u w:val="none"/>
        </w:rPr>
        <w:fldChar w:fldCharType="end"/>
      </w:r>
    </w:p>
    <w:p w14:paraId="6D88162D">
      <w:pPr>
        <w:pStyle w:val="7"/>
        <w:tabs>
          <w:tab w:val="right" w:leader="dot" w:pos="8788"/>
          <w:tab w:val="clear" w:pos="8778"/>
        </w:tabs>
      </w:pPr>
      <w:r>
        <w:rPr>
          <w:color w:val="auto"/>
          <w:szCs w:val="21"/>
          <w:u w:val="none"/>
        </w:rPr>
        <w:fldChar w:fldCharType="begin"/>
      </w:r>
      <w:r>
        <w:rPr>
          <w:szCs w:val="21"/>
        </w:rPr>
        <w:instrText xml:space="preserve"> HYPERLINK \l _Toc306 </w:instrText>
      </w:r>
      <w:r>
        <w:rPr>
          <w:szCs w:val="21"/>
        </w:rPr>
        <w:fldChar w:fldCharType="separate"/>
      </w:r>
      <w:r>
        <w:rPr>
          <w:rFonts w:hint="eastAsia" w:ascii="仿宋_GB2312" w:eastAsia="仿宋_GB2312"/>
        </w:rPr>
        <w:t>（一）资金管理</w:t>
      </w:r>
      <w:r>
        <w:tab/>
      </w:r>
      <w:r>
        <w:fldChar w:fldCharType="begin"/>
      </w:r>
      <w:r>
        <w:instrText xml:space="preserve"> PAGEREF _Toc306 \h </w:instrText>
      </w:r>
      <w:r>
        <w:fldChar w:fldCharType="separate"/>
      </w:r>
      <w:r>
        <w:t>6</w:t>
      </w:r>
      <w:r>
        <w:fldChar w:fldCharType="end"/>
      </w:r>
      <w:r>
        <w:rPr>
          <w:color w:val="auto"/>
          <w:szCs w:val="21"/>
          <w:u w:val="none"/>
        </w:rPr>
        <w:fldChar w:fldCharType="end"/>
      </w:r>
    </w:p>
    <w:p w14:paraId="3CE82148">
      <w:pPr>
        <w:pStyle w:val="7"/>
        <w:tabs>
          <w:tab w:val="right" w:leader="dot" w:pos="8788"/>
          <w:tab w:val="clear" w:pos="8778"/>
        </w:tabs>
      </w:pPr>
      <w:r>
        <w:rPr>
          <w:color w:val="auto"/>
          <w:szCs w:val="21"/>
          <w:u w:val="none"/>
        </w:rPr>
        <w:fldChar w:fldCharType="begin"/>
      </w:r>
      <w:r>
        <w:rPr>
          <w:szCs w:val="21"/>
        </w:rPr>
        <w:instrText xml:space="preserve"> HYPERLINK \l _Toc6047 </w:instrText>
      </w:r>
      <w:r>
        <w:rPr>
          <w:szCs w:val="21"/>
        </w:rPr>
        <w:fldChar w:fldCharType="separate"/>
      </w:r>
      <w:r>
        <w:rPr>
          <w:rFonts w:hint="eastAsia" w:ascii="仿宋_GB2312" w:eastAsia="仿宋_GB2312"/>
        </w:rPr>
        <w:t>（二）项目管理</w:t>
      </w:r>
      <w:r>
        <w:tab/>
      </w:r>
      <w:r>
        <w:fldChar w:fldCharType="begin"/>
      </w:r>
      <w:r>
        <w:instrText xml:space="preserve"> PAGEREF _Toc6047 \h </w:instrText>
      </w:r>
      <w:r>
        <w:fldChar w:fldCharType="separate"/>
      </w:r>
      <w:r>
        <w:t>6</w:t>
      </w:r>
      <w:r>
        <w:fldChar w:fldCharType="end"/>
      </w:r>
      <w:r>
        <w:rPr>
          <w:color w:val="auto"/>
          <w:szCs w:val="21"/>
          <w:u w:val="none"/>
        </w:rPr>
        <w:fldChar w:fldCharType="end"/>
      </w:r>
    </w:p>
    <w:p w14:paraId="4EED2544">
      <w:pPr>
        <w:pStyle w:val="7"/>
        <w:tabs>
          <w:tab w:val="right" w:leader="dot" w:pos="8788"/>
          <w:tab w:val="clear" w:pos="8778"/>
        </w:tabs>
      </w:pPr>
      <w:r>
        <w:rPr>
          <w:color w:val="auto"/>
          <w:szCs w:val="21"/>
          <w:u w:val="none"/>
        </w:rPr>
        <w:fldChar w:fldCharType="begin"/>
      </w:r>
      <w:r>
        <w:rPr>
          <w:szCs w:val="21"/>
        </w:rPr>
        <w:instrText xml:space="preserve"> HYPERLINK \l _Toc19403 </w:instrText>
      </w:r>
      <w:r>
        <w:rPr>
          <w:szCs w:val="21"/>
        </w:rPr>
        <w:fldChar w:fldCharType="separate"/>
      </w:r>
      <w:r>
        <w:rPr>
          <w:rFonts w:hint="eastAsia" w:ascii="仿宋_GB2312" w:eastAsia="仿宋_GB2312"/>
        </w:rPr>
        <w:t>（三）使用成效及通报情况</w:t>
      </w:r>
      <w:r>
        <w:tab/>
      </w:r>
      <w:r>
        <w:fldChar w:fldCharType="begin"/>
      </w:r>
      <w:r>
        <w:instrText xml:space="preserve"> PAGEREF _Toc19403 \h </w:instrText>
      </w:r>
      <w:r>
        <w:fldChar w:fldCharType="separate"/>
      </w:r>
      <w:r>
        <w:t>7</w:t>
      </w:r>
      <w:r>
        <w:fldChar w:fldCharType="end"/>
      </w:r>
      <w:r>
        <w:rPr>
          <w:color w:val="auto"/>
          <w:szCs w:val="21"/>
          <w:u w:val="none"/>
        </w:rPr>
        <w:fldChar w:fldCharType="end"/>
      </w:r>
    </w:p>
    <w:p w14:paraId="7D52AD3B">
      <w:pPr>
        <w:pStyle w:val="7"/>
        <w:tabs>
          <w:tab w:val="right" w:leader="dot" w:pos="8788"/>
          <w:tab w:val="clear" w:pos="8778"/>
        </w:tabs>
      </w:pPr>
      <w:r>
        <w:rPr>
          <w:color w:val="auto"/>
          <w:szCs w:val="21"/>
          <w:u w:val="none"/>
        </w:rPr>
        <w:fldChar w:fldCharType="begin"/>
      </w:r>
      <w:r>
        <w:rPr>
          <w:szCs w:val="21"/>
        </w:rPr>
        <w:instrText xml:space="preserve"> HYPERLINK \l _Toc7709 </w:instrText>
      </w:r>
      <w:r>
        <w:rPr>
          <w:szCs w:val="21"/>
        </w:rPr>
        <w:fldChar w:fldCharType="separate"/>
      </w:r>
      <w:r>
        <w:rPr>
          <w:rFonts w:hint="eastAsia" w:ascii="Arial Narrow" w:hAnsi="Arial Narrow" w:eastAsia="仿宋_GB2312"/>
        </w:rPr>
        <w:t>五</w:t>
      </w:r>
      <w:r>
        <w:rPr>
          <w:rFonts w:ascii="Arial Narrow" w:hAnsi="Arial Narrow" w:eastAsia="仿宋_GB2312"/>
        </w:rPr>
        <w:t>、存在的问题和建议</w:t>
      </w:r>
      <w:r>
        <w:tab/>
      </w:r>
      <w:r>
        <w:fldChar w:fldCharType="begin"/>
      </w:r>
      <w:r>
        <w:instrText xml:space="preserve"> PAGEREF _Toc7709 \h </w:instrText>
      </w:r>
      <w:r>
        <w:fldChar w:fldCharType="separate"/>
      </w:r>
      <w:r>
        <w:t>7</w:t>
      </w:r>
      <w:r>
        <w:fldChar w:fldCharType="end"/>
      </w:r>
      <w:r>
        <w:rPr>
          <w:color w:val="auto"/>
          <w:szCs w:val="21"/>
          <w:u w:val="none"/>
        </w:rPr>
        <w:fldChar w:fldCharType="end"/>
      </w:r>
    </w:p>
    <w:p w14:paraId="68183620">
      <w:pPr>
        <w:pStyle w:val="7"/>
        <w:tabs>
          <w:tab w:val="right" w:leader="dot" w:pos="8788"/>
          <w:tab w:val="clear" w:pos="8778"/>
        </w:tabs>
      </w:pPr>
      <w:r>
        <w:rPr>
          <w:color w:val="auto"/>
          <w:szCs w:val="21"/>
          <w:u w:val="none"/>
        </w:rPr>
        <w:fldChar w:fldCharType="begin"/>
      </w:r>
      <w:r>
        <w:rPr>
          <w:szCs w:val="21"/>
        </w:rPr>
        <w:instrText xml:space="preserve"> HYPERLINK \l _Toc6934 </w:instrText>
      </w:r>
      <w:r>
        <w:rPr>
          <w:szCs w:val="21"/>
        </w:rPr>
        <w:fldChar w:fldCharType="separate"/>
      </w:r>
      <w:r>
        <w:rPr>
          <w:rFonts w:hint="eastAsia" w:ascii="仿宋_GB2312" w:eastAsia="仿宋_GB2312"/>
        </w:rPr>
        <w:t>（一）存在问题</w:t>
      </w:r>
      <w:r>
        <w:tab/>
      </w:r>
      <w:r>
        <w:fldChar w:fldCharType="begin"/>
      </w:r>
      <w:r>
        <w:instrText xml:space="preserve"> PAGEREF _Toc6934 \h </w:instrText>
      </w:r>
      <w:r>
        <w:fldChar w:fldCharType="separate"/>
      </w:r>
      <w:r>
        <w:t>7</w:t>
      </w:r>
      <w:r>
        <w:fldChar w:fldCharType="end"/>
      </w:r>
      <w:r>
        <w:rPr>
          <w:color w:val="auto"/>
          <w:szCs w:val="21"/>
          <w:u w:val="none"/>
        </w:rPr>
        <w:fldChar w:fldCharType="end"/>
      </w:r>
    </w:p>
    <w:p w14:paraId="64A9416F">
      <w:pPr>
        <w:pStyle w:val="7"/>
        <w:tabs>
          <w:tab w:val="right" w:leader="dot" w:pos="8788"/>
          <w:tab w:val="clear" w:pos="8778"/>
        </w:tabs>
      </w:pPr>
      <w:r>
        <w:rPr>
          <w:color w:val="auto"/>
          <w:szCs w:val="21"/>
          <w:u w:val="none"/>
        </w:rPr>
        <w:fldChar w:fldCharType="begin"/>
      </w:r>
      <w:r>
        <w:rPr>
          <w:szCs w:val="21"/>
        </w:rPr>
        <w:instrText xml:space="preserve"> HYPERLINK \l _Toc18189 </w:instrText>
      </w:r>
      <w:r>
        <w:rPr>
          <w:szCs w:val="21"/>
        </w:rPr>
        <w:fldChar w:fldCharType="separate"/>
      </w:r>
      <w:r>
        <w:rPr>
          <w:rFonts w:hint="eastAsia" w:ascii="仿宋_GB2312" w:eastAsia="仿宋_GB2312"/>
        </w:rPr>
        <w:t>（二）建议</w:t>
      </w:r>
      <w:r>
        <w:tab/>
      </w:r>
      <w:r>
        <w:fldChar w:fldCharType="begin"/>
      </w:r>
      <w:r>
        <w:instrText xml:space="preserve"> PAGEREF _Toc18189 \h </w:instrText>
      </w:r>
      <w:r>
        <w:fldChar w:fldCharType="separate"/>
      </w:r>
      <w:r>
        <w:t>7</w:t>
      </w:r>
      <w:r>
        <w:fldChar w:fldCharType="end"/>
      </w:r>
      <w:r>
        <w:rPr>
          <w:color w:val="auto"/>
          <w:szCs w:val="21"/>
          <w:u w:val="none"/>
        </w:rPr>
        <w:fldChar w:fldCharType="end"/>
      </w:r>
    </w:p>
    <w:p w14:paraId="1829F6BF">
      <w:pPr>
        <w:pStyle w:val="13"/>
        <w:spacing w:line="460" w:lineRule="exact"/>
        <w:rPr>
          <w:rFonts w:ascii="Arial Narrow" w:hAnsi="Arial Narrow" w:eastAsia="仿宋_GB2312"/>
          <w:bCs/>
          <w:w w:val="80"/>
        </w:rPr>
        <w:sectPr>
          <w:footerReference r:id="rId3" w:type="default"/>
          <w:pgSz w:w="11907" w:h="16840"/>
          <w:pgMar w:top="1418" w:right="1418" w:bottom="1134" w:left="1701" w:header="851" w:footer="851" w:gutter="0"/>
          <w:pgNumType w:start="1"/>
          <w:cols w:space="425" w:num="1"/>
          <w:docGrid w:linePitch="312" w:charSpace="0"/>
        </w:sectPr>
      </w:pPr>
      <w:r>
        <w:rPr>
          <w:color w:val="auto"/>
          <w:szCs w:val="21"/>
          <w:u w:val="none"/>
        </w:rPr>
        <w:fldChar w:fldCharType="end"/>
      </w:r>
    </w:p>
    <w:p w14:paraId="6C64F8D2">
      <w:pPr>
        <w:spacing w:line="360" w:lineRule="auto"/>
        <w:jc w:val="right"/>
        <w:rPr>
          <w:rFonts w:ascii="Arial Narrow" w:hAnsi="Arial Narrow"/>
          <w:bCs/>
          <w:w w:val="80"/>
          <w:sz w:val="28"/>
          <w:szCs w:val="28"/>
        </w:rPr>
      </w:pPr>
    </w:p>
    <w:p w14:paraId="65C5C294">
      <w:pPr>
        <w:spacing w:line="360" w:lineRule="auto"/>
        <w:jc w:val="right"/>
        <w:rPr>
          <w:rFonts w:ascii="Arial Narrow" w:hAnsi="Arial Narrow"/>
          <w:bCs/>
          <w:w w:val="80"/>
          <w:sz w:val="28"/>
          <w:szCs w:val="28"/>
        </w:rPr>
      </w:pPr>
    </w:p>
    <w:p w14:paraId="29B3B8E5">
      <w:pPr>
        <w:widowControl/>
        <w:jc w:val="distribute"/>
        <w:rPr>
          <w:rFonts w:ascii="Arial Narrow" w:hAnsi="Arial Narrow" w:eastAsia="仿宋_GB2312" w:cs="楷体"/>
          <w:bCs/>
          <w:kern w:val="0"/>
          <w:sz w:val="28"/>
          <w:szCs w:val="28"/>
        </w:rPr>
      </w:pPr>
      <w:r>
        <w:rPr>
          <w:rFonts w:ascii="Arial Narrow" w:hAnsi="Arial Narrow" w:eastAsia="楷体" w:cs="楷体"/>
          <w:b/>
          <w:kern w:val="0"/>
          <w:sz w:val="72"/>
          <w:szCs w:val="72"/>
        </w:rPr>
        <w:t>重庆铭鸿金全会计师事务所</w:t>
      </w:r>
    </w:p>
    <w:p w14:paraId="33EDB602">
      <w:pPr>
        <w:widowControl/>
        <w:spacing w:line="360" w:lineRule="auto"/>
        <w:ind w:right="-2"/>
        <w:jc w:val="distribute"/>
        <w:rPr>
          <w:rFonts w:ascii="MS Mincho" w:hAnsi="MS Mincho" w:eastAsia="MS Mincho"/>
          <w:kern w:val="0"/>
          <w:sz w:val="28"/>
          <w:szCs w:val="28"/>
          <w:lang w:eastAsia="zh-TW"/>
        </w:rPr>
      </w:pPr>
      <w:r>
        <w:rPr>
          <w:rFonts w:ascii="MS Mincho" w:hAnsi="MS Mincho" w:eastAsia="MS Mincho"/>
          <w:b/>
          <w:kern w:val="0"/>
          <w:sz w:val="32"/>
          <w:szCs w:val="20"/>
          <w:lang w:eastAsia="zh-TW"/>
        </w:rPr>
        <w:t xml:space="preserve">Chongqing </w:t>
      </w:r>
      <w:r>
        <w:rPr>
          <w:rFonts w:ascii="MS Mincho" w:hAnsi="MS Mincho" w:eastAsia="MS Mincho"/>
          <w:b/>
          <w:kern w:val="0"/>
          <w:sz w:val="32"/>
          <w:szCs w:val="20"/>
        </w:rPr>
        <w:t>MingHong</w:t>
      </w:r>
      <w:r>
        <w:rPr>
          <w:rFonts w:ascii="MS Mincho" w:hAnsi="MS Mincho" w:eastAsia="MS Mincho"/>
          <w:b/>
          <w:kern w:val="0"/>
          <w:sz w:val="32"/>
          <w:szCs w:val="20"/>
          <w:lang w:eastAsia="zh-TW"/>
        </w:rPr>
        <w:t xml:space="preserve"> </w:t>
      </w:r>
      <w:r>
        <w:rPr>
          <w:rFonts w:ascii="MS Mincho" w:hAnsi="MS Mincho" w:eastAsia="MS Mincho"/>
          <w:b/>
          <w:kern w:val="0"/>
          <w:sz w:val="32"/>
          <w:szCs w:val="20"/>
        </w:rPr>
        <w:t>JinQuan</w:t>
      </w:r>
      <w:r>
        <w:rPr>
          <w:rFonts w:ascii="MS Mincho" w:hAnsi="MS Mincho" w:eastAsia="MS Mincho"/>
          <w:b/>
          <w:kern w:val="0"/>
          <w:sz w:val="32"/>
          <w:szCs w:val="20"/>
          <w:lang w:eastAsia="zh-TW"/>
        </w:rPr>
        <w:t xml:space="preserve"> Certified Public Accountants</w:t>
      </w:r>
    </w:p>
    <w:p w14:paraId="441F129C">
      <w:pPr>
        <w:spacing w:line="360" w:lineRule="auto"/>
        <w:jc w:val="center"/>
        <w:rPr>
          <w:rFonts w:ascii="Arial Narrow" w:hAnsi="Arial Narrow" w:eastAsia="仿宋_GB2312"/>
          <w:sz w:val="28"/>
          <w:szCs w:val="28"/>
        </w:rPr>
      </w:pPr>
      <w:r>
        <w:rPr>
          <w:rFonts w:ascii="Arial Narrow" w:hAnsi="Arial Narrow" w:eastAsia="仿宋_GB2312"/>
          <w:kern w:val="0"/>
          <w:sz w:val="28"/>
          <w:szCs w:val="28"/>
        </w:rPr>
        <w:t>铭</w:t>
      </w:r>
      <w:r>
        <w:rPr>
          <w:rFonts w:ascii="Arial Narrow" w:hAnsi="Arial Narrow" w:eastAsia="仿宋_GB2312"/>
          <w:sz w:val="28"/>
          <w:szCs w:val="28"/>
        </w:rPr>
        <w:t>鸿</w:t>
      </w:r>
      <w:r>
        <w:rPr>
          <w:rFonts w:hint="eastAsia" w:ascii="Arial Narrow" w:hAnsi="Arial Narrow" w:eastAsia="仿宋_GB2312"/>
          <w:sz w:val="28"/>
          <w:szCs w:val="28"/>
        </w:rPr>
        <w:t>咨字〔2024〕</w:t>
      </w:r>
      <w:r>
        <w:rPr>
          <w:rFonts w:ascii="Arial Narrow" w:hAnsi="Arial Narrow" w:eastAsia="仿宋_GB2312"/>
          <w:sz w:val="28"/>
          <w:szCs w:val="28"/>
        </w:rPr>
        <w:t>第</w:t>
      </w:r>
      <w:r>
        <w:rPr>
          <w:rFonts w:hint="eastAsia" w:ascii="Arial Narrow" w:hAnsi="Arial Narrow" w:eastAsia="仿宋_GB2312"/>
          <w:sz w:val="28"/>
          <w:szCs w:val="28"/>
        </w:rPr>
        <w:t>0</w:t>
      </w:r>
      <w:r>
        <w:rPr>
          <w:rFonts w:hint="eastAsia" w:ascii="Arial Narrow" w:hAnsi="Arial Narrow" w:eastAsia="仿宋_GB2312"/>
          <w:sz w:val="28"/>
          <w:szCs w:val="28"/>
          <w:lang w:val="en-US" w:eastAsia="zh-CN"/>
        </w:rPr>
        <w:t>026</w:t>
      </w:r>
      <w:r>
        <w:rPr>
          <w:rFonts w:hint="eastAsia" w:ascii="Arial Narrow" w:hAnsi="Arial Narrow" w:eastAsia="仿宋_GB2312"/>
          <w:sz w:val="28"/>
          <w:szCs w:val="28"/>
        </w:rPr>
        <w:t>号</w:t>
      </w:r>
    </w:p>
    <w:p w14:paraId="18D0E85A">
      <w:pPr>
        <w:spacing w:line="360" w:lineRule="auto"/>
        <w:jc w:val="distribute"/>
        <w:rPr>
          <w:rFonts w:ascii="Arial Narrow" w:hAnsi="Arial Narrow"/>
          <w:w w:val="94"/>
        </w:rPr>
      </w:pPr>
      <w:r>
        <w:rPr>
          <w:rFonts w:hint="eastAsia" w:ascii="宋体" w:hAnsi="宋体" w:cs="宋体"/>
          <w:b/>
          <w:bCs/>
          <w:w w:val="94"/>
          <w:sz w:val="36"/>
          <w:szCs w:val="36"/>
        </w:rPr>
        <w:t>━━━━━━━━━━━━</w:t>
      </w:r>
      <w:r>
        <w:rPr>
          <w:rFonts w:ascii="Arial Narrow" w:hAnsi="Arial Narrow"/>
          <w:b/>
          <w:bCs/>
          <w:w w:val="94"/>
          <w:sz w:val="36"/>
          <w:szCs w:val="36"/>
        </w:rPr>
        <w:t xml:space="preserve"> </w:t>
      </w:r>
      <w:r>
        <w:rPr>
          <w:rFonts w:ascii="Segoe UI Symbol" w:hAnsi="Segoe UI Symbol" w:cs="Segoe UI Symbol"/>
          <w:b/>
          <w:bCs/>
          <w:w w:val="94"/>
          <w:sz w:val="36"/>
          <w:szCs w:val="36"/>
        </w:rPr>
        <w:t>★</w:t>
      </w:r>
      <w:r>
        <w:rPr>
          <w:rFonts w:ascii="Arial Narrow" w:hAnsi="Arial Narrow"/>
          <w:b/>
          <w:bCs/>
          <w:w w:val="94"/>
          <w:sz w:val="36"/>
          <w:szCs w:val="36"/>
        </w:rPr>
        <w:t xml:space="preserve"> </w:t>
      </w:r>
      <w:r>
        <w:rPr>
          <w:rFonts w:hint="eastAsia" w:ascii="宋体" w:hAnsi="宋体" w:cs="宋体"/>
          <w:b/>
          <w:bCs/>
          <w:w w:val="94"/>
          <w:sz w:val="36"/>
          <w:szCs w:val="36"/>
        </w:rPr>
        <w:t>━━━━━━━━━━━</w:t>
      </w:r>
      <w:bookmarkStart w:id="2" w:name="_Hlk51614207"/>
      <w:r>
        <w:rPr>
          <w:rFonts w:hint="eastAsia" w:ascii="宋体" w:hAnsi="宋体" w:cs="宋体"/>
          <w:b/>
          <w:bCs/>
          <w:w w:val="94"/>
          <w:sz w:val="36"/>
          <w:szCs w:val="36"/>
        </w:rPr>
        <w:t>━</w:t>
      </w:r>
      <w:bookmarkEnd w:id="2"/>
    </w:p>
    <w:p w14:paraId="6A0BC62E">
      <w:pPr>
        <w:adjustRightInd w:val="0"/>
        <w:snapToGrid w:val="0"/>
        <w:spacing w:line="360" w:lineRule="auto"/>
        <w:jc w:val="center"/>
        <w:rPr>
          <w:rStyle w:val="11"/>
          <w:rFonts w:hint="eastAsia" w:ascii="Arial Narrow" w:hAnsi="Arial Narrow" w:eastAsia="仿宋_GB2312"/>
          <w:b/>
          <w:color w:val="auto"/>
          <w:sz w:val="36"/>
          <w:szCs w:val="36"/>
          <w:u w:val="none"/>
          <w:lang w:val="en-US" w:eastAsia="zh-CN"/>
        </w:rPr>
      </w:pPr>
      <w:r>
        <w:rPr>
          <w:rFonts w:hint="eastAsia" w:ascii="Arial Narrow" w:hAnsi="Arial Narrow" w:eastAsia="仿宋"/>
          <w:b/>
          <w:sz w:val="36"/>
          <w:szCs w:val="36"/>
        </w:rPr>
        <w:t>重庆市铜梁区</w:t>
      </w:r>
      <w:r>
        <w:rPr>
          <w:rFonts w:hint="eastAsia" w:ascii="Arial Narrow" w:hAnsi="Arial Narrow" w:eastAsia="仿宋"/>
          <w:b/>
          <w:sz w:val="36"/>
          <w:szCs w:val="36"/>
          <w:lang w:val="en-US" w:eastAsia="zh-CN"/>
        </w:rPr>
        <w:t>围龙镇农旅融合配套提质工程</w:t>
      </w:r>
      <w:r>
        <w:rPr>
          <w:rStyle w:val="11"/>
          <w:rFonts w:hint="eastAsia" w:ascii="Arial Narrow" w:hAnsi="Arial Narrow" w:eastAsia="仿宋_GB2312"/>
          <w:b/>
          <w:color w:val="auto"/>
          <w:sz w:val="36"/>
          <w:szCs w:val="36"/>
          <w:u w:val="none"/>
          <w:lang w:val="en-US" w:eastAsia="zh-CN"/>
        </w:rPr>
        <w:t>等2个项目</w:t>
      </w:r>
    </w:p>
    <w:p w14:paraId="2D7381DC">
      <w:pPr>
        <w:adjustRightInd w:val="0"/>
        <w:snapToGrid w:val="0"/>
        <w:spacing w:line="360" w:lineRule="auto"/>
        <w:jc w:val="center"/>
        <w:rPr>
          <w:rFonts w:ascii="仿宋_GB2312" w:eastAsia="仿宋_GB2312"/>
          <w:b/>
          <w:sz w:val="36"/>
          <w:szCs w:val="36"/>
        </w:rPr>
      </w:pPr>
      <w:r>
        <w:rPr>
          <w:rFonts w:hint="eastAsia" w:ascii="仿宋_GB2312" w:eastAsia="仿宋_GB2312"/>
          <w:b/>
          <w:sz w:val="36"/>
          <w:szCs w:val="36"/>
        </w:rPr>
        <w:t>绩效评价报告</w:t>
      </w:r>
    </w:p>
    <w:p w14:paraId="59835DE5">
      <w:pPr>
        <w:pStyle w:val="14"/>
        <w:spacing w:line="360" w:lineRule="auto"/>
        <w:ind w:firstLine="480" w:firstLineChars="200"/>
        <w:jc w:val="both"/>
        <w:rPr>
          <w:rFonts w:ascii="Arial Narrow" w:hAnsi="Arial Narrow" w:eastAsia="仿宋_GB2312"/>
          <w:color w:val="auto"/>
        </w:rPr>
      </w:pPr>
      <w:r>
        <w:rPr>
          <w:rFonts w:ascii="Arial Narrow" w:hAnsi="Arial Narrow" w:eastAsia="仿宋_GB2312"/>
          <w:color w:val="auto"/>
        </w:rPr>
        <w:t>为深入贯彻落实党的十九大</w:t>
      </w:r>
      <w:r>
        <w:rPr>
          <w:rFonts w:hint="eastAsia" w:ascii="Arial Narrow" w:hAnsi="Arial Narrow" w:eastAsia="仿宋_GB2312"/>
          <w:color w:val="auto"/>
          <w:lang w:eastAsia="zh-CN"/>
        </w:rPr>
        <w:t>“</w:t>
      </w:r>
      <w:r>
        <w:rPr>
          <w:rFonts w:ascii="Arial Narrow" w:hAnsi="Arial Narrow" w:eastAsia="仿宋_GB2312"/>
          <w:color w:val="auto"/>
        </w:rPr>
        <w:t>全面实施绩效管理</w:t>
      </w:r>
      <w:r>
        <w:rPr>
          <w:rFonts w:hint="eastAsia" w:ascii="Arial Narrow" w:hAnsi="Arial Narrow" w:eastAsia="仿宋_GB2312"/>
          <w:color w:val="auto"/>
          <w:lang w:eastAsia="zh-CN"/>
        </w:rPr>
        <w:t>”</w:t>
      </w:r>
      <w:r>
        <w:rPr>
          <w:rFonts w:ascii="Arial Narrow" w:hAnsi="Arial Narrow" w:eastAsia="仿宋_GB2312"/>
          <w:color w:val="auto"/>
        </w:rPr>
        <w:t>决策部署，进一步提高政府投入资金的使用效益，促进公共服务资源的优化配置，根据《中华人民共和国预算法》、《项目支出绩效评价管理办法》</w:t>
      </w:r>
      <w:r>
        <w:rPr>
          <w:rFonts w:hint="eastAsia" w:ascii="Arial Narrow" w:hAnsi="Arial Narrow" w:eastAsia="仿宋_GB2312"/>
          <w:color w:val="auto"/>
        </w:rPr>
        <w:t>（财预〔2020〕1</w:t>
      </w:r>
      <w:r>
        <w:rPr>
          <w:rFonts w:ascii="Arial Narrow" w:hAnsi="Arial Narrow" w:eastAsia="仿宋_GB2312"/>
          <w:color w:val="auto"/>
        </w:rPr>
        <w:t>0</w:t>
      </w:r>
      <w:r>
        <w:rPr>
          <w:rFonts w:hint="eastAsia" w:ascii="Arial Narrow" w:hAnsi="Arial Narrow" w:eastAsia="仿宋_GB2312"/>
          <w:color w:val="auto"/>
        </w:rPr>
        <w:t>号）</w:t>
      </w:r>
      <w:r>
        <w:rPr>
          <w:rFonts w:hint="eastAsia" w:ascii="Arial Narrow" w:hAnsi="Arial Narrow" w:eastAsia="仿宋_GB2312"/>
          <w:color w:val="auto"/>
          <w:lang w:eastAsia="zh-CN"/>
        </w:rPr>
        <w:t>、</w:t>
      </w:r>
      <w:r>
        <w:rPr>
          <w:rFonts w:ascii="Arial Narrow" w:hAnsi="Arial Narrow" w:eastAsia="仿宋_GB2312"/>
          <w:color w:val="auto"/>
        </w:rPr>
        <w:t>《重庆市市级政策和项目预算绩效管理办法（试行）》</w:t>
      </w:r>
      <w:r>
        <w:rPr>
          <w:rFonts w:hint="eastAsia" w:ascii="Arial Narrow" w:hAnsi="Arial Narrow" w:eastAsia="仿宋_GB2312"/>
          <w:color w:val="auto"/>
        </w:rPr>
        <w:t>（渝财绩〔2019〕1</w:t>
      </w:r>
      <w:r>
        <w:rPr>
          <w:rFonts w:ascii="Arial Narrow" w:hAnsi="Arial Narrow" w:eastAsia="仿宋_GB2312"/>
          <w:color w:val="auto"/>
        </w:rPr>
        <w:t>9</w:t>
      </w:r>
      <w:r>
        <w:rPr>
          <w:rFonts w:hint="eastAsia" w:ascii="Arial Narrow" w:hAnsi="Arial Narrow" w:eastAsia="仿宋_GB2312"/>
          <w:color w:val="auto"/>
        </w:rPr>
        <w:t>号）</w:t>
      </w:r>
      <w:r>
        <w:rPr>
          <w:rFonts w:ascii="Arial Narrow" w:hAnsi="Arial Narrow" w:eastAsia="仿宋_GB2312"/>
          <w:color w:val="auto"/>
        </w:rPr>
        <w:t>，受</w:t>
      </w:r>
      <w:r>
        <w:rPr>
          <w:rFonts w:hint="eastAsia" w:ascii="Arial Narrow" w:hAnsi="Arial Narrow" w:eastAsia="仿宋_GB2312"/>
          <w:color w:val="auto"/>
        </w:rPr>
        <w:t>重庆市铜梁区财政局</w:t>
      </w:r>
      <w:r>
        <w:rPr>
          <w:rFonts w:ascii="Arial Narrow" w:hAnsi="Arial Narrow" w:eastAsia="仿宋_GB2312"/>
          <w:color w:val="auto"/>
        </w:rPr>
        <w:t>（以下简称</w:t>
      </w:r>
      <w:r>
        <w:rPr>
          <w:rFonts w:hint="eastAsia" w:ascii="Arial Narrow" w:hAnsi="Arial Narrow" w:eastAsia="仿宋_GB2312"/>
          <w:color w:val="auto"/>
          <w:lang w:eastAsia="zh-CN"/>
        </w:rPr>
        <w:t>“</w:t>
      </w:r>
      <w:r>
        <w:rPr>
          <w:rFonts w:hint="eastAsia" w:ascii="Arial Narrow" w:hAnsi="Arial Narrow" w:eastAsia="仿宋_GB2312"/>
          <w:color w:val="auto"/>
        </w:rPr>
        <w:t>财政局</w:t>
      </w:r>
      <w:r>
        <w:rPr>
          <w:rFonts w:hint="eastAsia" w:ascii="Arial Narrow" w:hAnsi="Arial Narrow" w:eastAsia="仿宋_GB2312"/>
          <w:color w:val="auto"/>
          <w:lang w:eastAsia="zh-CN"/>
        </w:rPr>
        <w:t>”</w:t>
      </w:r>
      <w:r>
        <w:rPr>
          <w:rFonts w:ascii="Arial Narrow" w:hAnsi="Arial Narrow" w:eastAsia="仿宋_GB2312"/>
          <w:color w:val="auto"/>
        </w:rPr>
        <w:t>）的委托，我们对</w:t>
      </w:r>
      <w:r>
        <w:rPr>
          <w:rFonts w:hint="eastAsia" w:ascii="Arial Narrow" w:hAnsi="Arial Narrow" w:eastAsia="仿宋_GB2312"/>
          <w:color w:val="auto"/>
        </w:rPr>
        <w:t>重庆市铜梁区</w:t>
      </w:r>
      <w:r>
        <w:rPr>
          <w:rFonts w:hint="eastAsia" w:ascii="Arial Narrow" w:hAnsi="Arial Narrow" w:eastAsia="仿宋_GB2312"/>
          <w:color w:val="auto"/>
          <w:lang w:val="en-US" w:eastAsia="zh-CN"/>
        </w:rPr>
        <w:t>围龙镇</w:t>
      </w:r>
      <w:r>
        <w:rPr>
          <w:rFonts w:hint="eastAsia" w:ascii="Arial Narrow" w:hAnsi="Arial Narrow" w:eastAsia="仿宋_GB2312"/>
          <w:color w:val="auto"/>
        </w:rPr>
        <w:t>（</w:t>
      </w:r>
      <w:r>
        <w:rPr>
          <w:rFonts w:ascii="Arial Narrow" w:hAnsi="Arial Narrow" w:eastAsia="仿宋_GB2312"/>
          <w:color w:val="auto"/>
        </w:rPr>
        <w:t>以下简称</w:t>
      </w:r>
      <w:r>
        <w:rPr>
          <w:rFonts w:hint="eastAsia" w:ascii="Arial Narrow" w:hAnsi="Arial Narrow" w:eastAsia="仿宋_GB2312"/>
          <w:color w:val="auto"/>
          <w:lang w:eastAsia="zh-CN"/>
        </w:rPr>
        <w:t>“</w:t>
      </w:r>
      <w:r>
        <w:rPr>
          <w:rFonts w:hint="eastAsia" w:ascii="Arial Narrow" w:hAnsi="Arial Narrow" w:eastAsia="仿宋_GB2312"/>
          <w:color w:val="auto"/>
          <w:lang w:val="en-US" w:eastAsia="zh-CN"/>
        </w:rPr>
        <w:t>围龙镇”</w:t>
      </w:r>
      <w:r>
        <w:rPr>
          <w:rFonts w:hint="eastAsia" w:ascii="Arial Narrow" w:hAnsi="Arial Narrow" w:eastAsia="仿宋_GB2312"/>
          <w:color w:val="auto"/>
        </w:rPr>
        <w:t>）</w:t>
      </w:r>
      <w:r>
        <w:rPr>
          <w:rFonts w:hint="eastAsia" w:ascii="Arial Narrow" w:hAnsi="Arial Narrow" w:eastAsia="仿宋_GB2312"/>
          <w:color w:val="auto"/>
          <w:lang w:val="en-US" w:eastAsia="zh-CN"/>
        </w:rPr>
        <w:t>农旅融合配套提质工程等2个项目</w:t>
      </w:r>
      <w:r>
        <w:rPr>
          <w:rFonts w:ascii="Arial Narrow" w:hAnsi="Arial Narrow" w:eastAsia="仿宋_GB2312"/>
          <w:color w:val="auto"/>
        </w:rPr>
        <w:t>进行绩效评价，现将评价情况报告如下：</w:t>
      </w:r>
    </w:p>
    <w:p w14:paraId="4EA73D6C">
      <w:pPr>
        <w:spacing w:before="240" w:beforeLines="100" w:line="360" w:lineRule="auto"/>
        <w:ind w:firstLine="482" w:firstLineChars="200"/>
        <w:jc w:val="left"/>
        <w:outlineLvl w:val="0"/>
        <w:rPr>
          <w:rFonts w:ascii="Arial Narrow" w:hAnsi="Arial Narrow" w:eastAsia="仿宋_GB2312"/>
          <w:b/>
          <w:sz w:val="24"/>
        </w:rPr>
      </w:pPr>
      <w:bookmarkStart w:id="3" w:name="_Toc16758"/>
      <w:r>
        <w:rPr>
          <w:rFonts w:ascii="Arial Narrow" w:hAnsi="Arial Narrow" w:eastAsia="仿宋_GB2312"/>
          <w:b/>
          <w:sz w:val="24"/>
        </w:rPr>
        <w:t>一、基本情况</w:t>
      </w:r>
      <w:bookmarkEnd w:id="3"/>
    </w:p>
    <w:p w14:paraId="299FA306">
      <w:pPr>
        <w:spacing w:before="120" w:beforeLines="50" w:line="360" w:lineRule="auto"/>
        <w:ind w:firstLine="482" w:firstLineChars="200"/>
        <w:jc w:val="left"/>
        <w:outlineLvl w:val="0"/>
        <w:rPr>
          <w:rFonts w:ascii="Arial Narrow" w:hAnsi="Arial Narrow" w:eastAsia="仿宋" w:cs="宋体"/>
          <w:b/>
          <w:bCs/>
          <w:kern w:val="0"/>
          <w:sz w:val="24"/>
        </w:rPr>
      </w:pPr>
      <w:bookmarkStart w:id="4" w:name="_Toc12365"/>
      <w:r>
        <w:rPr>
          <w:rFonts w:hint="eastAsia" w:ascii="Arial Narrow" w:hAnsi="Arial Narrow" w:eastAsia="仿宋" w:cs="宋体"/>
          <w:b/>
          <w:bCs/>
          <w:kern w:val="0"/>
          <w:sz w:val="24"/>
        </w:rPr>
        <w:t>（一）项目情况</w:t>
      </w:r>
      <w:bookmarkEnd w:id="4"/>
    </w:p>
    <w:p w14:paraId="04F59BCA">
      <w:pPr>
        <w:spacing w:line="360" w:lineRule="auto"/>
        <w:ind w:firstLine="480" w:firstLineChars="200"/>
        <w:rPr>
          <w:rFonts w:hint="eastAsia" w:ascii="Arial Narrow" w:hAnsi="Arial Narrow" w:eastAsia="仿宋_GB2312" w:cs="宋体"/>
          <w:kern w:val="0"/>
          <w:sz w:val="24"/>
        </w:rPr>
      </w:pPr>
      <w:r>
        <w:rPr>
          <w:rFonts w:hint="eastAsia" w:ascii="Arial Narrow" w:hAnsi="Arial Narrow" w:eastAsia="仿宋_GB2312" w:cs="宋体"/>
          <w:kern w:val="0"/>
          <w:sz w:val="24"/>
        </w:rPr>
        <w:t>1</w:t>
      </w:r>
      <w:r>
        <w:rPr>
          <w:rFonts w:hint="eastAsia" w:ascii="Arial Narrow" w:hAnsi="Arial Narrow" w:eastAsia="仿宋_GB2312" w:cs="宋体"/>
          <w:kern w:val="0"/>
          <w:sz w:val="24"/>
          <w:lang w:eastAsia="zh-CN"/>
        </w:rPr>
        <w:t>.</w:t>
      </w:r>
      <w:r>
        <w:rPr>
          <w:rFonts w:hint="eastAsia" w:ascii="Arial Narrow" w:hAnsi="Arial Narrow" w:eastAsia="仿宋_GB2312" w:cs="宋体"/>
          <w:kern w:val="0"/>
          <w:sz w:val="24"/>
        </w:rPr>
        <w:t>农旅融合配套提质工程项目</w:t>
      </w:r>
    </w:p>
    <w:p w14:paraId="08A245EC">
      <w:pPr>
        <w:spacing w:line="360" w:lineRule="auto"/>
        <w:ind w:firstLine="480" w:firstLineChars="200"/>
        <w:rPr>
          <w:rFonts w:hint="default" w:ascii="Arial Narrow" w:hAnsi="Arial Narrow" w:eastAsia="仿宋_GB2312" w:cs="宋体"/>
          <w:kern w:val="0"/>
          <w:sz w:val="24"/>
          <w:lang w:val="en-US" w:eastAsia="zh-CN"/>
        </w:rPr>
      </w:pPr>
      <w:r>
        <w:rPr>
          <w:rFonts w:hint="eastAsia" w:ascii="Arial Narrow" w:hAnsi="Arial Narrow" w:eastAsia="仿宋_GB2312" w:cs="宋体"/>
          <w:kern w:val="0"/>
          <w:sz w:val="24"/>
        </w:rPr>
        <w:t>实施单位：铜梁区围龙镇龙湾村</w:t>
      </w:r>
      <w:r>
        <w:rPr>
          <w:rFonts w:hint="eastAsia" w:ascii="Arial Narrow" w:hAnsi="Arial Narrow" w:eastAsia="仿宋_GB2312" w:cs="宋体"/>
          <w:kern w:val="0"/>
          <w:sz w:val="24"/>
          <w:lang w:val="en-US" w:eastAsia="zh-CN"/>
        </w:rPr>
        <w:t>股份经济合作联合社。</w:t>
      </w:r>
    </w:p>
    <w:p w14:paraId="5093441A">
      <w:pPr>
        <w:spacing w:line="360" w:lineRule="auto"/>
        <w:ind w:firstLine="480" w:firstLineChars="200"/>
        <w:rPr>
          <w:rFonts w:hint="eastAsia" w:ascii="Arial Narrow" w:hAnsi="Arial Narrow" w:eastAsia="仿宋_GB2312" w:cs="宋体"/>
          <w:kern w:val="0"/>
          <w:sz w:val="24"/>
          <w:lang w:eastAsia="zh-CN"/>
        </w:rPr>
      </w:pPr>
      <w:r>
        <w:rPr>
          <w:rFonts w:hint="eastAsia" w:ascii="Arial Narrow" w:hAnsi="Arial Narrow" w:eastAsia="仿宋_GB2312" w:cs="宋体"/>
          <w:kern w:val="0"/>
          <w:sz w:val="24"/>
        </w:rPr>
        <w:t>项目内容：在铜梁区汶沂农业有限公司建设的农旅融合项目的生态养殖区</w:t>
      </w:r>
      <w:r>
        <w:rPr>
          <w:rFonts w:hint="eastAsia" w:ascii="Arial Narrow" w:hAnsi="Arial Narrow" w:eastAsia="仿宋_GB2312" w:cs="宋体"/>
          <w:kern w:val="0"/>
          <w:sz w:val="24"/>
          <w:lang w:eastAsia="zh-CN"/>
        </w:rPr>
        <w:t>（</w:t>
      </w:r>
      <w:r>
        <w:rPr>
          <w:rFonts w:hint="eastAsia" w:ascii="Arial Narrow" w:hAnsi="Arial Narrow" w:eastAsia="仿宋_GB2312" w:cs="宋体"/>
          <w:kern w:val="0"/>
          <w:sz w:val="24"/>
          <w:lang w:val="en-US" w:eastAsia="zh-CN"/>
        </w:rPr>
        <w:t>已建成</w:t>
      </w:r>
      <w:r>
        <w:rPr>
          <w:rFonts w:hint="eastAsia" w:ascii="Arial Narrow" w:hAnsi="Arial Narrow" w:eastAsia="仿宋_GB2312" w:cs="宋体"/>
          <w:kern w:val="0"/>
          <w:sz w:val="24"/>
          <w:lang w:eastAsia="zh-CN"/>
        </w:rPr>
        <w:t>）</w:t>
      </w:r>
      <w:r>
        <w:rPr>
          <w:rFonts w:hint="eastAsia" w:ascii="Arial Narrow" w:hAnsi="Arial Narrow" w:eastAsia="仿宋_GB2312" w:cs="宋体"/>
          <w:kern w:val="0"/>
          <w:sz w:val="24"/>
        </w:rPr>
        <w:t>、种养示范区</w:t>
      </w:r>
      <w:r>
        <w:rPr>
          <w:rFonts w:hint="eastAsia" w:ascii="Arial Narrow" w:hAnsi="Arial Narrow" w:eastAsia="仿宋_GB2312" w:cs="宋体"/>
          <w:kern w:val="0"/>
          <w:sz w:val="24"/>
          <w:lang w:eastAsia="zh-CN"/>
        </w:rPr>
        <w:t>（</w:t>
      </w:r>
      <w:r>
        <w:rPr>
          <w:rFonts w:hint="eastAsia" w:ascii="Arial Narrow" w:hAnsi="Arial Narrow" w:eastAsia="仿宋_GB2312" w:cs="宋体"/>
          <w:kern w:val="0"/>
          <w:sz w:val="24"/>
          <w:lang w:val="en-US" w:eastAsia="zh-CN"/>
        </w:rPr>
        <w:t>已建成</w:t>
      </w:r>
      <w:r>
        <w:rPr>
          <w:rFonts w:hint="eastAsia" w:ascii="Arial Narrow" w:hAnsi="Arial Narrow" w:eastAsia="仿宋_GB2312" w:cs="宋体"/>
          <w:kern w:val="0"/>
          <w:sz w:val="24"/>
          <w:lang w:eastAsia="zh-CN"/>
        </w:rPr>
        <w:t>）</w:t>
      </w:r>
      <w:r>
        <w:rPr>
          <w:rFonts w:hint="eastAsia" w:ascii="Arial Narrow" w:hAnsi="Arial Narrow" w:eastAsia="仿宋_GB2312" w:cs="宋体"/>
          <w:kern w:val="0"/>
          <w:sz w:val="24"/>
        </w:rPr>
        <w:t>、休闲</w:t>
      </w:r>
      <w:r>
        <w:rPr>
          <w:rFonts w:hint="eastAsia" w:ascii="Arial Narrow" w:hAnsi="Arial Narrow" w:eastAsia="仿宋_GB2312" w:cs="宋体"/>
          <w:kern w:val="0"/>
          <w:sz w:val="24"/>
          <w:lang w:val="en-US" w:eastAsia="zh-CN"/>
        </w:rPr>
        <w:t>垂</w:t>
      </w:r>
      <w:r>
        <w:rPr>
          <w:rFonts w:hint="eastAsia" w:ascii="Arial Narrow" w:hAnsi="Arial Narrow" w:eastAsia="仿宋_GB2312" w:cs="宋体"/>
          <w:kern w:val="0"/>
          <w:sz w:val="24"/>
        </w:rPr>
        <w:t>钓区、农业体验区、中央景观区、四季果岭带的基础上，对其覆盖范</w:t>
      </w:r>
      <w:r>
        <w:rPr>
          <w:rFonts w:hint="eastAsia" w:ascii="Arial Narrow" w:hAnsi="Arial Narrow" w:eastAsia="仿宋_GB2312" w:cs="宋体"/>
          <w:kern w:val="0"/>
          <w:sz w:val="24"/>
          <w:lang w:val="en-US" w:eastAsia="zh-CN"/>
        </w:rPr>
        <w:t>围进行</w:t>
      </w:r>
      <w:r>
        <w:rPr>
          <w:rFonts w:hint="eastAsia" w:ascii="Arial Narrow" w:hAnsi="Arial Narrow" w:eastAsia="仿宋_GB2312" w:cs="宋体"/>
          <w:kern w:val="0"/>
          <w:sz w:val="24"/>
        </w:rPr>
        <w:t>配套提升</w:t>
      </w:r>
      <w:r>
        <w:rPr>
          <w:rFonts w:hint="eastAsia" w:ascii="Arial Narrow" w:hAnsi="Arial Narrow" w:eastAsia="仿宋_GB2312" w:cs="宋体"/>
          <w:kern w:val="0"/>
          <w:sz w:val="24"/>
          <w:lang w:val="en-US" w:eastAsia="zh-CN"/>
        </w:rPr>
        <w:t>等项目内容</w:t>
      </w:r>
      <w:r>
        <w:rPr>
          <w:rFonts w:hint="eastAsia" w:ascii="Arial Narrow" w:hAnsi="Arial Narrow" w:eastAsia="仿宋_GB2312" w:cs="宋体"/>
          <w:kern w:val="0"/>
          <w:sz w:val="24"/>
          <w:lang w:eastAsia="zh-CN"/>
        </w:rPr>
        <w:t>。</w:t>
      </w:r>
    </w:p>
    <w:p w14:paraId="4A1DE80B">
      <w:pPr>
        <w:spacing w:line="360" w:lineRule="auto"/>
        <w:ind w:firstLine="480" w:firstLineChars="200"/>
        <w:rPr>
          <w:rFonts w:hint="eastAsia" w:ascii="Arial Narrow" w:hAnsi="Arial Narrow" w:eastAsia="仿宋_GB2312" w:cs="宋体"/>
          <w:kern w:val="0"/>
          <w:sz w:val="24"/>
          <w:highlight w:val="none"/>
        </w:rPr>
      </w:pPr>
      <w:r>
        <w:rPr>
          <w:rFonts w:hint="eastAsia" w:ascii="Arial Narrow" w:hAnsi="Arial Narrow" w:eastAsia="仿宋_GB2312" w:cs="宋体"/>
          <w:kern w:val="0"/>
          <w:sz w:val="24"/>
        </w:rPr>
        <w:t>项目资金安排情况：该项目2023年计划投入</w:t>
      </w:r>
      <w:r>
        <w:rPr>
          <w:rFonts w:hint="eastAsia" w:ascii="Arial Narrow" w:hAnsi="Arial Narrow" w:eastAsia="仿宋_GB2312" w:cs="宋体"/>
          <w:kern w:val="0"/>
          <w:sz w:val="24"/>
          <w:lang w:val="en-US" w:eastAsia="zh-CN"/>
        </w:rPr>
        <w:t>50</w:t>
      </w:r>
      <w:r>
        <w:rPr>
          <w:rFonts w:hint="eastAsia" w:ascii="Arial Narrow" w:hAnsi="Arial Narrow" w:eastAsia="仿宋_GB2312" w:cs="宋体"/>
          <w:kern w:val="0"/>
          <w:sz w:val="24"/>
        </w:rPr>
        <w:t>万元，实际投入</w:t>
      </w:r>
      <w:r>
        <w:rPr>
          <w:rFonts w:hint="eastAsia" w:ascii="Arial Narrow" w:hAnsi="Arial Narrow" w:eastAsia="仿宋_GB2312" w:cs="宋体"/>
          <w:kern w:val="0"/>
          <w:sz w:val="24"/>
          <w:lang w:val="en-US" w:eastAsia="zh-CN"/>
        </w:rPr>
        <w:t>50</w:t>
      </w:r>
      <w:r>
        <w:rPr>
          <w:rFonts w:hint="eastAsia" w:ascii="Arial Narrow" w:hAnsi="Arial Narrow" w:eastAsia="仿宋_GB2312" w:cs="宋体"/>
          <w:kern w:val="0"/>
          <w:sz w:val="24"/>
        </w:rPr>
        <w:t>万元，</w:t>
      </w:r>
      <w:r>
        <w:rPr>
          <w:rFonts w:hint="eastAsia" w:ascii="Arial Narrow" w:hAnsi="Arial Narrow" w:eastAsia="仿宋_GB2312" w:cs="宋体"/>
          <w:kern w:val="0"/>
          <w:sz w:val="24"/>
          <w:highlight w:val="none"/>
          <w:lang w:val="en-US" w:eastAsia="zh-CN"/>
        </w:rPr>
        <w:t>均为</w:t>
      </w:r>
      <w:r>
        <w:rPr>
          <w:rFonts w:hint="eastAsia" w:ascii="Arial Narrow" w:hAnsi="Arial Narrow" w:eastAsia="仿宋_GB2312" w:cs="宋体"/>
          <w:kern w:val="0"/>
          <w:sz w:val="24"/>
          <w:highlight w:val="none"/>
        </w:rPr>
        <w:t>上级补助资金。</w:t>
      </w:r>
    </w:p>
    <w:p w14:paraId="56676C65">
      <w:pPr>
        <w:numPr>
          <w:ilvl w:val="0"/>
          <w:numId w:val="0"/>
        </w:numPr>
        <w:spacing w:line="360" w:lineRule="auto"/>
        <w:ind w:firstLine="480" w:firstLineChars="200"/>
        <w:rPr>
          <w:rFonts w:hint="eastAsia" w:ascii="Arial Narrow" w:hAnsi="Arial Narrow" w:eastAsia="仿宋_GB2312" w:cs="宋体"/>
          <w:kern w:val="0"/>
          <w:sz w:val="24"/>
          <w:highlight w:val="none"/>
          <w:lang w:val="en-US" w:eastAsia="zh-CN"/>
        </w:rPr>
      </w:pPr>
      <w:r>
        <w:rPr>
          <w:rFonts w:hint="eastAsia" w:ascii="Arial Narrow" w:hAnsi="Arial Narrow" w:eastAsia="仿宋_GB2312" w:cs="宋体"/>
          <w:kern w:val="0"/>
          <w:sz w:val="24"/>
          <w:highlight w:val="none"/>
          <w:lang w:val="en-US" w:eastAsia="zh-CN"/>
        </w:rPr>
        <w:t>2.肉鸡规模化养殖项目</w:t>
      </w:r>
    </w:p>
    <w:p w14:paraId="405648AF">
      <w:pPr>
        <w:numPr>
          <w:ilvl w:val="0"/>
          <w:numId w:val="0"/>
        </w:numPr>
        <w:spacing w:line="360" w:lineRule="auto"/>
        <w:ind w:firstLine="480" w:firstLineChars="200"/>
        <w:rPr>
          <w:rFonts w:hint="default" w:ascii="Arial Narrow" w:hAnsi="Arial Narrow" w:eastAsia="仿宋_GB2312" w:cs="宋体"/>
          <w:kern w:val="0"/>
          <w:sz w:val="24"/>
          <w:lang w:val="en-US" w:eastAsia="zh-CN"/>
        </w:rPr>
      </w:pPr>
      <w:r>
        <w:rPr>
          <w:rFonts w:hint="eastAsia" w:ascii="Arial Narrow" w:hAnsi="Arial Narrow" w:eastAsia="仿宋_GB2312" w:cs="宋体"/>
          <w:kern w:val="0"/>
          <w:sz w:val="24"/>
        </w:rPr>
        <w:t>实施单位：铜梁区围龙镇</w:t>
      </w:r>
      <w:r>
        <w:rPr>
          <w:rFonts w:hint="eastAsia" w:ascii="Arial Narrow" w:hAnsi="Arial Narrow" w:eastAsia="仿宋_GB2312" w:cs="宋体"/>
          <w:kern w:val="0"/>
          <w:sz w:val="24"/>
          <w:lang w:val="en-US" w:eastAsia="zh-CN"/>
        </w:rPr>
        <w:t>龙珠</w:t>
      </w:r>
      <w:r>
        <w:rPr>
          <w:rFonts w:hint="eastAsia" w:ascii="Arial Narrow" w:hAnsi="Arial Narrow" w:eastAsia="仿宋_GB2312" w:cs="宋体"/>
          <w:kern w:val="0"/>
          <w:sz w:val="24"/>
        </w:rPr>
        <w:t>村</w:t>
      </w:r>
      <w:r>
        <w:rPr>
          <w:rFonts w:hint="eastAsia" w:ascii="Arial Narrow" w:hAnsi="Arial Narrow" w:eastAsia="仿宋_GB2312" w:cs="宋体"/>
          <w:kern w:val="0"/>
          <w:sz w:val="24"/>
          <w:lang w:val="en-US" w:eastAsia="zh-CN"/>
        </w:rPr>
        <w:t>股份经济合作联合社。</w:t>
      </w:r>
    </w:p>
    <w:p w14:paraId="4182799E">
      <w:pPr>
        <w:spacing w:line="360" w:lineRule="auto"/>
        <w:ind w:firstLine="480" w:firstLineChars="200"/>
        <w:rPr>
          <w:rFonts w:hint="eastAsia" w:ascii="Arial Narrow" w:hAnsi="Arial Narrow" w:eastAsia="仿宋_GB2312" w:cs="宋体"/>
          <w:kern w:val="0"/>
          <w:sz w:val="24"/>
          <w:lang w:eastAsia="zh-CN"/>
        </w:rPr>
      </w:pPr>
      <w:r>
        <w:rPr>
          <w:rFonts w:hint="eastAsia" w:ascii="Arial Narrow" w:hAnsi="Arial Narrow" w:eastAsia="仿宋_GB2312" w:cs="宋体"/>
          <w:kern w:val="0"/>
          <w:sz w:val="24"/>
        </w:rPr>
        <w:t>项目内容：</w:t>
      </w:r>
      <w:r>
        <w:rPr>
          <w:rFonts w:hint="eastAsia" w:ascii="Arial Narrow" w:hAnsi="Arial Narrow" w:eastAsia="仿宋_GB2312" w:cs="宋体"/>
          <w:kern w:val="0"/>
          <w:sz w:val="24"/>
          <w:lang w:val="en-US" w:eastAsia="zh-CN"/>
        </w:rPr>
        <w:t>新建一个标准化肉鸡养殖圈舍2000㎡，以及配套管理用房、消毒防疫室、道路、供电系统、给排水、自动饮水及自动喂料机械化养殖设备</w:t>
      </w:r>
      <w:r>
        <w:rPr>
          <w:rFonts w:hint="eastAsia" w:ascii="Arial Narrow" w:hAnsi="Arial Narrow" w:eastAsia="仿宋_GB2312" w:cs="宋体"/>
          <w:kern w:val="0"/>
          <w:sz w:val="24"/>
        </w:rPr>
        <w:t>等项目内容</w:t>
      </w:r>
      <w:r>
        <w:rPr>
          <w:rFonts w:hint="eastAsia" w:ascii="Arial Narrow" w:hAnsi="Arial Narrow" w:eastAsia="仿宋_GB2312" w:cs="宋体"/>
          <w:kern w:val="0"/>
          <w:sz w:val="24"/>
          <w:lang w:eastAsia="zh-CN"/>
        </w:rPr>
        <w:t>。</w:t>
      </w:r>
    </w:p>
    <w:p w14:paraId="6428A48D">
      <w:pPr>
        <w:spacing w:line="360" w:lineRule="auto"/>
        <w:ind w:firstLine="480" w:firstLineChars="200"/>
        <w:rPr>
          <w:rFonts w:hint="eastAsia" w:ascii="Arial Narrow" w:hAnsi="Arial Narrow" w:eastAsia="仿宋_GB2312" w:cs="宋体"/>
          <w:kern w:val="0"/>
          <w:sz w:val="24"/>
          <w:highlight w:val="none"/>
          <w:lang w:val="en-US" w:eastAsia="zh-CN"/>
        </w:rPr>
      </w:pPr>
      <w:r>
        <w:rPr>
          <w:rFonts w:hint="eastAsia" w:ascii="Arial Narrow" w:hAnsi="Arial Narrow" w:eastAsia="仿宋_GB2312" w:cs="宋体"/>
          <w:kern w:val="0"/>
          <w:sz w:val="24"/>
        </w:rPr>
        <w:t>项目资金安排情况：该项目2023年计划投入</w:t>
      </w:r>
      <w:r>
        <w:rPr>
          <w:rFonts w:hint="eastAsia" w:ascii="Arial Narrow" w:hAnsi="Arial Narrow" w:eastAsia="仿宋_GB2312" w:cs="宋体"/>
          <w:kern w:val="0"/>
          <w:sz w:val="24"/>
          <w:lang w:val="en-US" w:eastAsia="zh-CN"/>
        </w:rPr>
        <w:t>50</w:t>
      </w:r>
      <w:r>
        <w:rPr>
          <w:rFonts w:hint="eastAsia" w:ascii="Arial Narrow" w:hAnsi="Arial Narrow" w:eastAsia="仿宋_GB2312" w:cs="宋体"/>
          <w:kern w:val="0"/>
          <w:sz w:val="24"/>
        </w:rPr>
        <w:t>万元，实际投入</w:t>
      </w:r>
      <w:r>
        <w:rPr>
          <w:rFonts w:hint="eastAsia" w:ascii="Arial Narrow" w:hAnsi="Arial Narrow" w:eastAsia="仿宋_GB2312" w:cs="宋体"/>
          <w:kern w:val="0"/>
          <w:sz w:val="24"/>
          <w:lang w:val="en-US" w:eastAsia="zh-CN"/>
        </w:rPr>
        <w:t>50</w:t>
      </w:r>
      <w:r>
        <w:rPr>
          <w:rFonts w:hint="eastAsia" w:ascii="Arial Narrow" w:hAnsi="Arial Narrow" w:eastAsia="仿宋_GB2312" w:cs="宋体"/>
          <w:kern w:val="0"/>
          <w:sz w:val="24"/>
        </w:rPr>
        <w:t>万元，</w:t>
      </w:r>
      <w:r>
        <w:rPr>
          <w:rFonts w:hint="eastAsia" w:ascii="Arial Narrow" w:hAnsi="Arial Narrow" w:eastAsia="仿宋_GB2312" w:cs="宋体"/>
          <w:kern w:val="0"/>
          <w:sz w:val="24"/>
          <w:highlight w:val="none"/>
          <w:lang w:val="en-US" w:eastAsia="zh-CN"/>
        </w:rPr>
        <w:t>均为</w:t>
      </w:r>
      <w:r>
        <w:rPr>
          <w:rFonts w:hint="eastAsia" w:ascii="Arial Narrow" w:hAnsi="Arial Narrow" w:eastAsia="仿宋_GB2312" w:cs="宋体"/>
          <w:kern w:val="0"/>
          <w:sz w:val="24"/>
          <w:highlight w:val="none"/>
        </w:rPr>
        <w:t>上级补助资金。</w:t>
      </w:r>
    </w:p>
    <w:p w14:paraId="1647D1AE">
      <w:pPr>
        <w:spacing w:line="360" w:lineRule="auto"/>
        <w:ind w:firstLine="482" w:firstLineChars="200"/>
        <w:outlineLvl w:val="0"/>
        <w:rPr>
          <w:rFonts w:ascii="Arial Narrow" w:hAnsi="Arial Narrow" w:eastAsia="仿宋_GB2312"/>
          <w:b/>
          <w:sz w:val="24"/>
        </w:rPr>
      </w:pPr>
      <w:bookmarkStart w:id="5" w:name="_Toc31937"/>
      <w:r>
        <w:rPr>
          <w:rFonts w:ascii="Arial Narrow" w:hAnsi="Arial Narrow" w:eastAsia="仿宋_GB2312"/>
          <w:b/>
          <w:sz w:val="24"/>
        </w:rPr>
        <w:t>二、绩效评价工作情况</w:t>
      </w:r>
      <w:bookmarkEnd w:id="5"/>
    </w:p>
    <w:p w14:paraId="7C9F774F">
      <w:pPr>
        <w:spacing w:line="360" w:lineRule="auto"/>
        <w:ind w:firstLine="482" w:firstLineChars="200"/>
        <w:jc w:val="left"/>
        <w:outlineLvl w:val="0"/>
        <w:rPr>
          <w:rFonts w:ascii="Arial Narrow" w:hAnsi="Arial Narrow" w:eastAsia="仿宋_GB2312"/>
          <w:b/>
          <w:sz w:val="24"/>
        </w:rPr>
      </w:pPr>
      <w:bookmarkStart w:id="6" w:name="_Toc17391"/>
      <w:bookmarkStart w:id="7" w:name="_Toc513775099"/>
      <w:r>
        <w:rPr>
          <w:rFonts w:ascii="Arial Narrow" w:hAnsi="Arial Narrow" w:eastAsia="仿宋_GB2312"/>
          <w:b/>
          <w:sz w:val="24"/>
        </w:rPr>
        <w:t>（一）绩效评价目的</w:t>
      </w:r>
      <w:bookmarkEnd w:id="6"/>
      <w:bookmarkEnd w:id="7"/>
    </w:p>
    <w:p w14:paraId="77D87ACD">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通过实施财政重点绩效评价，总结项目实施主要成效，分析影响项目绩效的主要问题及成因，为进一步加强财政资金管理、提高资金使用效益提供依据。</w:t>
      </w:r>
    </w:p>
    <w:p w14:paraId="50587B42">
      <w:pPr>
        <w:spacing w:line="360" w:lineRule="auto"/>
        <w:ind w:firstLine="482" w:firstLineChars="200"/>
        <w:jc w:val="left"/>
        <w:outlineLvl w:val="0"/>
        <w:rPr>
          <w:rFonts w:ascii="Arial Narrow" w:hAnsi="Arial Narrow" w:eastAsia="仿宋_GB2312"/>
          <w:b/>
          <w:sz w:val="24"/>
        </w:rPr>
      </w:pPr>
      <w:bookmarkStart w:id="8" w:name="_Toc17014"/>
      <w:bookmarkStart w:id="9" w:name="_Toc513775100"/>
      <w:r>
        <w:rPr>
          <w:rFonts w:ascii="Arial Narrow" w:hAnsi="Arial Narrow" w:eastAsia="仿宋_GB2312"/>
          <w:b/>
          <w:sz w:val="24"/>
        </w:rPr>
        <w:t>（二）绩效评价的</w:t>
      </w:r>
      <w:r>
        <w:rPr>
          <w:rFonts w:hint="eastAsia" w:ascii="Arial Narrow" w:hAnsi="Arial Narrow" w:eastAsia="仿宋_GB2312"/>
          <w:b/>
          <w:sz w:val="24"/>
        </w:rPr>
        <w:t>基本内容</w:t>
      </w:r>
      <w:bookmarkEnd w:id="8"/>
    </w:p>
    <w:p w14:paraId="55F42F61">
      <w:pPr>
        <w:pStyle w:val="14"/>
        <w:spacing w:line="360" w:lineRule="auto"/>
        <w:ind w:firstLine="480" w:firstLineChars="200"/>
        <w:rPr>
          <w:rFonts w:ascii="Arial Narrow" w:hAnsi="Arial Narrow" w:eastAsia="仿宋_GB2312"/>
          <w:color w:val="auto"/>
        </w:rPr>
      </w:pPr>
      <w:bookmarkStart w:id="10" w:name="_Toc166332968"/>
      <w:r>
        <w:rPr>
          <w:rFonts w:hint="eastAsia" w:ascii="Arial Narrow" w:hAnsi="Arial Narrow" w:eastAsia="仿宋_GB2312"/>
          <w:color w:val="auto"/>
        </w:rPr>
        <w:t>1</w:t>
      </w:r>
      <w:r>
        <w:rPr>
          <w:rFonts w:hint="eastAsia" w:ascii="Arial Narrow" w:hAnsi="Arial Narrow" w:eastAsia="仿宋_GB2312"/>
          <w:color w:val="auto"/>
          <w:lang w:eastAsia="zh-CN"/>
        </w:rPr>
        <w:t>.</w:t>
      </w:r>
      <w:r>
        <w:rPr>
          <w:rFonts w:hint="eastAsia" w:ascii="Arial Narrow" w:hAnsi="Arial Narrow" w:eastAsia="仿宋_GB2312"/>
          <w:color w:val="auto"/>
        </w:rPr>
        <w:t>绩效目标的设定情况；</w:t>
      </w:r>
    </w:p>
    <w:p w14:paraId="235D4A35">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2</w:t>
      </w:r>
      <w:r>
        <w:rPr>
          <w:rFonts w:hint="eastAsia" w:ascii="Arial Narrow" w:hAnsi="Arial Narrow" w:eastAsia="仿宋_GB2312"/>
          <w:color w:val="auto"/>
          <w:lang w:eastAsia="zh-CN"/>
        </w:rPr>
        <w:t>.</w:t>
      </w:r>
      <w:r>
        <w:rPr>
          <w:rFonts w:hint="eastAsia" w:ascii="Arial Narrow" w:hAnsi="Arial Narrow" w:eastAsia="仿宋_GB2312"/>
          <w:color w:val="auto"/>
        </w:rPr>
        <w:t>资金投入和使用情况；</w:t>
      </w:r>
    </w:p>
    <w:p w14:paraId="44F8C578">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3</w:t>
      </w:r>
      <w:r>
        <w:rPr>
          <w:rFonts w:hint="eastAsia" w:ascii="Arial Narrow" w:hAnsi="Arial Narrow" w:eastAsia="仿宋_GB2312"/>
          <w:color w:val="auto"/>
          <w:lang w:eastAsia="zh-CN"/>
        </w:rPr>
        <w:t>.</w:t>
      </w:r>
      <w:r>
        <w:rPr>
          <w:rFonts w:hint="eastAsia" w:ascii="Arial Narrow" w:hAnsi="Arial Narrow" w:eastAsia="仿宋_GB2312"/>
          <w:color w:val="auto"/>
        </w:rPr>
        <w:t>为实现绩效目标制定的制度、采取的措施等；</w:t>
      </w:r>
    </w:p>
    <w:p w14:paraId="189DC93C">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w:t>
      </w:r>
      <w:r>
        <w:rPr>
          <w:rFonts w:hint="eastAsia" w:ascii="Arial Narrow" w:hAnsi="Arial Narrow" w:eastAsia="仿宋_GB2312"/>
          <w:color w:val="auto"/>
          <w:lang w:eastAsia="zh-CN"/>
        </w:rPr>
        <w:t>.</w:t>
      </w:r>
      <w:r>
        <w:rPr>
          <w:rFonts w:hint="eastAsia" w:ascii="Arial Narrow" w:hAnsi="Arial Narrow" w:eastAsia="仿宋_GB2312"/>
          <w:color w:val="auto"/>
        </w:rPr>
        <w:t>绩效目标的实现程度及效果；</w:t>
      </w:r>
    </w:p>
    <w:p w14:paraId="5F7F91A7">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5</w:t>
      </w:r>
      <w:r>
        <w:rPr>
          <w:rFonts w:hint="eastAsia" w:ascii="Arial Narrow" w:hAnsi="Arial Narrow" w:eastAsia="仿宋_GB2312"/>
          <w:color w:val="auto"/>
          <w:lang w:eastAsia="zh-CN"/>
        </w:rPr>
        <w:t>.</w:t>
      </w:r>
      <w:r>
        <w:rPr>
          <w:rFonts w:hint="eastAsia" w:ascii="Arial Narrow" w:hAnsi="Arial Narrow" w:eastAsia="仿宋_GB2312"/>
          <w:color w:val="auto"/>
        </w:rPr>
        <w:t>根据实际情况需要评价的其他内容。</w:t>
      </w:r>
    </w:p>
    <w:p w14:paraId="3F8703B3">
      <w:pPr>
        <w:spacing w:line="360" w:lineRule="auto"/>
        <w:ind w:firstLine="482" w:firstLineChars="200"/>
        <w:jc w:val="left"/>
        <w:outlineLvl w:val="0"/>
        <w:rPr>
          <w:rFonts w:ascii="Arial Narrow" w:hAnsi="Arial Narrow" w:eastAsia="仿宋_GB2312"/>
          <w:b/>
          <w:sz w:val="24"/>
        </w:rPr>
      </w:pPr>
      <w:bookmarkStart w:id="11" w:name="_Toc32159"/>
      <w:r>
        <w:rPr>
          <w:rFonts w:ascii="Arial Narrow" w:hAnsi="Arial Narrow" w:eastAsia="仿宋_GB2312"/>
          <w:b/>
          <w:sz w:val="24"/>
        </w:rPr>
        <w:t>（三）绩效评价依据</w:t>
      </w:r>
      <w:bookmarkEnd w:id="9"/>
      <w:bookmarkEnd w:id="10"/>
      <w:bookmarkEnd w:id="11"/>
      <w:bookmarkStart w:id="12" w:name="_Toc335040595"/>
    </w:p>
    <w:bookmarkEnd w:id="12"/>
    <w:p w14:paraId="2B66CB3A">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rPr>
        <w:t>.《重庆市铜梁区财政衔接推进乡村振兴补助资金绩效评价及考核办法》的通知（铜财〔2022〕678号）</w:t>
      </w:r>
    </w:p>
    <w:p w14:paraId="6B4E5C68">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rPr>
        <w:t>.《重庆市铜梁区财政局关于开展2023年度项目财政重点绩效评价的通知》（铜财〔2024〕237号）</w:t>
      </w:r>
    </w:p>
    <w:p w14:paraId="7D9A66A7">
      <w:pPr>
        <w:pStyle w:val="14"/>
        <w:spacing w:line="360" w:lineRule="auto"/>
        <w:ind w:firstLine="480" w:firstLineChars="200"/>
        <w:rPr>
          <w:rFonts w:hint="eastAsia" w:ascii="Arial Narrow" w:hAnsi="Arial Narrow" w:eastAsia="仿宋_GB2312"/>
          <w:color w:val="auto"/>
          <w:lang w:eastAsia="zh-CN"/>
        </w:rPr>
      </w:pPr>
      <w:r>
        <w:rPr>
          <w:rFonts w:hint="eastAsia" w:ascii="Arial Narrow" w:hAnsi="Arial Narrow" w:eastAsia="仿宋_GB2312"/>
          <w:color w:val="auto"/>
        </w:rPr>
        <w:t>3.《重庆市财政衔接推进乡村振兴补助资金绩效评价及考核办法》（渝财农〔2022〕2号</w:t>
      </w:r>
      <w:r>
        <w:rPr>
          <w:rFonts w:hint="eastAsia" w:ascii="Arial Narrow" w:hAnsi="Arial Narrow" w:eastAsia="仿宋_GB2312"/>
          <w:color w:val="auto"/>
          <w:lang w:eastAsia="zh-CN"/>
        </w:rPr>
        <w:t>）</w:t>
      </w:r>
    </w:p>
    <w:p w14:paraId="04A6008B">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4.《铜梁区区级政策和项目预算绩效管理办法</w:t>
      </w:r>
      <w:r>
        <w:rPr>
          <w:rFonts w:hint="eastAsia" w:ascii="Arial Narrow" w:hAnsi="Arial Narrow" w:eastAsia="仿宋_GB2312"/>
          <w:color w:val="auto"/>
          <w:lang w:eastAsia="zh-CN"/>
        </w:rPr>
        <w:t>（</w:t>
      </w:r>
      <w:r>
        <w:rPr>
          <w:rFonts w:hint="eastAsia" w:ascii="Arial Narrow" w:hAnsi="Arial Narrow" w:eastAsia="仿宋_GB2312"/>
          <w:color w:val="auto"/>
        </w:rPr>
        <w:t>试行</w:t>
      </w:r>
      <w:r>
        <w:rPr>
          <w:rFonts w:hint="eastAsia" w:ascii="Arial Narrow" w:hAnsi="Arial Narrow" w:eastAsia="仿宋_GB2312"/>
          <w:color w:val="auto"/>
          <w:lang w:eastAsia="zh-CN"/>
        </w:rPr>
        <w:t>）</w:t>
      </w:r>
      <w:r>
        <w:rPr>
          <w:rFonts w:hint="eastAsia" w:ascii="Arial Narrow" w:hAnsi="Arial Narrow" w:eastAsia="仿宋_GB2312"/>
          <w:color w:val="auto"/>
        </w:rPr>
        <w:t>》（铜财〔2022〕41号）</w:t>
      </w:r>
    </w:p>
    <w:p w14:paraId="1FA454FF">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5.《重庆市财政局等6部门关于加强财政衔接推进乡村振兴补助资金使用管理的实施意见》（渝财农〔2022〕73号）</w:t>
      </w:r>
    </w:p>
    <w:p w14:paraId="5FFDA990">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6.《铜梁区巩固拓展脱贫攻坚成果和衔接乡村振兴项目库建设管理实施细则》（铜乡振〔2021〕7号）</w:t>
      </w:r>
    </w:p>
    <w:p w14:paraId="0880909E">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7.《铜梁区财政衔接推进乡村振兴补助资金项目公告公示实施办法》（铜委农办〔2021〕19号）</w:t>
      </w:r>
    </w:p>
    <w:p w14:paraId="4066B174">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8.</w:t>
      </w:r>
      <w:r>
        <w:rPr>
          <w:rFonts w:ascii="Arial Narrow" w:hAnsi="Arial Narrow" w:eastAsia="仿宋_GB2312"/>
          <w:color w:val="auto"/>
        </w:rPr>
        <w:t>《项目支出绩效评价管理办法》（财预</w:t>
      </w:r>
      <w:r>
        <w:rPr>
          <w:rFonts w:hint="eastAsia" w:ascii="Arial Narrow" w:hAnsi="Arial Narrow" w:eastAsia="仿宋_GB2312"/>
          <w:color w:val="auto"/>
        </w:rPr>
        <w:t>〔2020〕</w:t>
      </w:r>
      <w:r>
        <w:rPr>
          <w:rFonts w:ascii="Arial Narrow" w:hAnsi="Arial Narrow" w:eastAsia="仿宋_GB2312"/>
          <w:color w:val="auto"/>
        </w:rPr>
        <w:t>10号）</w:t>
      </w:r>
    </w:p>
    <w:p w14:paraId="34090095">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9.</w:t>
      </w:r>
      <w:r>
        <w:rPr>
          <w:rFonts w:ascii="Arial Narrow" w:hAnsi="Arial Narrow" w:eastAsia="仿宋_GB2312"/>
          <w:color w:val="auto"/>
        </w:rPr>
        <w:t>《重庆市市级政策和项目预算绩效管理办法》（渝财绩</w:t>
      </w:r>
      <w:r>
        <w:rPr>
          <w:rFonts w:hint="eastAsia" w:ascii="Arial Narrow" w:hAnsi="Arial Narrow" w:eastAsia="仿宋_GB2312"/>
          <w:color w:val="auto"/>
        </w:rPr>
        <w:t>〔2019〕</w:t>
      </w:r>
      <w:r>
        <w:rPr>
          <w:rFonts w:ascii="Arial Narrow" w:hAnsi="Arial Narrow" w:eastAsia="仿宋_GB2312"/>
          <w:color w:val="auto"/>
        </w:rPr>
        <w:t>19号）</w:t>
      </w:r>
    </w:p>
    <w:p w14:paraId="11DD44FE">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10.</w:t>
      </w:r>
      <w:r>
        <w:rPr>
          <w:rFonts w:ascii="Arial Narrow" w:hAnsi="Arial Narrow" w:eastAsia="仿宋_GB2312"/>
          <w:color w:val="auto"/>
        </w:rPr>
        <w:t>《会计师事务所财政支出绩效评价业务指引》（注协</w:t>
      </w:r>
      <w:bookmarkStart w:id="13" w:name="_Hlk162597612"/>
      <w:r>
        <w:rPr>
          <w:rFonts w:hint="eastAsia" w:ascii="Arial Narrow" w:hAnsi="Arial Narrow" w:eastAsia="仿宋_GB2312"/>
          <w:color w:val="auto"/>
        </w:rPr>
        <w:t>〔2016〕</w:t>
      </w:r>
      <w:bookmarkEnd w:id="13"/>
      <w:r>
        <w:rPr>
          <w:rFonts w:ascii="Arial Narrow" w:hAnsi="Arial Narrow" w:eastAsia="仿宋_GB2312"/>
          <w:color w:val="auto"/>
        </w:rPr>
        <w:t>10号）</w:t>
      </w:r>
    </w:p>
    <w:p w14:paraId="09E35F10">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11.</w:t>
      </w:r>
      <w:r>
        <w:rPr>
          <w:rFonts w:ascii="Arial Narrow" w:hAnsi="Arial Narrow" w:eastAsia="仿宋_GB2312"/>
          <w:color w:val="auto"/>
        </w:rPr>
        <w:t>评价工作人员通过现场调查、核实等获得的资料等</w:t>
      </w:r>
    </w:p>
    <w:p w14:paraId="4BCF9213">
      <w:pPr>
        <w:spacing w:line="360" w:lineRule="auto"/>
        <w:ind w:firstLine="482" w:firstLineChars="200"/>
        <w:jc w:val="left"/>
        <w:outlineLvl w:val="0"/>
        <w:rPr>
          <w:rFonts w:ascii="Arial Narrow" w:hAnsi="Arial Narrow" w:eastAsia="仿宋_GB2312"/>
          <w:b/>
          <w:sz w:val="24"/>
        </w:rPr>
      </w:pPr>
      <w:bookmarkStart w:id="14" w:name="_Toc20244"/>
      <w:r>
        <w:rPr>
          <w:rFonts w:ascii="Arial Narrow" w:hAnsi="Arial Narrow" w:eastAsia="仿宋_GB2312"/>
          <w:b/>
          <w:sz w:val="24"/>
        </w:rPr>
        <w:t>（四）绩效评价原则和指标体系</w:t>
      </w:r>
      <w:bookmarkEnd w:id="14"/>
    </w:p>
    <w:p w14:paraId="747A2FC9">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rPr>
        <w:t>.</w:t>
      </w:r>
      <w:r>
        <w:rPr>
          <w:rFonts w:ascii="Arial Narrow" w:hAnsi="Arial Narrow" w:eastAsia="仿宋_GB2312"/>
          <w:color w:val="auto"/>
        </w:rPr>
        <w:t>绩效评价主要遵循以下原则：</w:t>
      </w:r>
    </w:p>
    <w:p w14:paraId="27827C51">
      <w:pPr>
        <w:pStyle w:val="14"/>
        <w:spacing w:line="360" w:lineRule="auto"/>
        <w:ind w:firstLine="480" w:firstLineChars="200"/>
        <w:rPr>
          <w:rFonts w:hint="eastAsia" w:ascii="Arial Narrow" w:hAnsi="Arial Narrow" w:eastAsia="仿宋_GB2312"/>
          <w:color w:val="auto"/>
        </w:rPr>
      </w:pPr>
      <w:r>
        <w:rPr>
          <w:rFonts w:hint="eastAsia" w:ascii="Arial Narrow" w:hAnsi="Arial Narrow" w:eastAsia="仿宋_GB2312"/>
          <w:color w:val="auto"/>
        </w:rPr>
        <w:t>（1）相关性原则。应当与绩效目标有直接的联系，能够恰当反映目标的实现程度。</w:t>
      </w:r>
    </w:p>
    <w:p w14:paraId="0A1BBC43">
      <w:pPr>
        <w:pStyle w:val="14"/>
        <w:spacing w:line="360" w:lineRule="auto"/>
        <w:ind w:firstLine="480" w:firstLineChars="200"/>
        <w:rPr>
          <w:rFonts w:hint="eastAsia" w:ascii="Arial Narrow" w:hAnsi="Arial Narrow" w:eastAsia="仿宋_GB2312"/>
          <w:color w:val="auto"/>
        </w:rPr>
      </w:pPr>
      <w:r>
        <w:rPr>
          <w:rFonts w:hint="eastAsia" w:ascii="Arial Narrow" w:hAnsi="Arial Narrow" w:eastAsia="仿宋_GB2312"/>
          <w:color w:val="auto"/>
        </w:rPr>
        <w:t>（2</w:t>
      </w:r>
      <w:r>
        <w:rPr>
          <w:rFonts w:hint="eastAsia" w:ascii="Arial Narrow" w:hAnsi="Arial Narrow" w:eastAsia="仿宋_GB2312"/>
          <w:color w:val="auto"/>
          <w:lang w:eastAsia="zh-CN"/>
        </w:rPr>
        <w:t>）</w:t>
      </w:r>
      <w:r>
        <w:rPr>
          <w:rFonts w:hint="eastAsia" w:ascii="Arial Narrow" w:hAnsi="Arial Narrow" w:eastAsia="仿宋_GB2312"/>
          <w:color w:val="auto"/>
        </w:rPr>
        <w:t>重要性原则。应当优先使用最具评价对象代表性、最能反映评价要求的核心指标。</w:t>
      </w:r>
    </w:p>
    <w:p w14:paraId="5D7F60C1">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（3）可比性原则。对同类评价对象要设定共性的绩效评价指标，以便于评价结果可以</w:t>
      </w:r>
      <w:r>
        <w:rPr>
          <w:rFonts w:ascii="Arial Narrow" w:hAnsi="Arial Narrow" w:eastAsia="仿宋_GB2312"/>
          <w:color w:val="auto"/>
        </w:rPr>
        <w:t>相互比较。</w:t>
      </w:r>
    </w:p>
    <w:p w14:paraId="0D9CE8CA">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（4）系统性原则。应当将定量指标与定性指标相结合，系统反映财政支出所产生的社会效益和可持续影响等。</w:t>
      </w:r>
    </w:p>
    <w:p w14:paraId="6A8F2AD7">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（5）经济性原则。应当通俗易懂、简便易行，数据的获得应当考虑现实条件和可操作性，符合成本效益原则。</w:t>
      </w:r>
    </w:p>
    <w:p w14:paraId="6E5E9B0B">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rPr>
        <w:t>.</w:t>
      </w:r>
      <w:r>
        <w:rPr>
          <w:rFonts w:ascii="Arial Narrow" w:hAnsi="Arial Narrow" w:eastAsia="仿宋_GB2312"/>
          <w:color w:val="auto"/>
        </w:rPr>
        <w:t>绩效评价指标体系</w:t>
      </w:r>
    </w:p>
    <w:p w14:paraId="1048FF64">
      <w:pPr>
        <w:pStyle w:val="14"/>
        <w:spacing w:line="360" w:lineRule="auto"/>
        <w:ind w:firstLine="480" w:firstLineChars="200"/>
        <w:jc w:val="both"/>
        <w:rPr>
          <w:rFonts w:ascii="Arial Narrow" w:hAnsi="Arial Narrow" w:eastAsia="仿宋_GB2312"/>
          <w:color w:val="auto"/>
        </w:rPr>
      </w:pPr>
      <w:r>
        <w:rPr>
          <w:rFonts w:hint="eastAsia" w:ascii="Arial Narrow" w:hAnsi="Arial Narrow" w:eastAsia="仿宋_GB2312"/>
          <w:color w:val="auto"/>
        </w:rPr>
        <w:t>根据《重庆市铜梁区财政衔接推进乡村振兴补助资金绩效评价及考核办法》的通知（铜财〔2022〕678号</w:t>
      </w:r>
      <w:r>
        <w:rPr>
          <w:rFonts w:hint="eastAsia" w:ascii="Arial Narrow" w:hAnsi="Arial Narrow" w:eastAsia="仿宋_GB2312"/>
          <w:color w:val="auto"/>
          <w:lang w:eastAsia="zh-CN"/>
        </w:rPr>
        <w:t>）</w:t>
      </w:r>
      <w:r>
        <w:rPr>
          <w:rFonts w:hint="eastAsia" w:ascii="Arial Narrow" w:hAnsi="Arial Narrow" w:eastAsia="仿宋_GB2312"/>
          <w:color w:val="auto"/>
        </w:rPr>
        <w:t>，本次绩效评价及考核指标体系如下：</w:t>
      </w:r>
    </w:p>
    <w:p w14:paraId="1C58B4D4">
      <w:pPr>
        <w:pStyle w:val="14"/>
        <w:spacing w:line="360" w:lineRule="auto"/>
        <w:ind w:firstLine="482" w:firstLineChars="200"/>
        <w:jc w:val="center"/>
        <w:rPr>
          <w:rFonts w:ascii="Arial Narrow" w:hAnsi="Arial Narrow" w:eastAsia="仿宋_GB2312"/>
          <w:b/>
          <w:bCs/>
          <w:color w:val="auto"/>
        </w:rPr>
      </w:pPr>
      <w:r>
        <w:rPr>
          <w:rFonts w:hint="eastAsia" w:ascii="Arial Narrow" w:hAnsi="Arial Narrow" w:eastAsia="仿宋_GB2312"/>
          <w:b/>
          <w:bCs/>
          <w:color w:val="auto"/>
        </w:rPr>
        <w:t>铜梁区衔接资金项目绩效评价及考核指标评分表</w:t>
      </w:r>
    </w:p>
    <w:tbl>
      <w:tblPr>
        <w:tblStyle w:val="9"/>
        <w:tblW w:w="9491" w:type="dxa"/>
        <w:tblInd w:w="113" w:type="dxa"/>
        <w:tblLayout w:type="fixed"/>
        <w:tblCellMar>
          <w:top w:w="0" w:type="dxa"/>
          <w:left w:w="108" w:type="dxa"/>
          <w:bottom w:w="0" w:type="dxa"/>
          <w:right w:w="108" w:type="dxa"/>
        </w:tblCellMar>
      </w:tblPr>
      <w:tblGrid>
        <w:gridCol w:w="536"/>
        <w:gridCol w:w="1018"/>
        <w:gridCol w:w="1048"/>
        <w:gridCol w:w="536"/>
        <w:gridCol w:w="2757"/>
        <w:gridCol w:w="3596"/>
      </w:tblGrid>
      <w:tr w14:paraId="1F265CA3">
        <w:tblPrEx>
          <w:tblCellMar>
            <w:top w:w="0" w:type="dxa"/>
            <w:left w:w="108" w:type="dxa"/>
            <w:bottom w:w="0" w:type="dxa"/>
            <w:right w:w="108" w:type="dxa"/>
          </w:tblCellMar>
        </w:tblPrEx>
        <w:trPr>
          <w:cantSplit/>
          <w:trHeight w:val="201" w:hRule="atLeast"/>
        </w:trPr>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45951BB">
            <w:pPr>
              <w:widowControl/>
              <w:jc w:val="center"/>
              <w:rPr>
                <w:rFonts w:ascii="方正黑体简体" w:hAnsi="宋体" w:eastAsia="方正黑体简体" w:cs="宋体"/>
                <w:kern w:val="0"/>
                <w:sz w:val="16"/>
                <w:szCs w:val="16"/>
              </w:rPr>
            </w:pPr>
            <w:r>
              <w:rPr>
                <w:rFonts w:hint="eastAsia" w:ascii="方正黑体简体" w:hAnsi="宋体" w:eastAsia="方正黑体简体" w:cs="宋体"/>
                <w:kern w:val="0"/>
                <w:sz w:val="16"/>
                <w:szCs w:val="16"/>
              </w:rPr>
              <w:t>序号</w:t>
            </w:r>
          </w:p>
        </w:tc>
        <w:tc>
          <w:tcPr>
            <w:tcW w:w="1018" w:type="dxa"/>
            <w:tcBorders>
              <w:top w:val="single" w:color="auto" w:sz="4" w:space="0"/>
              <w:left w:val="nil"/>
              <w:bottom w:val="single" w:color="auto" w:sz="4" w:space="0"/>
              <w:right w:val="single" w:color="auto" w:sz="4" w:space="0"/>
            </w:tcBorders>
            <w:shd w:val="clear" w:color="auto" w:fill="auto"/>
            <w:noWrap/>
            <w:vAlign w:val="center"/>
          </w:tcPr>
          <w:p w14:paraId="34372D57">
            <w:pPr>
              <w:widowControl/>
              <w:jc w:val="center"/>
              <w:rPr>
                <w:rFonts w:ascii="方正黑体简体" w:hAnsi="宋体" w:eastAsia="方正黑体简体" w:cs="宋体"/>
                <w:kern w:val="0"/>
                <w:sz w:val="16"/>
                <w:szCs w:val="16"/>
              </w:rPr>
            </w:pPr>
            <w:r>
              <w:rPr>
                <w:rFonts w:hint="eastAsia" w:ascii="方正黑体简体" w:hAnsi="宋体" w:eastAsia="方正黑体简体" w:cs="宋体"/>
                <w:kern w:val="0"/>
                <w:sz w:val="16"/>
                <w:szCs w:val="16"/>
              </w:rPr>
              <w:t>一级指标</w:t>
            </w:r>
          </w:p>
        </w:tc>
        <w:tc>
          <w:tcPr>
            <w:tcW w:w="1048" w:type="dxa"/>
            <w:tcBorders>
              <w:top w:val="single" w:color="auto" w:sz="4" w:space="0"/>
              <w:left w:val="nil"/>
              <w:bottom w:val="single" w:color="auto" w:sz="4" w:space="0"/>
              <w:right w:val="single" w:color="auto" w:sz="4" w:space="0"/>
            </w:tcBorders>
            <w:shd w:val="clear" w:color="auto" w:fill="auto"/>
            <w:noWrap/>
            <w:vAlign w:val="center"/>
          </w:tcPr>
          <w:p w14:paraId="6A3BCCBD">
            <w:pPr>
              <w:widowControl/>
              <w:jc w:val="center"/>
              <w:rPr>
                <w:rFonts w:ascii="方正黑体简体" w:hAnsi="宋体" w:eastAsia="方正黑体简体" w:cs="宋体"/>
                <w:kern w:val="0"/>
                <w:sz w:val="16"/>
                <w:szCs w:val="16"/>
              </w:rPr>
            </w:pPr>
            <w:r>
              <w:rPr>
                <w:rFonts w:hint="eastAsia" w:ascii="方正黑体简体" w:hAnsi="宋体" w:eastAsia="方正黑体简体" w:cs="宋体"/>
                <w:kern w:val="0"/>
                <w:sz w:val="16"/>
                <w:szCs w:val="16"/>
              </w:rPr>
              <w:t>二级指标</w:t>
            </w:r>
          </w:p>
        </w:tc>
        <w:tc>
          <w:tcPr>
            <w:tcW w:w="536" w:type="dxa"/>
            <w:tcBorders>
              <w:top w:val="single" w:color="auto" w:sz="4" w:space="0"/>
              <w:left w:val="nil"/>
              <w:bottom w:val="single" w:color="auto" w:sz="4" w:space="0"/>
              <w:right w:val="single" w:color="auto" w:sz="4" w:space="0"/>
            </w:tcBorders>
            <w:shd w:val="clear" w:color="auto" w:fill="auto"/>
            <w:noWrap/>
            <w:vAlign w:val="center"/>
          </w:tcPr>
          <w:p w14:paraId="472EEA92">
            <w:pPr>
              <w:widowControl/>
              <w:jc w:val="center"/>
              <w:rPr>
                <w:rFonts w:ascii="方正黑体简体" w:hAnsi="宋体" w:eastAsia="方正黑体简体" w:cs="宋体"/>
                <w:kern w:val="0"/>
                <w:sz w:val="16"/>
                <w:szCs w:val="16"/>
              </w:rPr>
            </w:pPr>
            <w:r>
              <w:rPr>
                <w:rFonts w:hint="eastAsia" w:ascii="方正黑体简体" w:hAnsi="宋体" w:eastAsia="方正黑体简体" w:cs="宋体"/>
                <w:kern w:val="0"/>
                <w:sz w:val="16"/>
                <w:szCs w:val="16"/>
              </w:rPr>
              <w:t>分值</w:t>
            </w:r>
          </w:p>
        </w:tc>
        <w:tc>
          <w:tcPr>
            <w:tcW w:w="2757" w:type="dxa"/>
            <w:tcBorders>
              <w:top w:val="single" w:color="auto" w:sz="4" w:space="0"/>
              <w:left w:val="nil"/>
              <w:bottom w:val="single" w:color="auto" w:sz="4" w:space="0"/>
              <w:right w:val="single" w:color="auto" w:sz="4" w:space="0"/>
            </w:tcBorders>
            <w:shd w:val="clear" w:color="auto" w:fill="auto"/>
            <w:noWrap/>
            <w:vAlign w:val="center"/>
          </w:tcPr>
          <w:p w14:paraId="19829139">
            <w:pPr>
              <w:widowControl/>
              <w:jc w:val="center"/>
              <w:rPr>
                <w:rFonts w:ascii="方正黑体简体" w:hAnsi="宋体" w:eastAsia="方正黑体简体" w:cs="宋体"/>
                <w:kern w:val="0"/>
                <w:sz w:val="16"/>
                <w:szCs w:val="16"/>
              </w:rPr>
            </w:pPr>
            <w:r>
              <w:rPr>
                <w:rFonts w:hint="eastAsia" w:ascii="方正黑体简体" w:hAnsi="宋体" w:eastAsia="方正黑体简体" w:cs="宋体"/>
                <w:kern w:val="0"/>
                <w:sz w:val="16"/>
                <w:szCs w:val="16"/>
              </w:rPr>
              <w:t>指标释义</w:t>
            </w:r>
          </w:p>
        </w:tc>
        <w:tc>
          <w:tcPr>
            <w:tcW w:w="3596" w:type="dxa"/>
            <w:tcBorders>
              <w:top w:val="single" w:color="auto" w:sz="4" w:space="0"/>
              <w:left w:val="nil"/>
              <w:bottom w:val="single" w:color="auto" w:sz="4" w:space="0"/>
              <w:right w:val="single" w:color="auto" w:sz="4" w:space="0"/>
            </w:tcBorders>
            <w:shd w:val="clear" w:color="auto" w:fill="auto"/>
            <w:noWrap/>
            <w:vAlign w:val="center"/>
          </w:tcPr>
          <w:p w14:paraId="5CA07EE1">
            <w:pPr>
              <w:widowControl/>
              <w:jc w:val="center"/>
              <w:rPr>
                <w:rFonts w:ascii="方正黑体简体" w:hAnsi="宋体" w:eastAsia="方正黑体简体" w:cs="宋体"/>
                <w:kern w:val="0"/>
                <w:sz w:val="16"/>
                <w:szCs w:val="16"/>
              </w:rPr>
            </w:pPr>
            <w:r>
              <w:rPr>
                <w:rFonts w:hint="eastAsia" w:ascii="方正黑体简体" w:hAnsi="宋体" w:eastAsia="方正黑体简体" w:cs="宋体"/>
                <w:kern w:val="0"/>
                <w:sz w:val="16"/>
                <w:szCs w:val="16"/>
              </w:rPr>
              <w:t>评价标准</w:t>
            </w:r>
          </w:p>
        </w:tc>
      </w:tr>
      <w:tr w14:paraId="087CD907">
        <w:tblPrEx>
          <w:tblCellMar>
            <w:top w:w="0" w:type="dxa"/>
            <w:left w:w="108" w:type="dxa"/>
            <w:bottom w:w="0" w:type="dxa"/>
            <w:right w:w="108" w:type="dxa"/>
          </w:tblCellMar>
        </w:tblPrEx>
        <w:trPr>
          <w:cantSplit/>
          <w:trHeight w:val="216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54EB73CC">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1</w:t>
            </w:r>
          </w:p>
        </w:tc>
        <w:tc>
          <w:tcPr>
            <w:tcW w:w="1018" w:type="dxa"/>
            <w:vMerge w:val="restart"/>
            <w:tcBorders>
              <w:top w:val="nil"/>
              <w:left w:val="single" w:color="auto" w:sz="4" w:space="0"/>
              <w:bottom w:val="single" w:color="auto" w:sz="4" w:space="0"/>
              <w:right w:val="single" w:color="auto" w:sz="4" w:space="0"/>
            </w:tcBorders>
            <w:shd w:val="clear" w:color="auto" w:fill="auto"/>
            <w:vAlign w:val="center"/>
          </w:tcPr>
          <w:p w14:paraId="600980C6">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资金管理（5分）</w:t>
            </w:r>
          </w:p>
        </w:tc>
        <w:tc>
          <w:tcPr>
            <w:tcW w:w="1048" w:type="dxa"/>
            <w:tcBorders>
              <w:top w:val="nil"/>
              <w:left w:val="nil"/>
              <w:bottom w:val="single" w:color="auto" w:sz="4" w:space="0"/>
              <w:right w:val="single" w:color="auto" w:sz="4" w:space="0"/>
            </w:tcBorders>
            <w:shd w:val="clear" w:color="auto" w:fill="auto"/>
            <w:vAlign w:val="center"/>
          </w:tcPr>
          <w:p w14:paraId="51B44911">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财政衔接资金安排情况</w:t>
            </w:r>
          </w:p>
        </w:tc>
        <w:tc>
          <w:tcPr>
            <w:tcW w:w="536" w:type="dxa"/>
            <w:tcBorders>
              <w:top w:val="nil"/>
              <w:left w:val="nil"/>
              <w:bottom w:val="single" w:color="auto" w:sz="4" w:space="0"/>
              <w:right w:val="single" w:color="auto" w:sz="4" w:space="0"/>
            </w:tcBorders>
            <w:shd w:val="clear" w:color="auto" w:fill="auto"/>
            <w:vAlign w:val="center"/>
          </w:tcPr>
          <w:p w14:paraId="50B618F5">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2</w:t>
            </w:r>
          </w:p>
        </w:tc>
        <w:tc>
          <w:tcPr>
            <w:tcW w:w="2757" w:type="dxa"/>
            <w:tcBorders>
              <w:top w:val="nil"/>
              <w:left w:val="nil"/>
              <w:bottom w:val="single" w:color="auto" w:sz="4" w:space="0"/>
              <w:right w:val="single" w:color="auto" w:sz="4" w:space="0"/>
            </w:tcBorders>
            <w:shd w:val="clear" w:color="auto" w:fill="auto"/>
            <w:vAlign w:val="center"/>
          </w:tcPr>
          <w:p w14:paraId="0E561B05">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评价是否落实《重庆市财政局等6部门关于加强财政衔接推进乡村振兴补助资金使用管理的实施意见》（渝财农〔2022〕73号）、《重庆市铜梁区财政衔接推进乡村振兴补助资金管理实施细则》（铜财〔2021〕431号）等相关政策性文件规定财政支持原则。</w:t>
            </w:r>
          </w:p>
        </w:tc>
        <w:tc>
          <w:tcPr>
            <w:tcW w:w="3596" w:type="dxa"/>
            <w:tcBorders>
              <w:top w:val="nil"/>
              <w:left w:val="nil"/>
              <w:bottom w:val="single" w:color="auto" w:sz="4" w:space="0"/>
              <w:right w:val="single" w:color="auto" w:sz="4" w:space="0"/>
            </w:tcBorders>
            <w:shd w:val="clear" w:color="auto" w:fill="auto"/>
            <w:vAlign w:val="center"/>
          </w:tcPr>
          <w:p w14:paraId="57D43295">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资金使用方向符合文件规定（2分）。</w:t>
            </w:r>
          </w:p>
        </w:tc>
      </w:tr>
      <w:tr w14:paraId="60D70241">
        <w:tblPrEx>
          <w:tblCellMar>
            <w:top w:w="0" w:type="dxa"/>
            <w:left w:w="108" w:type="dxa"/>
            <w:bottom w:w="0" w:type="dxa"/>
            <w:right w:w="108" w:type="dxa"/>
          </w:tblCellMar>
        </w:tblPrEx>
        <w:trPr>
          <w:cantSplit/>
          <w:trHeight w:val="804"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5C1DB00D">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2</w:t>
            </w:r>
          </w:p>
        </w:tc>
        <w:tc>
          <w:tcPr>
            <w:tcW w:w="1018" w:type="dxa"/>
            <w:vMerge w:val="continue"/>
            <w:tcBorders>
              <w:top w:val="nil"/>
              <w:left w:val="single" w:color="auto" w:sz="4" w:space="0"/>
              <w:bottom w:val="single" w:color="auto" w:sz="4" w:space="0"/>
              <w:right w:val="single" w:color="auto" w:sz="4" w:space="0"/>
            </w:tcBorders>
            <w:vAlign w:val="center"/>
          </w:tcPr>
          <w:p w14:paraId="3EAAC8B6">
            <w:pPr>
              <w:widowControl/>
              <w:jc w:val="left"/>
              <w:rPr>
                <w:rFonts w:ascii="方正仿宋_GBK" w:hAnsi="宋体" w:eastAsia="方正仿宋_GBK" w:cs="宋体"/>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1907CDCE">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资金分解下达进度</w:t>
            </w:r>
          </w:p>
        </w:tc>
        <w:tc>
          <w:tcPr>
            <w:tcW w:w="536" w:type="dxa"/>
            <w:tcBorders>
              <w:top w:val="nil"/>
              <w:left w:val="nil"/>
              <w:bottom w:val="single" w:color="auto" w:sz="4" w:space="0"/>
              <w:right w:val="single" w:color="auto" w:sz="4" w:space="0"/>
            </w:tcBorders>
            <w:shd w:val="clear" w:color="auto" w:fill="auto"/>
            <w:noWrap/>
            <w:vAlign w:val="center"/>
          </w:tcPr>
          <w:p w14:paraId="771AEFDA">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3</w:t>
            </w:r>
          </w:p>
        </w:tc>
        <w:tc>
          <w:tcPr>
            <w:tcW w:w="2757" w:type="dxa"/>
            <w:tcBorders>
              <w:top w:val="nil"/>
              <w:left w:val="nil"/>
              <w:bottom w:val="single" w:color="auto" w:sz="4" w:space="0"/>
              <w:right w:val="single" w:color="auto" w:sz="4" w:space="0"/>
            </w:tcBorders>
            <w:shd w:val="clear" w:color="auto" w:fill="auto"/>
            <w:vAlign w:val="center"/>
          </w:tcPr>
          <w:p w14:paraId="7C4CAD64">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评价区级业务主管部门分解下达当年资金及次年提前批资金进度情况。</w:t>
            </w:r>
          </w:p>
        </w:tc>
        <w:tc>
          <w:tcPr>
            <w:tcW w:w="3596" w:type="dxa"/>
            <w:tcBorders>
              <w:top w:val="nil"/>
              <w:left w:val="nil"/>
              <w:bottom w:val="single" w:color="auto" w:sz="4" w:space="0"/>
              <w:right w:val="single" w:color="auto" w:sz="4" w:space="0"/>
            </w:tcBorders>
            <w:shd w:val="clear" w:color="auto" w:fill="auto"/>
            <w:vAlign w:val="center"/>
          </w:tcPr>
          <w:p w14:paraId="416804BE">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区财政局下达资金文件时间到区级业务主管部门下达项目及资金计划文件时间间隔≤30日（3分）。</w:t>
            </w:r>
          </w:p>
        </w:tc>
      </w:tr>
      <w:tr w14:paraId="3C2C4F4E">
        <w:tblPrEx>
          <w:tblCellMar>
            <w:top w:w="0" w:type="dxa"/>
            <w:left w:w="108" w:type="dxa"/>
            <w:bottom w:w="0" w:type="dxa"/>
            <w:right w:w="108" w:type="dxa"/>
          </w:tblCellMar>
        </w:tblPrEx>
        <w:trPr>
          <w:cantSplit/>
          <w:trHeight w:val="108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1386B3E4">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3</w:t>
            </w:r>
          </w:p>
        </w:tc>
        <w:tc>
          <w:tcPr>
            <w:tcW w:w="1018" w:type="dxa"/>
            <w:vMerge w:val="restart"/>
            <w:tcBorders>
              <w:top w:val="nil"/>
              <w:left w:val="single" w:color="auto" w:sz="4" w:space="0"/>
              <w:bottom w:val="single" w:color="auto" w:sz="4" w:space="0"/>
              <w:right w:val="single" w:color="auto" w:sz="4" w:space="0"/>
            </w:tcBorders>
            <w:shd w:val="clear" w:color="auto" w:fill="auto"/>
            <w:vAlign w:val="center"/>
          </w:tcPr>
          <w:p w14:paraId="019BD740">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项目管理（55分）</w:t>
            </w:r>
          </w:p>
        </w:tc>
        <w:tc>
          <w:tcPr>
            <w:tcW w:w="1048" w:type="dxa"/>
            <w:tcBorders>
              <w:top w:val="nil"/>
              <w:left w:val="nil"/>
              <w:bottom w:val="single" w:color="auto" w:sz="4" w:space="0"/>
              <w:right w:val="single" w:color="auto" w:sz="4" w:space="0"/>
            </w:tcBorders>
            <w:shd w:val="clear" w:color="auto" w:fill="auto"/>
            <w:vAlign w:val="center"/>
          </w:tcPr>
          <w:p w14:paraId="3C627E33">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项目库建设管理情况</w:t>
            </w:r>
          </w:p>
        </w:tc>
        <w:tc>
          <w:tcPr>
            <w:tcW w:w="536" w:type="dxa"/>
            <w:tcBorders>
              <w:top w:val="nil"/>
              <w:left w:val="nil"/>
              <w:bottom w:val="single" w:color="auto" w:sz="4" w:space="0"/>
              <w:right w:val="single" w:color="auto" w:sz="4" w:space="0"/>
            </w:tcBorders>
            <w:shd w:val="clear" w:color="auto" w:fill="auto"/>
            <w:noWrap/>
            <w:vAlign w:val="center"/>
          </w:tcPr>
          <w:p w14:paraId="7DED443F">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5</w:t>
            </w:r>
          </w:p>
        </w:tc>
        <w:tc>
          <w:tcPr>
            <w:tcW w:w="2757" w:type="dxa"/>
            <w:tcBorders>
              <w:top w:val="nil"/>
              <w:left w:val="nil"/>
              <w:bottom w:val="nil"/>
              <w:right w:val="nil"/>
            </w:tcBorders>
            <w:shd w:val="clear" w:color="auto" w:fill="auto"/>
            <w:vAlign w:val="center"/>
          </w:tcPr>
          <w:p w14:paraId="60D44652">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评价落实《铜梁区巩固拓展脱贫攻坚成果和衔接乡村振兴项目库建设管理实施细则》（铜乡振〔2021〕7号）落实情况。根据抽</w:t>
            </w:r>
            <w:r>
              <w:rPr>
                <w:rFonts w:hint="eastAsia" w:ascii="方正仿宋_GBK" w:hAnsi="宋体" w:eastAsia="方正仿宋_GBK" w:cs="宋体"/>
                <w:kern w:val="0"/>
                <w:sz w:val="16"/>
                <w:szCs w:val="16"/>
                <w:lang w:eastAsia="zh-CN"/>
              </w:rPr>
              <w:t>查</w:t>
            </w:r>
            <w:r>
              <w:rPr>
                <w:rFonts w:hint="eastAsia" w:ascii="方正仿宋_GBK" w:hAnsi="宋体" w:eastAsia="方正仿宋_GBK" w:cs="宋体"/>
                <w:kern w:val="0"/>
                <w:sz w:val="16"/>
                <w:szCs w:val="16"/>
              </w:rPr>
              <w:t>情况赋分。</w:t>
            </w:r>
          </w:p>
        </w:tc>
        <w:tc>
          <w:tcPr>
            <w:tcW w:w="3596" w:type="dxa"/>
            <w:tcBorders>
              <w:top w:val="nil"/>
              <w:left w:val="single" w:color="auto" w:sz="4" w:space="0"/>
              <w:bottom w:val="single" w:color="auto" w:sz="4" w:space="0"/>
              <w:right w:val="single" w:color="auto" w:sz="4" w:space="0"/>
            </w:tcBorders>
            <w:shd w:val="clear" w:color="auto" w:fill="auto"/>
            <w:vAlign w:val="center"/>
          </w:tcPr>
          <w:p w14:paraId="3D01A3AE">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1.项目入库及时充分、程序规范、内容完整（3分）；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2.入库项目具备实施条件（2分）；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3.衔接资金用于项目库之外的项目（-5分）。</w:t>
            </w:r>
          </w:p>
        </w:tc>
      </w:tr>
      <w:tr w14:paraId="53643A30">
        <w:tblPrEx>
          <w:tblCellMar>
            <w:top w:w="0" w:type="dxa"/>
            <w:left w:w="108" w:type="dxa"/>
            <w:bottom w:w="0" w:type="dxa"/>
            <w:right w:w="108" w:type="dxa"/>
          </w:tblCellMar>
        </w:tblPrEx>
        <w:trPr>
          <w:cantSplit/>
          <w:trHeight w:val="1621"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7F2FCD29">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4</w:t>
            </w:r>
          </w:p>
        </w:tc>
        <w:tc>
          <w:tcPr>
            <w:tcW w:w="1018" w:type="dxa"/>
            <w:vMerge w:val="continue"/>
            <w:tcBorders>
              <w:top w:val="nil"/>
              <w:left w:val="single" w:color="auto" w:sz="4" w:space="0"/>
              <w:bottom w:val="single" w:color="auto" w:sz="4" w:space="0"/>
              <w:right w:val="single" w:color="auto" w:sz="4" w:space="0"/>
            </w:tcBorders>
            <w:vAlign w:val="center"/>
          </w:tcPr>
          <w:p w14:paraId="12BEE0D0">
            <w:pPr>
              <w:widowControl/>
              <w:jc w:val="left"/>
              <w:rPr>
                <w:rFonts w:ascii="方正仿宋_GBK" w:hAnsi="宋体" w:eastAsia="方正仿宋_GBK" w:cs="宋体"/>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2BB03DCB">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项目绩效管理情况</w:t>
            </w:r>
          </w:p>
        </w:tc>
        <w:tc>
          <w:tcPr>
            <w:tcW w:w="536" w:type="dxa"/>
            <w:tcBorders>
              <w:top w:val="nil"/>
              <w:left w:val="nil"/>
              <w:bottom w:val="single" w:color="auto" w:sz="4" w:space="0"/>
              <w:right w:val="single" w:color="auto" w:sz="4" w:space="0"/>
            </w:tcBorders>
            <w:shd w:val="clear" w:color="auto" w:fill="auto"/>
            <w:noWrap/>
            <w:vAlign w:val="center"/>
          </w:tcPr>
          <w:p w14:paraId="3BC5649C">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10</w:t>
            </w:r>
          </w:p>
        </w:tc>
        <w:tc>
          <w:tcPr>
            <w:tcW w:w="2757" w:type="dxa"/>
            <w:tcBorders>
              <w:top w:val="single" w:color="auto" w:sz="4" w:space="0"/>
              <w:left w:val="nil"/>
              <w:bottom w:val="single" w:color="auto" w:sz="4" w:space="0"/>
              <w:right w:val="single" w:color="auto" w:sz="4" w:space="0"/>
            </w:tcBorders>
            <w:shd w:val="clear" w:color="auto" w:fill="auto"/>
            <w:vAlign w:val="center"/>
          </w:tcPr>
          <w:p w14:paraId="590B94D5">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评价具体项目实施方案明确绩效目标情况、开展跟踪监督绩效监控情况、事后评价情况等。根据抽</w:t>
            </w:r>
            <w:r>
              <w:rPr>
                <w:rFonts w:hint="eastAsia" w:ascii="方正仿宋_GBK" w:hAnsi="宋体" w:eastAsia="方正仿宋_GBK" w:cs="宋体"/>
                <w:kern w:val="0"/>
                <w:sz w:val="16"/>
                <w:szCs w:val="16"/>
                <w:lang w:eastAsia="zh-CN"/>
              </w:rPr>
              <w:t>查</w:t>
            </w:r>
            <w:r>
              <w:rPr>
                <w:rFonts w:hint="eastAsia" w:ascii="方正仿宋_GBK" w:hAnsi="宋体" w:eastAsia="方正仿宋_GBK" w:cs="宋体"/>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604F418C">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1.及时制定绩效目标、审核绩效目标（2分）；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2.开展绩效监控不少于1次（2分）；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3.对绩效目标偏离项目采取纠偏措施（2分）；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4.项目实施完毕后立即开展绩效自评，并形成绩效自评报告及绩效自评表。（2分）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5.项目绩效是否达到预期。（2分）</w:t>
            </w:r>
          </w:p>
        </w:tc>
      </w:tr>
      <w:tr w14:paraId="1F7F9256">
        <w:tblPrEx>
          <w:tblCellMar>
            <w:top w:w="0" w:type="dxa"/>
            <w:left w:w="108" w:type="dxa"/>
            <w:bottom w:w="0" w:type="dxa"/>
            <w:right w:w="108" w:type="dxa"/>
          </w:tblCellMar>
        </w:tblPrEx>
        <w:trPr>
          <w:cantSplit/>
          <w:trHeight w:val="242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305B1831">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5</w:t>
            </w:r>
          </w:p>
        </w:tc>
        <w:tc>
          <w:tcPr>
            <w:tcW w:w="1018" w:type="dxa"/>
            <w:vMerge w:val="continue"/>
            <w:tcBorders>
              <w:top w:val="nil"/>
              <w:left w:val="single" w:color="auto" w:sz="4" w:space="0"/>
              <w:bottom w:val="single" w:color="auto" w:sz="4" w:space="0"/>
              <w:right w:val="single" w:color="auto" w:sz="4" w:space="0"/>
            </w:tcBorders>
            <w:vAlign w:val="center"/>
          </w:tcPr>
          <w:p w14:paraId="082CAE98">
            <w:pPr>
              <w:widowControl/>
              <w:jc w:val="left"/>
              <w:rPr>
                <w:rFonts w:ascii="方正仿宋_GBK" w:hAnsi="宋体" w:eastAsia="方正仿宋_GBK" w:cs="宋体"/>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45F4AEC5">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项目建设管理情况</w:t>
            </w:r>
          </w:p>
        </w:tc>
        <w:tc>
          <w:tcPr>
            <w:tcW w:w="536" w:type="dxa"/>
            <w:tcBorders>
              <w:top w:val="nil"/>
              <w:left w:val="nil"/>
              <w:bottom w:val="single" w:color="auto" w:sz="4" w:space="0"/>
              <w:right w:val="single" w:color="auto" w:sz="4" w:space="0"/>
            </w:tcBorders>
            <w:shd w:val="clear" w:color="auto" w:fill="auto"/>
            <w:vAlign w:val="center"/>
          </w:tcPr>
          <w:p w14:paraId="6F9EE0BE">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6</w:t>
            </w:r>
          </w:p>
        </w:tc>
        <w:tc>
          <w:tcPr>
            <w:tcW w:w="2757" w:type="dxa"/>
            <w:tcBorders>
              <w:top w:val="nil"/>
              <w:left w:val="nil"/>
              <w:bottom w:val="single" w:color="auto" w:sz="4" w:space="0"/>
              <w:right w:val="single" w:color="auto" w:sz="4" w:space="0"/>
            </w:tcBorders>
            <w:shd w:val="clear" w:color="auto" w:fill="auto"/>
            <w:vAlign w:val="center"/>
          </w:tcPr>
          <w:p w14:paraId="24DFEB2C">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评价有序推进项目前期工作、组织实施、项目验收、资料报送等情况。根据抽</w:t>
            </w:r>
            <w:r>
              <w:rPr>
                <w:rFonts w:hint="eastAsia" w:ascii="方正仿宋_GBK" w:hAnsi="宋体" w:eastAsia="方正仿宋_GBK" w:cs="宋体"/>
                <w:kern w:val="0"/>
                <w:sz w:val="16"/>
                <w:szCs w:val="16"/>
                <w:lang w:eastAsia="zh-CN"/>
              </w:rPr>
              <w:t>查</w:t>
            </w:r>
            <w:r>
              <w:rPr>
                <w:rFonts w:hint="eastAsia" w:ascii="方正仿宋_GBK" w:hAnsi="宋体" w:eastAsia="方正仿宋_GBK" w:cs="宋体"/>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50ECB560">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1.项目实施方法存在变更是否按规定报批；（1分）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2.是否定期对项目实施情况进行监督检查，对检查中发现的问题进行整改；（2分）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3.是否按照项目实施节点按时提交项目报账资料；（1分）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4.日常管理资料是否及时归档整理；（1分）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5.项目完工后是否在规定时间内进行验收。（1分）</w:t>
            </w:r>
          </w:p>
        </w:tc>
      </w:tr>
      <w:tr w14:paraId="6360FC9A">
        <w:tblPrEx>
          <w:tblCellMar>
            <w:top w:w="0" w:type="dxa"/>
            <w:left w:w="108" w:type="dxa"/>
            <w:bottom w:w="0" w:type="dxa"/>
            <w:right w:w="108" w:type="dxa"/>
          </w:tblCellMar>
        </w:tblPrEx>
        <w:trPr>
          <w:cantSplit/>
          <w:trHeight w:val="405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0F4FAA59">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6</w:t>
            </w:r>
          </w:p>
        </w:tc>
        <w:tc>
          <w:tcPr>
            <w:tcW w:w="1018" w:type="dxa"/>
            <w:vMerge w:val="continue"/>
            <w:tcBorders>
              <w:top w:val="nil"/>
              <w:left w:val="single" w:color="auto" w:sz="4" w:space="0"/>
              <w:bottom w:val="single" w:color="auto" w:sz="4" w:space="0"/>
              <w:right w:val="single" w:color="auto" w:sz="4" w:space="0"/>
            </w:tcBorders>
            <w:vAlign w:val="center"/>
          </w:tcPr>
          <w:p w14:paraId="0476E266">
            <w:pPr>
              <w:widowControl/>
              <w:jc w:val="left"/>
              <w:rPr>
                <w:rFonts w:ascii="方正仿宋_GBK" w:hAnsi="宋体" w:eastAsia="方正仿宋_GBK" w:cs="宋体"/>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261B06C7">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预算执行率情况</w:t>
            </w:r>
          </w:p>
        </w:tc>
        <w:tc>
          <w:tcPr>
            <w:tcW w:w="536" w:type="dxa"/>
            <w:tcBorders>
              <w:top w:val="nil"/>
              <w:left w:val="nil"/>
              <w:bottom w:val="single" w:color="auto" w:sz="4" w:space="0"/>
              <w:right w:val="single" w:color="auto" w:sz="4" w:space="0"/>
            </w:tcBorders>
            <w:shd w:val="clear" w:color="auto" w:fill="auto"/>
            <w:noWrap/>
            <w:vAlign w:val="center"/>
          </w:tcPr>
          <w:p w14:paraId="1AC929AD">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12</w:t>
            </w:r>
          </w:p>
        </w:tc>
        <w:tc>
          <w:tcPr>
            <w:tcW w:w="2757" w:type="dxa"/>
            <w:tcBorders>
              <w:top w:val="nil"/>
              <w:left w:val="nil"/>
              <w:bottom w:val="single" w:color="auto" w:sz="4" w:space="0"/>
              <w:right w:val="single" w:color="auto" w:sz="4" w:space="0"/>
            </w:tcBorders>
            <w:shd w:val="clear" w:color="auto" w:fill="auto"/>
            <w:vAlign w:val="center"/>
          </w:tcPr>
          <w:p w14:paraId="1C8848F4">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评价有序推进项目工作和资金支付情况。根据抽</w:t>
            </w:r>
            <w:r>
              <w:rPr>
                <w:rFonts w:hint="eastAsia" w:ascii="方正仿宋_GBK" w:hAnsi="宋体" w:eastAsia="方正仿宋_GBK" w:cs="宋体"/>
                <w:kern w:val="0"/>
                <w:sz w:val="16"/>
                <w:szCs w:val="16"/>
                <w:lang w:eastAsia="zh-CN"/>
              </w:rPr>
              <w:t>查</w:t>
            </w:r>
            <w:r>
              <w:rPr>
                <w:rFonts w:hint="eastAsia" w:ascii="方正仿宋_GBK" w:hAnsi="宋体" w:eastAsia="方正仿宋_GBK" w:cs="宋体"/>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47A5094D">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主要通过支出进度评价有序推进项目工作和资金支付情况，于7月末、10月中旬定期调度。</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1.7月末支出进度评分4分。资金支出进度达到全区平均进度或者序时进度的，得满分；未达到的按照与序时进度的比例扣分；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2.10月中旬支出进度评分4分。资金支出进度达到全区平均进度或者序时进度的，得满分；未达到的按照与序时进度的比例扣分；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3.10月底的资金预算执行率达到100%,得4分，没达到不得分；11月中旬资金预算执行率达到100%,得3分，没达到不得分；12月中旬的资金预算执行率达到100%,得2分，没达到不得分；12月中旬及以后预算执行率达到100%，得1分，没达到不得分；12月底预算执行率未达到100%，扣12分。</w:t>
            </w:r>
          </w:p>
        </w:tc>
      </w:tr>
      <w:tr w14:paraId="006DC2B0">
        <w:tblPrEx>
          <w:tblCellMar>
            <w:top w:w="0" w:type="dxa"/>
            <w:left w:w="108" w:type="dxa"/>
            <w:bottom w:w="0" w:type="dxa"/>
            <w:right w:w="108" w:type="dxa"/>
          </w:tblCellMar>
        </w:tblPrEx>
        <w:trPr>
          <w:cantSplit/>
          <w:trHeight w:val="216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2896F340">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7</w:t>
            </w:r>
          </w:p>
        </w:tc>
        <w:tc>
          <w:tcPr>
            <w:tcW w:w="1018" w:type="dxa"/>
            <w:vMerge w:val="continue"/>
            <w:tcBorders>
              <w:top w:val="nil"/>
              <w:left w:val="single" w:color="auto" w:sz="4" w:space="0"/>
              <w:bottom w:val="single" w:color="auto" w:sz="4" w:space="0"/>
              <w:right w:val="single" w:color="auto" w:sz="4" w:space="0"/>
            </w:tcBorders>
            <w:vAlign w:val="center"/>
          </w:tcPr>
          <w:p w14:paraId="31E68DD0">
            <w:pPr>
              <w:widowControl/>
              <w:jc w:val="left"/>
              <w:rPr>
                <w:rFonts w:ascii="方正仿宋_GBK" w:hAnsi="宋体" w:eastAsia="方正仿宋_GBK" w:cs="宋体"/>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32C6AE7F">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跟踪督促及发现问题整改情况</w:t>
            </w:r>
          </w:p>
        </w:tc>
        <w:tc>
          <w:tcPr>
            <w:tcW w:w="536" w:type="dxa"/>
            <w:tcBorders>
              <w:top w:val="nil"/>
              <w:left w:val="nil"/>
              <w:bottom w:val="single" w:color="auto" w:sz="4" w:space="0"/>
              <w:right w:val="single" w:color="auto" w:sz="4" w:space="0"/>
            </w:tcBorders>
            <w:shd w:val="clear" w:color="auto" w:fill="auto"/>
            <w:noWrap/>
            <w:vAlign w:val="center"/>
          </w:tcPr>
          <w:p w14:paraId="126E4FBE">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8</w:t>
            </w:r>
          </w:p>
        </w:tc>
        <w:tc>
          <w:tcPr>
            <w:tcW w:w="2757" w:type="dxa"/>
            <w:tcBorders>
              <w:top w:val="nil"/>
              <w:left w:val="nil"/>
              <w:bottom w:val="single" w:color="auto" w:sz="4" w:space="0"/>
              <w:right w:val="single" w:color="auto" w:sz="4" w:space="0"/>
            </w:tcBorders>
            <w:shd w:val="clear" w:color="auto" w:fill="auto"/>
            <w:vAlign w:val="center"/>
          </w:tcPr>
          <w:p w14:paraId="081C67CA">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评价定期开展监督检查情况、发现问题整改情况。根据未处理问题比例扣减。根据抽</w:t>
            </w:r>
            <w:r>
              <w:rPr>
                <w:rFonts w:hint="eastAsia" w:ascii="方正仿宋_GBK" w:hAnsi="宋体" w:eastAsia="方正仿宋_GBK" w:cs="宋体"/>
                <w:kern w:val="0"/>
                <w:sz w:val="16"/>
                <w:szCs w:val="16"/>
                <w:lang w:eastAsia="zh-CN"/>
              </w:rPr>
              <w:t>查</w:t>
            </w:r>
            <w:r>
              <w:rPr>
                <w:rFonts w:hint="eastAsia" w:ascii="方正仿宋_GBK" w:hAnsi="宋体" w:eastAsia="方正仿宋_GBK" w:cs="宋体"/>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3406F689">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1.定期开展项目实施和资金支出进度等跟踪督促情况，落实到位的得2分，未完全落实到位的酌情扣分；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2.跟踪督促及各类检查发现问题整改到位情况，满分5分，根据未整改问题比例扣减；</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3.全国12317防止返贫监测和乡村振兴咨询服务平台（简称12317平台）反馈问题处理情况，满分1分。</w:t>
            </w:r>
          </w:p>
        </w:tc>
      </w:tr>
      <w:tr w14:paraId="39E1ABBA">
        <w:tblPrEx>
          <w:tblCellMar>
            <w:top w:w="0" w:type="dxa"/>
            <w:left w:w="108" w:type="dxa"/>
            <w:bottom w:w="0" w:type="dxa"/>
            <w:right w:w="108" w:type="dxa"/>
          </w:tblCellMar>
        </w:tblPrEx>
        <w:trPr>
          <w:cantSplit/>
          <w:trHeight w:val="804"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01976E5A">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8</w:t>
            </w:r>
          </w:p>
        </w:tc>
        <w:tc>
          <w:tcPr>
            <w:tcW w:w="1018" w:type="dxa"/>
            <w:vMerge w:val="continue"/>
            <w:tcBorders>
              <w:top w:val="nil"/>
              <w:left w:val="single" w:color="auto" w:sz="4" w:space="0"/>
              <w:bottom w:val="single" w:color="auto" w:sz="4" w:space="0"/>
              <w:right w:val="single" w:color="auto" w:sz="4" w:space="0"/>
            </w:tcBorders>
            <w:vAlign w:val="center"/>
          </w:tcPr>
          <w:p w14:paraId="5B21BC4A">
            <w:pPr>
              <w:widowControl/>
              <w:jc w:val="left"/>
              <w:rPr>
                <w:rFonts w:ascii="方正仿宋_GBK" w:hAnsi="宋体" w:eastAsia="方正仿宋_GBK" w:cs="宋体"/>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7921DFDE">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账务处理及档案管理等情况</w:t>
            </w:r>
          </w:p>
        </w:tc>
        <w:tc>
          <w:tcPr>
            <w:tcW w:w="536" w:type="dxa"/>
            <w:tcBorders>
              <w:top w:val="nil"/>
              <w:left w:val="nil"/>
              <w:bottom w:val="single" w:color="auto" w:sz="4" w:space="0"/>
              <w:right w:val="single" w:color="auto" w:sz="4" w:space="0"/>
            </w:tcBorders>
            <w:shd w:val="clear" w:color="auto" w:fill="auto"/>
            <w:noWrap/>
            <w:vAlign w:val="center"/>
          </w:tcPr>
          <w:p w14:paraId="3288992F">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5</w:t>
            </w:r>
          </w:p>
        </w:tc>
        <w:tc>
          <w:tcPr>
            <w:tcW w:w="2757" w:type="dxa"/>
            <w:tcBorders>
              <w:top w:val="nil"/>
              <w:left w:val="nil"/>
              <w:bottom w:val="single" w:color="auto" w:sz="4" w:space="0"/>
              <w:right w:val="single" w:color="auto" w:sz="4" w:space="0"/>
            </w:tcBorders>
            <w:shd w:val="clear" w:color="auto" w:fill="auto"/>
            <w:vAlign w:val="center"/>
          </w:tcPr>
          <w:p w14:paraId="33F2CB1D">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评价账务处理，资产转固，收益管理、档案管理等情况。根据抽</w:t>
            </w:r>
            <w:r>
              <w:rPr>
                <w:rFonts w:hint="eastAsia" w:ascii="方正仿宋_GBK" w:hAnsi="宋体" w:eastAsia="方正仿宋_GBK" w:cs="宋体"/>
                <w:kern w:val="0"/>
                <w:sz w:val="16"/>
                <w:szCs w:val="16"/>
                <w:lang w:eastAsia="zh-CN"/>
              </w:rPr>
              <w:t>查</w:t>
            </w:r>
            <w:r>
              <w:rPr>
                <w:rFonts w:hint="eastAsia" w:ascii="方正仿宋_GBK" w:hAnsi="宋体" w:eastAsia="方正仿宋_GBK" w:cs="宋体"/>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75BD2A7A">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1.财务处理是否规范，原始凭证是否齐全，建成资产是否及时转固、收益管理是否合规；（4分）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2.档案管理是否完整、合规、真实。（1分）</w:t>
            </w:r>
          </w:p>
        </w:tc>
      </w:tr>
      <w:tr w14:paraId="102C008C">
        <w:tblPrEx>
          <w:tblCellMar>
            <w:top w:w="0" w:type="dxa"/>
            <w:left w:w="108" w:type="dxa"/>
            <w:bottom w:w="0" w:type="dxa"/>
            <w:right w:w="108" w:type="dxa"/>
          </w:tblCellMar>
        </w:tblPrEx>
        <w:trPr>
          <w:cantSplit/>
          <w:trHeight w:val="1893"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29624E09">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9</w:t>
            </w:r>
          </w:p>
        </w:tc>
        <w:tc>
          <w:tcPr>
            <w:tcW w:w="1018" w:type="dxa"/>
            <w:vMerge w:val="continue"/>
            <w:tcBorders>
              <w:top w:val="nil"/>
              <w:left w:val="single" w:color="auto" w:sz="4" w:space="0"/>
              <w:bottom w:val="single" w:color="auto" w:sz="4" w:space="0"/>
              <w:right w:val="single" w:color="auto" w:sz="4" w:space="0"/>
            </w:tcBorders>
            <w:vAlign w:val="center"/>
          </w:tcPr>
          <w:p w14:paraId="6255400F">
            <w:pPr>
              <w:widowControl/>
              <w:jc w:val="left"/>
              <w:rPr>
                <w:rFonts w:ascii="方正仿宋_GBK" w:hAnsi="宋体" w:eastAsia="方正仿宋_GBK" w:cs="宋体"/>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699F4C28">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信息公开和公告公示制度落实情况</w:t>
            </w:r>
          </w:p>
        </w:tc>
        <w:tc>
          <w:tcPr>
            <w:tcW w:w="536" w:type="dxa"/>
            <w:tcBorders>
              <w:top w:val="nil"/>
              <w:left w:val="nil"/>
              <w:bottom w:val="single" w:color="auto" w:sz="4" w:space="0"/>
              <w:right w:val="single" w:color="auto" w:sz="4" w:space="0"/>
            </w:tcBorders>
            <w:shd w:val="clear" w:color="auto" w:fill="auto"/>
            <w:noWrap/>
            <w:vAlign w:val="center"/>
          </w:tcPr>
          <w:p w14:paraId="57E703C6">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9</w:t>
            </w:r>
          </w:p>
        </w:tc>
        <w:tc>
          <w:tcPr>
            <w:tcW w:w="2757" w:type="dxa"/>
            <w:tcBorders>
              <w:top w:val="nil"/>
              <w:left w:val="nil"/>
              <w:bottom w:val="single" w:color="auto" w:sz="4" w:space="0"/>
              <w:right w:val="single" w:color="auto" w:sz="4" w:space="0"/>
            </w:tcBorders>
            <w:shd w:val="clear" w:color="auto" w:fill="auto"/>
            <w:vAlign w:val="center"/>
          </w:tcPr>
          <w:p w14:paraId="4EE080FC">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评价区级、镇级、村级落实《铜梁区财政衔接推进乡村振兴补助资金项目公告公示实施办法》（铜委农办〔2021〕19号）文件要求情况。根据抽</w:t>
            </w:r>
            <w:r>
              <w:rPr>
                <w:rFonts w:hint="eastAsia" w:ascii="方正仿宋_GBK" w:hAnsi="宋体" w:eastAsia="方正仿宋_GBK" w:cs="宋体"/>
                <w:kern w:val="0"/>
                <w:sz w:val="16"/>
                <w:szCs w:val="16"/>
                <w:lang w:eastAsia="zh-CN"/>
              </w:rPr>
              <w:t>查</w:t>
            </w:r>
            <w:r>
              <w:rPr>
                <w:rFonts w:hint="eastAsia" w:ascii="方正仿宋_GBK" w:hAnsi="宋体" w:eastAsia="方正仿宋_GBK" w:cs="宋体"/>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31326B86">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分区级、镇级、村级进行评价。</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1.抽查区级公示公开情况，满分3分，未完整公开酌情扣分；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2.抽查镇级公示公开情况，满分3分，未完整公开酌情扣分；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3.抽查村级公示公开情况，满分3分，未完整公开酌情扣分。</w:t>
            </w:r>
          </w:p>
        </w:tc>
      </w:tr>
      <w:tr w14:paraId="4333FA4F">
        <w:tblPrEx>
          <w:tblCellMar>
            <w:top w:w="0" w:type="dxa"/>
            <w:left w:w="108" w:type="dxa"/>
            <w:bottom w:w="0" w:type="dxa"/>
            <w:right w:w="108" w:type="dxa"/>
          </w:tblCellMar>
        </w:tblPrEx>
        <w:trPr>
          <w:cantSplit/>
          <w:trHeight w:val="2981"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140B2EEA">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10</w:t>
            </w:r>
          </w:p>
        </w:tc>
        <w:tc>
          <w:tcPr>
            <w:tcW w:w="1018" w:type="dxa"/>
            <w:vMerge w:val="restart"/>
            <w:tcBorders>
              <w:top w:val="nil"/>
              <w:left w:val="single" w:color="auto" w:sz="4" w:space="0"/>
              <w:bottom w:val="single" w:color="auto" w:sz="4" w:space="0"/>
              <w:right w:val="single" w:color="auto" w:sz="4" w:space="0"/>
            </w:tcBorders>
            <w:shd w:val="clear" w:color="auto" w:fill="auto"/>
            <w:vAlign w:val="center"/>
          </w:tcPr>
          <w:p w14:paraId="4209D14B">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使用成效及通报情况（40分）</w:t>
            </w:r>
          </w:p>
        </w:tc>
        <w:tc>
          <w:tcPr>
            <w:tcW w:w="1048" w:type="dxa"/>
            <w:tcBorders>
              <w:top w:val="nil"/>
              <w:left w:val="nil"/>
              <w:bottom w:val="single" w:color="auto" w:sz="4" w:space="0"/>
              <w:right w:val="single" w:color="auto" w:sz="4" w:space="0"/>
            </w:tcBorders>
            <w:shd w:val="clear" w:color="auto" w:fill="auto"/>
            <w:vAlign w:val="center"/>
          </w:tcPr>
          <w:p w14:paraId="33AAABC3">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资金使用效益</w:t>
            </w:r>
          </w:p>
        </w:tc>
        <w:tc>
          <w:tcPr>
            <w:tcW w:w="536" w:type="dxa"/>
            <w:tcBorders>
              <w:top w:val="nil"/>
              <w:left w:val="nil"/>
              <w:bottom w:val="single" w:color="auto" w:sz="4" w:space="0"/>
              <w:right w:val="single" w:color="auto" w:sz="4" w:space="0"/>
            </w:tcBorders>
            <w:shd w:val="clear" w:color="auto" w:fill="auto"/>
            <w:noWrap/>
            <w:vAlign w:val="center"/>
          </w:tcPr>
          <w:p w14:paraId="70B5757F">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35</w:t>
            </w:r>
          </w:p>
        </w:tc>
        <w:tc>
          <w:tcPr>
            <w:tcW w:w="2757" w:type="dxa"/>
            <w:tcBorders>
              <w:top w:val="nil"/>
              <w:left w:val="nil"/>
              <w:bottom w:val="single" w:color="auto" w:sz="4" w:space="0"/>
              <w:right w:val="single" w:color="auto" w:sz="4" w:space="0"/>
            </w:tcBorders>
            <w:shd w:val="clear" w:color="auto" w:fill="auto"/>
            <w:vAlign w:val="center"/>
          </w:tcPr>
          <w:p w14:paraId="0734FB2C">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评价项目是否达到预期成效，后续管护是否存在问题等。根据抽</w:t>
            </w:r>
            <w:r>
              <w:rPr>
                <w:rFonts w:hint="eastAsia" w:ascii="方正仿宋_GBK" w:hAnsi="宋体" w:eastAsia="方正仿宋_GBK" w:cs="宋体"/>
                <w:kern w:val="0"/>
                <w:sz w:val="16"/>
                <w:szCs w:val="16"/>
                <w:lang w:eastAsia="zh-CN"/>
              </w:rPr>
              <w:t>查</w:t>
            </w:r>
            <w:r>
              <w:rPr>
                <w:rFonts w:hint="eastAsia" w:ascii="方正仿宋_GBK" w:hAnsi="宋体" w:eastAsia="方正仿宋_GBK" w:cs="宋体"/>
                <w:kern w:val="0"/>
                <w:sz w:val="16"/>
                <w:szCs w:val="16"/>
              </w:rPr>
              <w:t>情况赋分。</w:t>
            </w:r>
          </w:p>
        </w:tc>
        <w:tc>
          <w:tcPr>
            <w:tcW w:w="3596" w:type="dxa"/>
            <w:tcBorders>
              <w:top w:val="nil"/>
              <w:left w:val="nil"/>
              <w:bottom w:val="single" w:color="auto" w:sz="4" w:space="0"/>
              <w:right w:val="single" w:color="auto" w:sz="4" w:space="0"/>
            </w:tcBorders>
            <w:shd w:val="clear" w:color="auto" w:fill="auto"/>
            <w:vAlign w:val="center"/>
          </w:tcPr>
          <w:p w14:paraId="4D684116">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评价内容包括抽查项目实际完成任务量是否达到绩效目标申报的任务量、衔接资金用途是否突破管理办法。产业类项目是否明确联农带农机制、是否优先覆盖防止返贫监测对象、往年项目是否持续有效运行等；基础设施类项目质量是否达到相应标准、后续管护是否存在问题等；“两不愁三保障”和饮水安全、兜底保障等成果巩固情况；其他项目是否实现预期目标。</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满分35分，根据抽</w:t>
            </w:r>
            <w:r>
              <w:rPr>
                <w:rFonts w:hint="eastAsia" w:ascii="方正仿宋_GBK" w:hAnsi="宋体" w:eastAsia="方正仿宋_GBK" w:cs="宋体"/>
                <w:kern w:val="0"/>
                <w:sz w:val="16"/>
                <w:szCs w:val="16"/>
                <w:lang w:eastAsia="zh-CN"/>
              </w:rPr>
              <w:t>查</w:t>
            </w:r>
            <w:r>
              <w:rPr>
                <w:rFonts w:hint="eastAsia" w:ascii="方正仿宋_GBK" w:hAnsi="宋体" w:eastAsia="方正仿宋_GBK" w:cs="宋体"/>
                <w:kern w:val="0"/>
                <w:sz w:val="16"/>
                <w:szCs w:val="16"/>
              </w:rPr>
              <w:t>项目情况赋分。项目管理各环节，每存在一例不符合相关规定的，扣0.5分，扣完为止。</w:t>
            </w:r>
          </w:p>
        </w:tc>
      </w:tr>
      <w:tr w14:paraId="657D8E6B">
        <w:tblPrEx>
          <w:tblCellMar>
            <w:top w:w="0" w:type="dxa"/>
            <w:left w:w="108" w:type="dxa"/>
            <w:bottom w:w="0" w:type="dxa"/>
            <w:right w:w="108" w:type="dxa"/>
          </w:tblCellMar>
        </w:tblPrEx>
        <w:trPr>
          <w:cantSplit/>
          <w:trHeight w:val="1076"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242BDDCB">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11</w:t>
            </w:r>
          </w:p>
        </w:tc>
        <w:tc>
          <w:tcPr>
            <w:tcW w:w="1018" w:type="dxa"/>
            <w:vMerge w:val="continue"/>
            <w:tcBorders>
              <w:top w:val="nil"/>
              <w:left w:val="single" w:color="auto" w:sz="4" w:space="0"/>
              <w:bottom w:val="single" w:color="auto" w:sz="4" w:space="0"/>
              <w:right w:val="single" w:color="auto" w:sz="4" w:space="0"/>
            </w:tcBorders>
            <w:vAlign w:val="center"/>
          </w:tcPr>
          <w:p w14:paraId="72E77AB7">
            <w:pPr>
              <w:widowControl/>
              <w:jc w:val="left"/>
              <w:rPr>
                <w:rFonts w:ascii="方正仿宋_GBK" w:hAnsi="宋体" w:eastAsia="方正仿宋_GBK" w:cs="宋体"/>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1B4AED1A">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通报情况</w:t>
            </w:r>
          </w:p>
        </w:tc>
        <w:tc>
          <w:tcPr>
            <w:tcW w:w="536" w:type="dxa"/>
            <w:tcBorders>
              <w:top w:val="nil"/>
              <w:left w:val="nil"/>
              <w:bottom w:val="single" w:color="auto" w:sz="4" w:space="0"/>
              <w:right w:val="single" w:color="auto" w:sz="4" w:space="0"/>
            </w:tcBorders>
            <w:shd w:val="clear" w:color="auto" w:fill="auto"/>
            <w:vAlign w:val="center"/>
          </w:tcPr>
          <w:p w14:paraId="7ED5D741">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5</w:t>
            </w:r>
          </w:p>
        </w:tc>
        <w:tc>
          <w:tcPr>
            <w:tcW w:w="2757" w:type="dxa"/>
            <w:tcBorders>
              <w:top w:val="nil"/>
              <w:left w:val="nil"/>
              <w:bottom w:val="single" w:color="auto" w:sz="4" w:space="0"/>
              <w:right w:val="single" w:color="auto" w:sz="4" w:space="0"/>
            </w:tcBorders>
            <w:shd w:val="clear" w:color="auto" w:fill="auto"/>
            <w:vAlign w:val="center"/>
          </w:tcPr>
          <w:p w14:paraId="0D2EFF89">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评价日常表现情况。</w:t>
            </w:r>
          </w:p>
        </w:tc>
        <w:tc>
          <w:tcPr>
            <w:tcW w:w="3596" w:type="dxa"/>
            <w:tcBorders>
              <w:top w:val="nil"/>
              <w:left w:val="nil"/>
              <w:bottom w:val="single" w:color="auto" w:sz="4" w:space="0"/>
              <w:right w:val="single" w:color="auto" w:sz="4" w:space="0"/>
            </w:tcBorders>
            <w:shd w:val="clear" w:color="auto" w:fill="auto"/>
            <w:vAlign w:val="center"/>
          </w:tcPr>
          <w:p w14:paraId="41AE1C2A">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主要为区级业务主管部门、区财政局、市级检查等项目进度、资金进度、发现问题情况的通报或问题反馈。被通报或有问题反馈等情况，每发生一次，扣1分，满分5分，扣完为止。</w:t>
            </w:r>
          </w:p>
        </w:tc>
      </w:tr>
      <w:tr w14:paraId="32B3B30F">
        <w:tblPrEx>
          <w:tblCellMar>
            <w:top w:w="0" w:type="dxa"/>
            <w:left w:w="108" w:type="dxa"/>
            <w:bottom w:w="0" w:type="dxa"/>
            <w:right w:w="108" w:type="dxa"/>
          </w:tblCellMar>
        </w:tblPrEx>
        <w:trPr>
          <w:cantSplit/>
          <w:trHeight w:val="134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42505049">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12</w:t>
            </w:r>
          </w:p>
        </w:tc>
        <w:tc>
          <w:tcPr>
            <w:tcW w:w="1018" w:type="dxa"/>
            <w:vMerge w:val="restart"/>
            <w:tcBorders>
              <w:top w:val="nil"/>
              <w:left w:val="single" w:color="auto" w:sz="4" w:space="0"/>
              <w:bottom w:val="single" w:color="000000" w:sz="4" w:space="0"/>
              <w:right w:val="single" w:color="auto" w:sz="4" w:space="0"/>
            </w:tcBorders>
            <w:shd w:val="clear" w:color="auto" w:fill="auto"/>
            <w:vAlign w:val="center"/>
          </w:tcPr>
          <w:p w14:paraId="1CE60836">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加减分指标</w:t>
            </w:r>
          </w:p>
        </w:tc>
        <w:tc>
          <w:tcPr>
            <w:tcW w:w="1048" w:type="dxa"/>
            <w:tcBorders>
              <w:top w:val="nil"/>
              <w:left w:val="nil"/>
              <w:bottom w:val="single" w:color="auto" w:sz="4" w:space="0"/>
              <w:right w:val="single" w:color="auto" w:sz="4" w:space="0"/>
            </w:tcBorders>
            <w:shd w:val="clear" w:color="auto" w:fill="auto"/>
            <w:vAlign w:val="center"/>
          </w:tcPr>
          <w:p w14:paraId="1F4EF218">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加分项</w:t>
            </w:r>
          </w:p>
        </w:tc>
        <w:tc>
          <w:tcPr>
            <w:tcW w:w="536" w:type="dxa"/>
            <w:tcBorders>
              <w:top w:val="nil"/>
              <w:left w:val="nil"/>
              <w:bottom w:val="single" w:color="auto" w:sz="4" w:space="0"/>
              <w:right w:val="single" w:color="auto" w:sz="4" w:space="0"/>
            </w:tcBorders>
            <w:shd w:val="clear" w:color="auto" w:fill="auto"/>
            <w:vAlign w:val="center"/>
          </w:tcPr>
          <w:p w14:paraId="75EF8A6E">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5</w:t>
            </w:r>
          </w:p>
        </w:tc>
        <w:tc>
          <w:tcPr>
            <w:tcW w:w="2757" w:type="dxa"/>
            <w:tcBorders>
              <w:top w:val="nil"/>
              <w:left w:val="nil"/>
              <w:bottom w:val="single" w:color="auto" w:sz="4" w:space="0"/>
              <w:right w:val="single" w:color="auto" w:sz="4" w:space="0"/>
            </w:tcBorders>
            <w:shd w:val="clear" w:color="auto" w:fill="auto"/>
            <w:vAlign w:val="center"/>
          </w:tcPr>
          <w:p w14:paraId="3B50FF16">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评价机制创新情况。最高加5分。</w:t>
            </w:r>
          </w:p>
        </w:tc>
        <w:tc>
          <w:tcPr>
            <w:tcW w:w="3596" w:type="dxa"/>
            <w:tcBorders>
              <w:top w:val="nil"/>
              <w:left w:val="nil"/>
              <w:bottom w:val="single" w:color="auto" w:sz="4" w:space="0"/>
              <w:right w:val="single" w:color="auto" w:sz="4" w:space="0"/>
            </w:tcBorders>
            <w:shd w:val="clear" w:color="auto" w:fill="auto"/>
            <w:vAlign w:val="center"/>
          </w:tcPr>
          <w:p w14:paraId="3AB3DF98">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1.在财政衔接资金分配、使用、监管等方面存在机制创新；（2分）</w:t>
            </w:r>
            <w:r>
              <w:rPr>
                <w:rFonts w:hint="eastAsia" w:ascii="方正仿宋_GBK" w:hAnsi="宋体" w:eastAsia="方正仿宋_GBK" w:cs="宋体"/>
                <w:kern w:val="0"/>
                <w:sz w:val="16"/>
                <w:szCs w:val="16"/>
              </w:rPr>
              <w:br w:type="textWrapping"/>
            </w:r>
            <w:r>
              <w:rPr>
                <w:rFonts w:hint="eastAsia" w:ascii="方正仿宋_GBK" w:hAnsi="宋体" w:eastAsia="方正仿宋_GBK" w:cs="宋体"/>
                <w:kern w:val="0"/>
                <w:sz w:val="16"/>
                <w:szCs w:val="16"/>
              </w:rPr>
              <w:t>2.国家、市级对我区财政衔接资金绩效评价中，被财政部、国家乡村振兴局及其第三方总结经验做法，并调研推广的。（3分）</w:t>
            </w:r>
          </w:p>
        </w:tc>
      </w:tr>
      <w:tr w14:paraId="6F6C274D">
        <w:tblPrEx>
          <w:tblCellMar>
            <w:top w:w="0" w:type="dxa"/>
            <w:left w:w="108" w:type="dxa"/>
            <w:bottom w:w="0" w:type="dxa"/>
            <w:right w:w="108" w:type="dxa"/>
          </w:tblCellMar>
        </w:tblPrEx>
        <w:trPr>
          <w:cantSplit/>
          <w:trHeight w:val="816"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312A17C2">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13</w:t>
            </w:r>
          </w:p>
        </w:tc>
        <w:tc>
          <w:tcPr>
            <w:tcW w:w="1018" w:type="dxa"/>
            <w:vMerge w:val="continue"/>
            <w:tcBorders>
              <w:top w:val="nil"/>
              <w:left w:val="single" w:color="auto" w:sz="4" w:space="0"/>
              <w:bottom w:val="single" w:color="000000" w:sz="4" w:space="0"/>
              <w:right w:val="single" w:color="auto" w:sz="4" w:space="0"/>
            </w:tcBorders>
            <w:vAlign w:val="center"/>
          </w:tcPr>
          <w:p w14:paraId="6FB9A800">
            <w:pPr>
              <w:widowControl/>
              <w:jc w:val="left"/>
              <w:rPr>
                <w:rFonts w:ascii="方正仿宋_GBK" w:hAnsi="宋体" w:eastAsia="方正仿宋_GBK" w:cs="宋体"/>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06CFC75C">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扣分项</w:t>
            </w:r>
          </w:p>
        </w:tc>
        <w:tc>
          <w:tcPr>
            <w:tcW w:w="536" w:type="dxa"/>
            <w:tcBorders>
              <w:top w:val="nil"/>
              <w:left w:val="nil"/>
              <w:bottom w:val="single" w:color="auto" w:sz="4" w:space="0"/>
              <w:right w:val="single" w:color="auto" w:sz="4" w:space="0"/>
            </w:tcBorders>
            <w:shd w:val="clear" w:color="auto" w:fill="auto"/>
            <w:vAlign w:val="center"/>
          </w:tcPr>
          <w:p w14:paraId="6FF91992">
            <w:pPr>
              <w:widowControl/>
              <w:jc w:val="center"/>
              <w:rPr>
                <w:rFonts w:ascii="方正仿宋_GBK" w:hAnsi="宋体" w:eastAsia="方正仿宋_GBK" w:cs="宋体"/>
                <w:kern w:val="0"/>
                <w:sz w:val="16"/>
                <w:szCs w:val="16"/>
              </w:rPr>
            </w:pPr>
            <w:r>
              <w:rPr>
                <w:rFonts w:hint="eastAsia" w:ascii="方正仿宋_GBK" w:hAnsi="宋体" w:eastAsia="方正仿宋_GBK" w:cs="宋体"/>
                <w:kern w:val="0"/>
                <w:sz w:val="16"/>
                <w:szCs w:val="16"/>
              </w:rPr>
              <w:t>10</w:t>
            </w:r>
          </w:p>
        </w:tc>
        <w:tc>
          <w:tcPr>
            <w:tcW w:w="2757" w:type="dxa"/>
            <w:tcBorders>
              <w:top w:val="nil"/>
              <w:left w:val="nil"/>
              <w:bottom w:val="single" w:color="auto" w:sz="4" w:space="0"/>
              <w:right w:val="single" w:color="auto" w:sz="4" w:space="0"/>
            </w:tcBorders>
            <w:shd w:val="clear" w:color="auto" w:fill="auto"/>
            <w:vAlign w:val="center"/>
          </w:tcPr>
          <w:p w14:paraId="2E5011F9">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反映提供材料的真实性，有效性以及相关工作合法合规情况。（用于负面清单事项）</w:t>
            </w:r>
          </w:p>
        </w:tc>
        <w:tc>
          <w:tcPr>
            <w:tcW w:w="3596" w:type="dxa"/>
            <w:tcBorders>
              <w:top w:val="nil"/>
              <w:left w:val="nil"/>
              <w:bottom w:val="single" w:color="auto" w:sz="4" w:space="0"/>
              <w:right w:val="single" w:color="auto" w:sz="4" w:space="0"/>
            </w:tcBorders>
            <w:shd w:val="clear" w:color="auto" w:fill="auto"/>
            <w:vAlign w:val="center"/>
          </w:tcPr>
          <w:p w14:paraId="0E5B4A02">
            <w:pPr>
              <w:widowControl/>
              <w:jc w:val="left"/>
              <w:rPr>
                <w:rFonts w:ascii="方正仿宋_GBK" w:hAnsi="宋体" w:eastAsia="方正仿宋_GBK" w:cs="宋体"/>
                <w:kern w:val="0"/>
                <w:sz w:val="16"/>
                <w:szCs w:val="16"/>
              </w:rPr>
            </w:pPr>
            <w:r>
              <w:rPr>
                <w:rFonts w:hint="eastAsia" w:ascii="方正仿宋_GBK" w:hAnsi="宋体" w:eastAsia="方正仿宋_GBK" w:cs="宋体"/>
                <w:kern w:val="0"/>
                <w:sz w:val="16"/>
                <w:szCs w:val="16"/>
              </w:rPr>
              <w:t>考核材料、数据中存在虚假信息的，或经有关部门监督检查发现问题的，视情节严重程度扣1-10分。</w:t>
            </w:r>
          </w:p>
        </w:tc>
      </w:tr>
    </w:tbl>
    <w:p w14:paraId="20C0CF82">
      <w:pPr>
        <w:spacing w:before="120" w:beforeLines="50" w:line="360" w:lineRule="auto"/>
        <w:ind w:firstLine="482" w:firstLineChars="200"/>
        <w:jc w:val="left"/>
        <w:outlineLvl w:val="0"/>
        <w:rPr>
          <w:rFonts w:ascii="Arial Narrow" w:hAnsi="Arial Narrow" w:eastAsia="仿宋_GB2312"/>
          <w:b/>
          <w:sz w:val="24"/>
        </w:rPr>
      </w:pPr>
      <w:bookmarkStart w:id="15" w:name="_Toc7253"/>
      <w:r>
        <w:rPr>
          <w:rFonts w:ascii="Arial Narrow" w:hAnsi="Arial Narrow" w:eastAsia="仿宋_GB2312"/>
          <w:b/>
          <w:sz w:val="24"/>
        </w:rPr>
        <w:t>（五）绩效评价标准和评价方法</w:t>
      </w:r>
      <w:bookmarkEnd w:id="15"/>
    </w:p>
    <w:p w14:paraId="47D44B22">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rPr>
        <w:t>.</w:t>
      </w:r>
      <w:r>
        <w:rPr>
          <w:rFonts w:ascii="Arial Narrow" w:hAnsi="Arial Narrow" w:eastAsia="仿宋_GB2312"/>
          <w:color w:val="auto"/>
        </w:rPr>
        <w:t>绩效评价标准</w:t>
      </w:r>
    </w:p>
    <w:p w14:paraId="1AA1BC3E">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绩效评价标准采用定量评分，满分为100分。指标分值我们是根据确定的指标内容及项目实施的具体情况综合分析确定的，详见附件。</w:t>
      </w:r>
    </w:p>
    <w:p w14:paraId="4BF59177">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绩效评价结果分为优（得分</w:t>
      </w:r>
      <w:bookmarkStart w:id="16" w:name="_Hlk162596803"/>
      <w:r>
        <w:rPr>
          <w:rFonts w:ascii="Arial Narrow" w:hAnsi="Arial Narrow" w:eastAsia="仿宋_GB2312"/>
          <w:color w:val="auto"/>
        </w:rPr>
        <w:t>≥90</w:t>
      </w:r>
      <w:bookmarkEnd w:id="16"/>
      <w:r>
        <w:rPr>
          <w:rFonts w:ascii="Arial Narrow" w:hAnsi="Arial Narrow" w:eastAsia="仿宋_GB2312"/>
          <w:color w:val="auto"/>
        </w:rPr>
        <w:t>）、良</w:t>
      </w:r>
      <w:bookmarkStart w:id="17" w:name="_Hlk168473502"/>
      <w:r>
        <w:rPr>
          <w:rFonts w:ascii="Arial Narrow" w:hAnsi="Arial Narrow" w:eastAsia="仿宋_GB2312"/>
          <w:color w:val="auto"/>
        </w:rPr>
        <w:t>（90＞得分≥80）</w:t>
      </w:r>
      <w:bookmarkEnd w:id="17"/>
      <w:r>
        <w:rPr>
          <w:rFonts w:ascii="Arial Narrow" w:hAnsi="Arial Narrow" w:eastAsia="仿宋_GB2312"/>
          <w:color w:val="auto"/>
        </w:rPr>
        <w:t>、中（80＞得分≥60）、差（得分＜60）四个等级，按百分制综合得分高低按分值划段确定。</w:t>
      </w:r>
    </w:p>
    <w:p w14:paraId="0339B677">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rPr>
        <w:t>.</w:t>
      </w:r>
      <w:r>
        <w:rPr>
          <w:rFonts w:ascii="Arial Narrow" w:hAnsi="Arial Narrow" w:eastAsia="仿宋_GB2312"/>
          <w:color w:val="auto"/>
        </w:rPr>
        <w:t>绩效评价方法</w:t>
      </w:r>
    </w:p>
    <w:p w14:paraId="5EC98939">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绩效评价技术方法主要有成本效益分析法、比较法、因素分析法、最低成本法、公众评判法等。</w:t>
      </w:r>
    </w:p>
    <w:p w14:paraId="626CA1F8">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成本效益分析法。是指将一定时期内的支出与效益进行对比分析，以评价绩效目标的实现程度。</w:t>
      </w:r>
    </w:p>
    <w:p w14:paraId="74FE0656">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比较法。是指通过对绩效目标与实施效果、历史与当期情况、不同部门和地区同类支出的比较，综合分析绩效目标实现程度。</w:t>
      </w:r>
    </w:p>
    <w:p w14:paraId="4609ECE1">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因素分析法。是指通过综合分析影响绩效目标实现、实施效果的内外因素，评价绩效目标实现程度。</w:t>
      </w:r>
    </w:p>
    <w:p w14:paraId="5A7D42CC">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最低成本法。是指对效益确定却不易计量的多个同类对象的实施成本进行比较，评价绩效目标实现程度。</w:t>
      </w:r>
    </w:p>
    <w:p w14:paraId="4A5BCFB3">
      <w:pPr>
        <w:pStyle w:val="14"/>
        <w:spacing w:line="360" w:lineRule="auto"/>
        <w:ind w:firstLine="480" w:firstLineChars="200"/>
        <w:rPr>
          <w:rFonts w:ascii="Arial Narrow" w:hAnsi="Arial Narrow" w:eastAsia="仿宋_GB2312"/>
          <w:color w:val="auto"/>
        </w:rPr>
      </w:pPr>
      <w:r>
        <w:rPr>
          <w:rFonts w:ascii="Arial Narrow" w:hAnsi="Arial Narrow" w:eastAsia="仿宋_GB2312"/>
          <w:color w:val="auto"/>
        </w:rPr>
        <w:t>公众评判法。是指通过专家评估、公众问卷及抽样调查等对预算支出效果进行评判，评价绩效目标实现程度。</w:t>
      </w:r>
    </w:p>
    <w:p w14:paraId="47C9C580">
      <w:pPr>
        <w:spacing w:line="360" w:lineRule="auto"/>
        <w:ind w:firstLine="482" w:firstLineChars="200"/>
        <w:jc w:val="left"/>
        <w:outlineLvl w:val="0"/>
        <w:rPr>
          <w:rFonts w:ascii="Arial Narrow" w:hAnsi="Arial Narrow" w:eastAsia="仿宋_GB2312"/>
          <w:b/>
          <w:sz w:val="24"/>
        </w:rPr>
      </w:pPr>
      <w:bookmarkStart w:id="18" w:name="_Toc437528932"/>
      <w:bookmarkStart w:id="19" w:name="_Toc20577"/>
      <w:r>
        <w:rPr>
          <w:rFonts w:ascii="Arial Narrow" w:hAnsi="Arial Narrow" w:eastAsia="仿宋_GB2312"/>
          <w:b/>
          <w:sz w:val="24"/>
        </w:rPr>
        <w:t>（六）绩效评价</w:t>
      </w:r>
      <w:bookmarkEnd w:id="18"/>
      <w:r>
        <w:rPr>
          <w:rFonts w:ascii="Arial Narrow" w:hAnsi="Arial Narrow" w:eastAsia="仿宋_GB2312"/>
          <w:b/>
          <w:sz w:val="24"/>
        </w:rPr>
        <w:t>工作过程</w:t>
      </w:r>
      <w:bookmarkEnd w:id="19"/>
    </w:p>
    <w:p w14:paraId="5B2A5F58">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1.经铜梁区财政局确定为“2023年财政专项衔接资金项目”项目绩效评价服务单位后我所</w:t>
      </w:r>
      <w:r>
        <w:rPr>
          <w:rFonts w:ascii="Arial Narrow" w:hAnsi="Arial Narrow" w:eastAsia="仿宋_GB2312"/>
          <w:color w:val="auto"/>
        </w:rPr>
        <w:t>成立</w:t>
      </w:r>
      <w:r>
        <w:rPr>
          <w:rFonts w:hint="eastAsia" w:ascii="Arial Narrow" w:hAnsi="Arial Narrow" w:eastAsia="仿宋_GB2312"/>
          <w:color w:val="auto"/>
        </w:rPr>
        <w:t>了</w:t>
      </w:r>
      <w:r>
        <w:rPr>
          <w:rFonts w:ascii="Arial Narrow" w:hAnsi="Arial Narrow" w:eastAsia="仿宋_GB2312"/>
          <w:color w:val="auto"/>
        </w:rPr>
        <w:t>绩效</w:t>
      </w:r>
      <w:r>
        <w:rPr>
          <w:rFonts w:hint="eastAsia" w:ascii="Arial Narrow" w:hAnsi="Arial Narrow" w:eastAsia="仿宋_GB2312"/>
          <w:color w:val="auto"/>
        </w:rPr>
        <w:t>评价</w:t>
      </w:r>
      <w:r>
        <w:rPr>
          <w:rFonts w:ascii="Arial Narrow" w:hAnsi="Arial Narrow" w:eastAsia="仿宋_GB2312"/>
          <w:color w:val="auto"/>
        </w:rPr>
        <w:t>工作小组。</w:t>
      </w:r>
    </w:p>
    <w:p w14:paraId="1F310CA4">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2.根据项目实际情况收集项目基础资料及数据深入了解项目整体情况。</w:t>
      </w:r>
    </w:p>
    <w:p w14:paraId="545C9284">
      <w:pPr>
        <w:pStyle w:val="14"/>
        <w:spacing w:line="360" w:lineRule="auto"/>
        <w:ind w:firstLine="480" w:firstLineChars="200"/>
        <w:rPr>
          <w:rFonts w:hint="eastAsia" w:ascii="Arial Narrow" w:hAnsi="Arial Narrow" w:eastAsia="仿宋_GB2312"/>
          <w:color w:val="auto"/>
          <w:lang w:eastAsia="zh-CN"/>
        </w:rPr>
      </w:pPr>
      <w:r>
        <w:rPr>
          <w:rFonts w:hint="eastAsia" w:ascii="Arial Narrow" w:hAnsi="Arial Narrow" w:eastAsia="仿宋_GB2312"/>
          <w:color w:val="auto"/>
        </w:rPr>
        <w:t>3.组织实施现场调查、检查、走访等具体工作</w:t>
      </w:r>
      <w:r>
        <w:rPr>
          <w:rFonts w:hint="eastAsia" w:ascii="Arial Narrow" w:hAnsi="Arial Narrow" w:eastAsia="仿宋_GB2312"/>
          <w:color w:val="auto"/>
          <w:lang w:eastAsia="zh-CN"/>
        </w:rPr>
        <w:t>。</w:t>
      </w:r>
    </w:p>
    <w:p w14:paraId="7D3F54C0">
      <w:pPr>
        <w:pStyle w:val="14"/>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4.依据收集到的项目相关资料和数据，比照经贵单位审定的评价指标体系的评分标准，分别对项目评价打分，汇总后加权平均形成综合评价得分，并对该项目的绩效评价等级进行确认。</w:t>
      </w:r>
    </w:p>
    <w:p w14:paraId="6EFED6D9">
      <w:pPr>
        <w:spacing w:line="360" w:lineRule="auto"/>
        <w:ind w:firstLine="482" w:firstLineChars="200"/>
        <w:jc w:val="left"/>
        <w:outlineLvl w:val="0"/>
        <w:rPr>
          <w:rFonts w:ascii="Arial Narrow" w:hAnsi="Arial Narrow" w:eastAsia="仿宋_GB2312"/>
          <w:b/>
          <w:sz w:val="24"/>
        </w:rPr>
      </w:pPr>
      <w:bookmarkStart w:id="20" w:name="_Toc437528933"/>
      <w:bookmarkStart w:id="21" w:name="_Toc32448"/>
      <w:r>
        <w:rPr>
          <w:rFonts w:ascii="Arial Narrow" w:hAnsi="Arial Narrow" w:eastAsia="仿宋_GB2312"/>
          <w:b/>
          <w:sz w:val="24"/>
        </w:rPr>
        <w:t>三、</w:t>
      </w:r>
      <w:r>
        <w:rPr>
          <w:rFonts w:hint="eastAsia" w:ascii="Arial Narrow" w:hAnsi="Arial Narrow" w:eastAsia="仿宋_GB2312"/>
          <w:b/>
          <w:sz w:val="24"/>
        </w:rPr>
        <w:t>项目</w:t>
      </w:r>
      <w:r>
        <w:rPr>
          <w:rFonts w:ascii="Arial Narrow" w:hAnsi="Arial Narrow" w:eastAsia="仿宋_GB2312"/>
          <w:b/>
          <w:sz w:val="24"/>
        </w:rPr>
        <w:t>评价</w:t>
      </w:r>
      <w:bookmarkEnd w:id="20"/>
      <w:r>
        <w:rPr>
          <w:rFonts w:ascii="Arial Narrow" w:hAnsi="Arial Narrow" w:eastAsia="仿宋_GB2312"/>
          <w:b/>
          <w:sz w:val="24"/>
        </w:rPr>
        <w:t>结论</w:t>
      </w:r>
      <w:bookmarkEnd w:id="21"/>
    </w:p>
    <w:p w14:paraId="2564F96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Arial Narrow" w:hAnsi="Arial Narrow" w:eastAsia="仿宋_GB2312" w:cs="宋体"/>
          <w:color w:val="auto"/>
          <w:kern w:val="0"/>
          <w:sz w:val="24"/>
          <w:szCs w:val="24"/>
          <w:lang w:val="en-US" w:eastAsia="zh-CN" w:bidi="ar-SA"/>
        </w:rPr>
      </w:pPr>
      <w:r>
        <w:rPr>
          <w:rFonts w:hint="eastAsia" w:ascii="Arial Narrow" w:hAnsi="Arial Narrow" w:eastAsia="仿宋_GB2312" w:cs="宋体"/>
          <w:color w:val="auto"/>
          <w:kern w:val="0"/>
          <w:sz w:val="24"/>
          <w:szCs w:val="24"/>
          <w:lang w:val="en-US" w:eastAsia="zh-CN" w:bidi="ar-SA"/>
        </w:rPr>
        <w:t>农旅融合配套提质工程项目绩效评价得分97.5分，绩效评价等级为：优；</w:t>
      </w:r>
    </w:p>
    <w:p w14:paraId="5E16DF9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Arial Narrow" w:hAnsi="Arial Narrow" w:eastAsia="仿宋_GB2312" w:cs="宋体"/>
          <w:color w:val="auto"/>
          <w:kern w:val="0"/>
          <w:sz w:val="24"/>
          <w:szCs w:val="24"/>
          <w:lang w:val="en-US" w:eastAsia="zh-CN" w:bidi="ar-SA"/>
        </w:rPr>
      </w:pPr>
      <w:r>
        <w:rPr>
          <w:rFonts w:hint="eastAsia" w:ascii="Arial Narrow" w:hAnsi="Arial Narrow" w:eastAsia="仿宋_GB2312" w:cs="宋体"/>
          <w:color w:val="auto"/>
          <w:kern w:val="0"/>
          <w:sz w:val="24"/>
          <w:szCs w:val="24"/>
          <w:lang w:val="en-US" w:eastAsia="zh-CN" w:bidi="ar-SA"/>
        </w:rPr>
        <w:t>肉鸡规模化养殖项目绩效评价得分97.5分，绩效评价等级为：优。</w:t>
      </w:r>
    </w:p>
    <w:p w14:paraId="2855CF73">
      <w:pPr>
        <w:spacing w:line="360" w:lineRule="auto"/>
        <w:ind w:firstLine="482" w:firstLineChars="200"/>
        <w:outlineLvl w:val="0"/>
        <w:rPr>
          <w:rFonts w:ascii="Arial Narrow" w:hAnsi="Arial Narrow" w:eastAsia="仿宋_GB2312"/>
          <w:b/>
          <w:sz w:val="24"/>
        </w:rPr>
      </w:pPr>
      <w:bookmarkStart w:id="22" w:name="_Toc31305"/>
      <w:r>
        <w:rPr>
          <w:rFonts w:hint="eastAsia" w:ascii="Arial Narrow" w:hAnsi="Arial Narrow" w:eastAsia="仿宋_GB2312"/>
          <w:b/>
          <w:sz w:val="24"/>
        </w:rPr>
        <w:t>四、</w:t>
      </w:r>
      <w:r>
        <w:rPr>
          <w:rFonts w:ascii="Arial Narrow" w:hAnsi="Arial Narrow" w:eastAsia="仿宋_GB2312"/>
          <w:b/>
          <w:sz w:val="24"/>
        </w:rPr>
        <w:t>综合评价情况</w:t>
      </w:r>
      <w:bookmarkEnd w:id="22"/>
    </w:p>
    <w:p w14:paraId="0DACC315">
      <w:pPr>
        <w:spacing w:line="360" w:lineRule="auto"/>
        <w:ind w:firstLine="482" w:firstLineChars="200"/>
        <w:jc w:val="left"/>
        <w:outlineLvl w:val="0"/>
        <w:rPr>
          <w:rFonts w:ascii="仿宋_GB2312" w:eastAsia="仿宋_GB2312"/>
          <w:b/>
          <w:sz w:val="24"/>
        </w:rPr>
      </w:pPr>
      <w:bookmarkStart w:id="23" w:name="_Toc306"/>
      <w:r>
        <w:rPr>
          <w:rFonts w:hint="eastAsia" w:ascii="仿宋_GB2312" w:eastAsia="仿宋_GB2312"/>
          <w:b/>
          <w:sz w:val="24"/>
        </w:rPr>
        <w:t>（一）资金管理</w:t>
      </w:r>
      <w:bookmarkEnd w:id="23"/>
    </w:p>
    <w:p w14:paraId="51F31772">
      <w:pPr>
        <w:adjustRightInd w:val="0"/>
        <w:snapToGrid w:val="0"/>
        <w:spacing w:line="360" w:lineRule="auto"/>
        <w:ind w:firstLine="480" w:firstLineChars="200"/>
        <w:rPr>
          <w:rStyle w:val="11"/>
          <w:rFonts w:ascii="Arial Narrow" w:hAnsi="Arial Narrow" w:eastAsia="仿宋_GB2312"/>
          <w:color w:val="auto"/>
          <w:sz w:val="24"/>
          <w:u w:val="none"/>
        </w:rPr>
      </w:pPr>
      <w:r>
        <w:rPr>
          <w:rStyle w:val="11"/>
          <w:rFonts w:hint="eastAsia" w:ascii="Arial Narrow" w:hAnsi="Arial Narrow" w:eastAsia="仿宋_GB2312"/>
          <w:color w:val="auto"/>
          <w:sz w:val="24"/>
          <w:u w:val="none"/>
        </w:rPr>
        <w:t>1.财政衔接资金安排情况</w:t>
      </w:r>
    </w:p>
    <w:p w14:paraId="74E95AAA">
      <w:pPr>
        <w:adjustRightInd w:val="0"/>
        <w:snapToGrid w:val="0"/>
        <w:spacing w:line="360" w:lineRule="auto"/>
        <w:ind w:firstLine="480" w:firstLineChars="200"/>
        <w:rPr>
          <w:rFonts w:hint="eastAsia" w:ascii="Arial Narrow" w:hAnsi="Arial Narrow" w:eastAsia="仿宋_GB2312"/>
          <w:sz w:val="24"/>
        </w:rPr>
      </w:pPr>
      <w:r>
        <w:rPr>
          <w:rFonts w:hint="eastAsia" w:ascii="Arial Narrow" w:hAnsi="Arial Narrow" w:eastAsia="仿宋_GB2312"/>
          <w:sz w:val="24"/>
        </w:rPr>
        <w:t>项目按照《重庆市财政局关于提前下达2023年市财政衔接推进乡村振兴补助资金预算的通知》（渝财农〔2022〕146）、《重庆市铜梁区财政局关于提前下达2023年中央财政衔接推进乡村振兴补助资金预算的通知》（铜财〔2022〕550号）、《重庆市铜梁区财政局关于下达2023年区级财政衔接推进乡村振兴补助资金预算的通知》（铜财〔2023〕46号）等相关政策性文件规定落实衔接资金。</w:t>
      </w:r>
    </w:p>
    <w:p w14:paraId="09457C0C">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2.资金分解下达进度</w:t>
      </w:r>
    </w:p>
    <w:p w14:paraId="1CF086FF">
      <w:pPr>
        <w:adjustRightInd w:val="0"/>
        <w:snapToGrid w:val="0"/>
        <w:spacing w:line="360" w:lineRule="auto"/>
        <w:ind w:firstLine="480" w:firstLineChars="200"/>
        <w:rPr>
          <w:rFonts w:hint="eastAsia" w:ascii="Arial Narrow" w:hAnsi="Arial Narrow" w:eastAsia="仿宋_GB2312"/>
          <w:sz w:val="24"/>
        </w:rPr>
      </w:pPr>
      <w:r>
        <w:rPr>
          <w:rFonts w:hint="eastAsia" w:ascii="Arial Narrow" w:hAnsi="Arial Narrow" w:eastAsia="仿宋_GB2312" w:cs="宋体"/>
          <w:color w:val="auto"/>
          <w:kern w:val="0"/>
          <w:sz w:val="24"/>
          <w:szCs w:val="24"/>
          <w:lang w:val="en-US" w:eastAsia="zh-CN" w:bidi="ar-SA"/>
        </w:rPr>
        <w:t>两个项目</w:t>
      </w:r>
      <w:r>
        <w:rPr>
          <w:rFonts w:hint="eastAsia" w:ascii="Arial Narrow" w:hAnsi="Arial Narrow" w:eastAsia="仿宋_GB2312"/>
          <w:sz w:val="24"/>
        </w:rPr>
        <w:t>区财政局于</w:t>
      </w:r>
      <w:r>
        <w:rPr>
          <w:rFonts w:hint="eastAsia" w:ascii="Arial Narrow" w:hAnsi="Arial Narrow" w:eastAsia="仿宋_GB2312"/>
          <w:sz w:val="24"/>
          <w:highlight w:val="none"/>
        </w:rPr>
        <w:t>202</w:t>
      </w:r>
      <w:r>
        <w:rPr>
          <w:rFonts w:hint="eastAsia" w:ascii="Arial Narrow" w:hAnsi="Arial Narrow" w:eastAsia="仿宋_GB2312"/>
          <w:sz w:val="24"/>
          <w:highlight w:val="none"/>
          <w:lang w:val="en-US" w:eastAsia="zh-CN"/>
        </w:rPr>
        <w:t>2</w:t>
      </w:r>
      <w:r>
        <w:rPr>
          <w:rFonts w:hint="eastAsia" w:ascii="Arial Narrow" w:hAnsi="Arial Narrow" w:eastAsia="仿宋_GB2312"/>
          <w:sz w:val="24"/>
          <w:highlight w:val="none"/>
        </w:rPr>
        <w:t>年</w:t>
      </w:r>
      <w:r>
        <w:rPr>
          <w:rFonts w:hint="eastAsia" w:ascii="Arial Narrow" w:hAnsi="Arial Narrow" w:eastAsia="仿宋_GB2312"/>
          <w:sz w:val="24"/>
          <w:highlight w:val="none"/>
          <w:lang w:val="en-US" w:eastAsia="zh-CN"/>
        </w:rPr>
        <w:t>12</w:t>
      </w:r>
      <w:r>
        <w:rPr>
          <w:rFonts w:hint="eastAsia" w:ascii="Arial Narrow" w:hAnsi="Arial Narrow" w:eastAsia="仿宋_GB2312"/>
          <w:sz w:val="24"/>
          <w:highlight w:val="none"/>
        </w:rPr>
        <w:t>月</w:t>
      </w:r>
      <w:r>
        <w:rPr>
          <w:rFonts w:hint="eastAsia" w:ascii="Arial Narrow" w:hAnsi="Arial Narrow" w:eastAsia="仿宋_GB2312"/>
          <w:sz w:val="24"/>
          <w:highlight w:val="none"/>
          <w:lang w:val="en-US" w:eastAsia="zh-CN"/>
        </w:rPr>
        <w:t>14</w:t>
      </w:r>
      <w:r>
        <w:rPr>
          <w:rFonts w:hint="eastAsia" w:ascii="Arial Narrow" w:hAnsi="Arial Narrow" w:eastAsia="仿宋_GB2312"/>
          <w:sz w:val="24"/>
          <w:highlight w:val="none"/>
        </w:rPr>
        <w:t>日发布《关于提前下达2023年市财政衔接推进乡村振兴补助资金预算的通知》（铜财〔202</w:t>
      </w:r>
      <w:r>
        <w:rPr>
          <w:rFonts w:hint="eastAsia" w:ascii="Arial Narrow" w:hAnsi="Arial Narrow" w:eastAsia="仿宋_GB2312"/>
          <w:sz w:val="24"/>
          <w:highlight w:val="none"/>
          <w:lang w:val="en-US" w:eastAsia="zh-CN"/>
        </w:rPr>
        <w:t>2</w:t>
      </w:r>
      <w:r>
        <w:rPr>
          <w:rFonts w:hint="eastAsia" w:ascii="Arial Narrow" w:hAnsi="Arial Narrow" w:eastAsia="仿宋_GB2312"/>
          <w:sz w:val="24"/>
          <w:highlight w:val="none"/>
        </w:rPr>
        <w:t>〕</w:t>
      </w:r>
      <w:r>
        <w:rPr>
          <w:rFonts w:hint="eastAsia" w:ascii="Arial Narrow" w:hAnsi="Arial Narrow" w:eastAsia="仿宋_GB2312"/>
          <w:sz w:val="24"/>
          <w:highlight w:val="none"/>
          <w:lang w:val="en-US" w:eastAsia="zh-CN"/>
        </w:rPr>
        <w:t>561</w:t>
      </w:r>
      <w:r>
        <w:rPr>
          <w:rFonts w:hint="eastAsia" w:ascii="Arial Narrow" w:hAnsi="Arial Narrow" w:eastAsia="仿宋_GB2312"/>
          <w:sz w:val="24"/>
          <w:highlight w:val="none"/>
        </w:rPr>
        <w:t>号），</w:t>
      </w:r>
      <w:r>
        <w:rPr>
          <w:rFonts w:hint="eastAsia" w:ascii="Arial Narrow" w:hAnsi="Arial Narrow" w:eastAsia="仿宋_GB2312"/>
          <w:sz w:val="24"/>
        </w:rPr>
        <w:t>业务主管部门于20</w:t>
      </w:r>
      <w:r>
        <w:rPr>
          <w:rFonts w:hint="eastAsia" w:ascii="Arial Narrow" w:hAnsi="Arial Narrow" w:eastAsia="仿宋_GB2312"/>
          <w:sz w:val="24"/>
          <w:lang w:val="en-US" w:eastAsia="zh-CN"/>
        </w:rPr>
        <w:t>23</w:t>
      </w:r>
      <w:r>
        <w:rPr>
          <w:rFonts w:hint="eastAsia" w:ascii="Arial Narrow" w:hAnsi="Arial Narrow" w:eastAsia="仿宋_GB2312"/>
          <w:sz w:val="24"/>
        </w:rPr>
        <w:t>年</w:t>
      </w:r>
      <w:r>
        <w:rPr>
          <w:rFonts w:hint="eastAsia" w:ascii="Arial Narrow" w:hAnsi="Arial Narrow" w:eastAsia="仿宋_GB2312"/>
          <w:sz w:val="24"/>
          <w:lang w:val="en-US" w:eastAsia="zh-CN"/>
        </w:rPr>
        <w:t>1</w:t>
      </w:r>
      <w:r>
        <w:rPr>
          <w:rFonts w:hint="eastAsia" w:ascii="Arial Narrow" w:hAnsi="Arial Narrow" w:eastAsia="仿宋_GB2312"/>
          <w:sz w:val="24"/>
        </w:rPr>
        <w:t>月</w:t>
      </w:r>
      <w:r>
        <w:rPr>
          <w:rFonts w:hint="eastAsia" w:ascii="Arial Narrow" w:hAnsi="Arial Narrow" w:eastAsia="仿宋_GB2312"/>
          <w:sz w:val="24"/>
          <w:lang w:val="en-US" w:eastAsia="zh-CN"/>
        </w:rPr>
        <w:t>6</w:t>
      </w:r>
      <w:r>
        <w:rPr>
          <w:rFonts w:hint="eastAsia" w:ascii="Arial Narrow" w:hAnsi="Arial Narrow" w:eastAsia="仿宋_GB2312"/>
          <w:sz w:val="24"/>
        </w:rPr>
        <w:t>日发布《关于下达 2023年市级财政衔接推进乡村振兴补助资金项目安排计划的通知》（铜委农办〔202</w:t>
      </w:r>
      <w:r>
        <w:rPr>
          <w:rFonts w:hint="eastAsia" w:ascii="Arial Narrow" w:hAnsi="Arial Narrow" w:eastAsia="仿宋_GB2312"/>
          <w:sz w:val="24"/>
          <w:lang w:val="en-US" w:eastAsia="zh-CN"/>
        </w:rPr>
        <w:t>3</w:t>
      </w:r>
      <w:r>
        <w:rPr>
          <w:rFonts w:hint="eastAsia" w:ascii="Arial Narrow" w:hAnsi="Arial Narrow" w:eastAsia="仿宋_GB2312"/>
          <w:sz w:val="24"/>
        </w:rPr>
        <w:t>〕</w:t>
      </w:r>
      <w:r>
        <w:rPr>
          <w:rFonts w:hint="eastAsia" w:ascii="Arial Narrow" w:hAnsi="Arial Narrow" w:eastAsia="仿宋_GB2312"/>
          <w:sz w:val="24"/>
          <w:lang w:val="en-US" w:eastAsia="zh-CN"/>
        </w:rPr>
        <w:t>2</w:t>
      </w:r>
      <w:r>
        <w:rPr>
          <w:rFonts w:hint="eastAsia" w:ascii="Arial Narrow" w:hAnsi="Arial Narrow" w:eastAsia="仿宋_GB2312"/>
          <w:sz w:val="24"/>
        </w:rPr>
        <w:t>号），区财政局下达资金文件时间到区级业务主管部门下达项目及资金计划文件时间间隔</w:t>
      </w:r>
      <w:r>
        <w:rPr>
          <w:rFonts w:hint="eastAsia" w:ascii="Arial Narrow" w:hAnsi="Arial Narrow" w:eastAsia="仿宋_GB2312"/>
          <w:sz w:val="24"/>
          <w:lang w:val="en-US" w:eastAsia="zh-CN"/>
        </w:rPr>
        <w:t>小于</w:t>
      </w:r>
      <w:r>
        <w:rPr>
          <w:rFonts w:hint="eastAsia" w:ascii="Arial Narrow" w:hAnsi="Arial Narrow" w:eastAsia="仿宋_GB2312"/>
          <w:sz w:val="24"/>
        </w:rPr>
        <w:t>30日。</w:t>
      </w:r>
    </w:p>
    <w:p w14:paraId="3C2D8ABE">
      <w:pPr>
        <w:spacing w:line="360" w:lineRule="auto"/>
        <w:ind w:firstLine="482" w:firstLineChars="200"/>
        <w:jc w:val="left"/>
        <w:outlineLvl w:val="0"/>
        <w:rPr>
          <w:rFonts w:ascii="仿宋_GB2312" w:eastAsia="仿宋_GB2312"/>
          <w:b/>
          <w:sz w:val="24"/>
        </w:rPr>
      </w:pPr>
      <w:bookmarkStart w:id="24" w:name="_Toc6047"/>
      <w:r>
        <w:rPr>
          <w:rFonts w:hint="eastAsia" w:ascii="仿宋_GB2312" w:eastAsia="仿宋_GB2312"/>
          <w:b/>
          <w:sz w:val="24"/>
        </w:rPr>
        <w:t>（二）项目管理</w:t>
      </w:r>
      <w:bookmarkEnd w:id="24"/>
    </w:p>
    <w:p w14:paraId="32B2B699">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1.</w:t>
      </w:r>
      <w:r>
        <w:rPr>
          <w:rFonts w:hint="eastAsia"/>
        </w:rPr>
        <w:t xml:space="preserve"> </w:t>
      </w:r>
      <w:r>
        <w:rPr>
          <w:rFonts w:hint="eastAsia" w:ascii="Arial Narrow" w:hAnsi="Arial Narrow" w:eastAsia="仿宋_GB2312"/>
          <w:sz w:val="24"/>
        </w:rPr>
        <w:t>项目库建设管理情况</w:t>
      </w:r>
    </w:p>
    <w:p w14:paraId="30253DC9">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项目入库及时充分、程序规范、内容完整，制定</w:t>
      </w:r>
      <w:r>
        <w:rPr>
          <w:rFonts w:hint="eastAsia" w:ascii="Arial Narrow" w:hAnsi="Arial Narrow" w:eastAsia="仿宋_GB2312"/>
          <w:sz w:val="24"/>
          <w:lang w:val="en-US" w:eastAsia="zh-CN"/>
        </w:rPr>
        <w:t>了</w:t>
      </w:r>
      <w:r>
        <w:rPr>
          <w:rFonts w:hint="eastAsia" w:ascii="Arial Narrow" w:hAnsi="Arial Narrow" w:eastAsia="仿宋_GB2312"/>
          <w:sz w:val="24"/>
        </w:rPr>
        <w:t>切合实际的实施方案，具备实施条件，衔接资金未用于项目库之外的项目。</w:t>
      </w:r>
    </w:p>
    <w:p w14:paraId="5445333C">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w:t>
      </w:r>
      <w:r>
        <w:rPr>
          <w:rFonts w:hint="eastAsia"/>
        </w:rPr>
        <w:t xml:space="preserve"> </w:t>
      </w:r>
      <w:r>
        <w:rPr>
          <w:rFonts w:hint="eastAsia" w:ascii="Arial Narrow" w:hAnsi="Arial Narrow" w:eastAsia="仿宋_GB2312"/>
          <w:sz w:val="24"/>
        </w:rPr>
        <w:t>项目绩效管理情况</w:t>
      </w:r>
    </w:p>
    <w:p w14:paraId="4A7C63B3">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项目及时制定了明确的绩效目标，实施过程中对绩效目标进行监控，对绩效目标偏离项目采取纠偏措施，在项目实施完毕后开展了绩效自评，并形成绩效自评表、自评报告。</w:t>
      </w:r>
    </w:p>
    <w:p w14:paraId="4E8606D9">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3.</w:t>
      </w:r>
      <w:r>
        <w:rPr>
          <w:rFonts w:hint="eastAsia"/>
        </w:rPr>
        <w:t xml:space="preserve"> </w:t>
      </w:r>
      <w:r>
        <w:rPr>
          <w:rFonts w:hint="eastAsia" w:ascii="Arial Narrow" w:hAnsi="Arial Narrow" w:eastAsia="仿宋_GB2312"/>
          <w:sz w:val="24"/>
        </w:rPr>
        <w:t>项目建设管理情况</w:t>
      </w:r>
    </w:p>
    <w:p w14:paraId="64C6268C">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项目实施方案不存在变更情况，实施过程中由</w:t>
      </w:r>
      <w:r>
        <w:rPr>
          <w:rFonts w:hint="eastAsia" w:ascii="Arial Narrow" w:hAnsi="Arial Narrow" w:eastAsia="仿宋_GB2312" w:cs="宋体"/>
          <w:kern w:val="0"/>
          <w:sz w:val="24"/>
          <w:lang w:val="en-US" w:eastAsia="zh-CN"/>
        </w:rPr>
        <w:t>实施单位</w:t>
      </w:r>
      <w:r>
        <w:rPr>
          <w:rFonts w:hint="eastAsia" w:ascii="Arial Narrow" w:hAnsi="Arial Narrow" w:eastAsia="仿宋_GB2312"/>
          <w:sz w:val="24"/>
        </w:rPr>
        <w:t>进行监督检查，检查中未发现重大问题，项目按照实施节点按时提交项目报账资料。</w:t>
      </w:r>
    </w:p>
    <w:p w14:paraId="0A839F84">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4.预算执行率情况</w:t>
      </w:r>
    </w:p>
    <w:p w14:paraId="329424B1">
      <w:pPr>
        <w:adjustRightInd w:val="0"/>
        <w:snapToGrid w:val="0"/>
        <w:spacing w:line="360" w:lineRule="auto"/>
        <w:ind w:firstLine="480" w:firstLineChars="200"/>
        <w:rPr>
          <w:rFonts w:hint="default" w:ascii="Arial Narrow" w:hAnsi="Arial Narrow" w:eastAsia="仿宋_GB2312"/>
          <w:sz w:val="24"/>
          <w:lang w:val="en-US" w:eastAsia="zh-CN"/>
        </w:rPr>
      </w:pPr>
      <w:r>
        <w:rPr>
          <w:rFonts w:hint="eastAsia" w:ascii="Arial Narrow" w:hAnsi="Arial Narrow" w:eastAsia="仿宋_GB2312"/>
          <w:sz w:val="24"/>
          <w:lang w:val="en-US" w:eastAsia="zh-CN"/>
        </w:rPr>
        <w:t>预算执行率达100%，未见明显异常。</w:t>
      </w:r>
    </w:p>
    <w:p w14:paraId="2F4C3D4C">
      <w:pPr>
        <w:adjustRightInd w:val="0"/>
        <w:snapToGrid w:val="0"/>
        <w:spacing w:line="360" w:lineRule="auto"/>
        <w:ind w:firstLine="480" w:firstLineChars="200"/>
        <w:rPr>
          <w:rFonts w:hint="eastAsia" w:ascii="Arial Narrow" w:hAnsi="Arial Narrow" w:eastAsia="仿宋_GB2312"/>
          <w:sz w:val="24"/>
        </w:rPr>
      </w:pPr>
      <w:r>
        <w:rPr>
          <w:rFonts w:hint="eastAsia" w:ascii="Arial Narrow" w:hAnsi="Arial Narrow" w:eastAsia="仿宋_GB2312"/>
          <w:sz w:val="24"/>
        </w:rPr>
        <w:t>5.跟踪督促及发现问题整改情况</w:t>
      </w:r>
    </w:p>
    <w:p w14:paraId="05915615">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通过实施单位提供的监控表、自评表等资料显示，本项目实施单位定期开展项目实施和资金支出进度等跟踪督促，跟踪督促及各类检查发现问题整改到位。</w:t>
      </w:r>
    </w:p>
    <w:p w14:paraId="60ACC7D7">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6.账务处理及档案管理等情况</w:t>
      </w:r>
    </w:p>
    <w:p w14:paraId="6C114F05">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本项目实施单位对该项目账务处理规范，档案管理完整</w:t>
      </w:r>
      <w:r>
        <w:rPr>
          <w:rFonts w:hint="eastAsia" w:ascii="Arial Narrow" w:hAnsi="Arial Narrow" w:eastAsia="仿宋_GB2312"/>
          <w:sz w:val="24"/>
          <w:lang w:eastAsia="zh-CN"/>
        </w:rPr>
        <w:t>，</w:t>
      </w:r>
      <w:r>
        <w:rPr>
          <w:rFonts w:hint="eastAsia" w:ascii="Arial Narrow" w:hAnsi="Arial Narrow" w:eastAsia="仿宋_GB2312"/>
          <w:sz w:val="24"/>
          <w:lang w:val="en-US" w:eastAsia="zh-CN"/>
        </w:rPr>
        <w:t>但存在归档不及时的情况</w:t>
      </w:r>
      <w:r>
        <w:rPr>
          <w:rFonts w:hint="eastAsia" w:ascii="Arial Narrow" w:hAnsi="Arial Narrow" w:eastAsia="仿宋_GB2312"/>
          <w:sz w:val="24"/>
        </w:rPr>
        <w:t>。</w:t>
      </w:r>
    </w:p>
    <w:p w14:paraId="2E9FA5C4">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7.信息公开和公告公示制度落实情况</w:t>
      </w:r>
    </w:p>
    <w:p w14:paraId="13414730">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lang w:val="en-US" w:eastAsia="zh-CN"/>
        </w:rPr>
        <w:t>对</w:t>
      </w:r>
      <w:r>
        <w:rPr>
          <w:rFonts w:hint="eastAsia" w:ascii="Arial Narrow" w:hAnsi="Arial Narrow" w:eastAsia="仿宋_GB2312"/>
          <w:sz w:val="24"/>
        </w:rPr>
        <w:t>项目入库情况、</w:t>
      </w:r>
      <w:r>
        <w:rPr>
          <w:rFonts w:hint="eastAsia" w:ascii="Arial Narrow" w:hAnsi="Arial Narrow" w:eastAsia="仿宋_GB2312"/>
          <w:sz w:val="24"/>
          <w:lang w:val="en-US" w:eastAsia="zh-CN"/>
        </w:rPr>
        <w:t>实施方案、资金计划、</w:t>
      </w:r>
      <w:r>
        <w:rPr>
          <w:rFonts w:hint="eastAsia" w:ascii="Arial Narrow" w:hAnsi="Arial Narrow" w:eastAsia="仿宋_GB2312"/>
          <w:sz w:val="24"/>
        </w:rPr>
        <w:t>资金计划完成情况等进行了公告公示。</w:t>
      </w:r>
    </w:p>
    <w:p w14:paraId="5A8EF42D">
      <w:pPr>
        <w:spacing w:line="360" w:lineRule="auto"/>
        <w:ind w:firstLine="482" w:firstLineChars="200"/>
        <w:jc w:val="left"/>
        <w:outlineLvl w:val="0"/>
        <w:rPr>
          <w:rFonts w:ascii="仿宋_GB2312" w:eastAsia="仿宋_GB2312"/>
          <w:b/>
          <w:sz w:val="24"/>
        </w:rPr>
      </w:pPr>
      <w:bookmarkStart w:id="25" w:name="_Toc19403"/>
      <w:r>
        <w:rPr>
          <w:rFonts w:hint="eastAsia" w:ascii="仿宋_GB2312" w:eastAsia="仿宋_GB2312"/>
          <w:b/>
          <w:sz w:val="24"/>
        </w:rPr>
        <w:t>（三）使用成效及通报情况</w:t>
      </w:r>
      <w:bookmarkEnd w:id="25"/>
    </w:p>
    <w:p w14:paraId="13A572CA">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1.资金使用效益</w:t>
      </w:r>
    </w:p>
    <w:p w14:paraId="6D822143">
      <w:pPr>
        <w:adjustRightInd w:val="0"/>
        <w:snapToGrid w:val="0"/>
        <w:spacing w:line="360" w:lineRule="auto"/>
        <w:ind w:firstLine="480" w:firstLineChars="200"/>
        <w:rPr>
          <w:rFonts w:hint="default" w:ascii="Arial Narrow" w:hAnsi="Arial Narrow" w:eastAsia="仿宋_GB2312"/>
          <w:sz w:val="24"/>
          <w:lang w:val="en-US" w:eastAsia="zh-CN"/>
        </w:rPr>
      </w:pPr>
      <w:r>
        <w:rPr>
          <w:rFonts w:hint="eastAsia" w:ascii="Arial Narrow" w:hAnsi="Arial Narrow" w:eastAsia="仿宋_GB2312"/>
          <w:sz w:val="24"/>
        </w:rPr>
        <w:t>项目总体资金均专款专用，完成项目的质量能够达标，完成进行了自评、项目资金完整。</w:t>
      </w:r>
      <w:r>
        <w:rPr>
          <w:rFonts w:hint="eastAsia" w:ascii="Arial Narrow" w:hAnsi="Arial Narrow" w:eastAsia="仿宋_GB2312"/>
          <w:sz w:val="24"/>
          <w:lang w:val="en-US" w:eastAsia="zh-CN"/>
        </w:rPr>
        <w:t>建立了后期管护制度，并执行到位。</w:t>
      </w:r>
    </w:p>
    <w:p w14:paraId="0A6B4282">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2.通报情况</w:t>
      </w:r>
    </w:p>
    <w:p w14:paraId="767CE160">
      <w:pPr>
        <w:adjustRightInd w:val="0"/>
        <w:snapToGrid w:val="0"/>
        <w:spacing w:line="360" w:lineRule="auto"/>
        <w:ind w:firstLine="480" w:firstLineChars="200"/>
        <w:outlineLvl w:val="0"/>
        <w:rPr>
          <w:rFonts w:hint="eastAsia" w:ascii="Arial Narrow" w:hAnsi="Arial Narrow" w:eastAsia="仿宋_GB2312"/>
          <w:sz w:val="24"/>
        </w:rPr>
      </w:pPr>
      <w:bookmarkStart w:id="26" w:name="_Toc7709"/>
      <w:r>
        <w:rPr>
          <w:rFonts w:hint="eastAsia" w:ascii="Arial Narrow" w:hAnsi="Arial Narrow" w:eastAsia="仿宋_GB2312"/>
          <w:sz w:val="24"/>
          <w:lang w:val="en-US" w:eastAsia="zh-CN"/>
        </w:rPr>
        <w:t>区乡振局于2023年10月26日发布《关于2023年财政衔接资金项目推进情况的通报》（铜财〔2023</w:t>
      </w:r>
      <w:r>
        <w:rPr>
          <w:rFonts w:hint="eastAsia" w:ascii="Arial Narrow" w:hAnsi="Arial Narrow" w:eastAsia="仿宋_GB2312"/>
          <w:sz w:val="24"/>
        </w:rPr>
        <w:t>〕</w:t>
      </w:r>
      <w:r>
        <w:rPr>
          <w:rFonts w:hint="eastAsia" w:ascii="Arial Narrow" w:hAnsi="Arial Narrow" w:eastAsia="仿宋_GB2312"/>
          <w:sz w:val="24"/>
          <w:lang w:val="en-US" w:eastAsia="zh-CN"/>
        </w:rPr>
        <w:t>19号），对围龙镇龙湾村、龙珠村进行了一次进度滞后情况通报</w:t>
      </w:r>
      <w:r>
        <w:rPr>
          <w:rFonts w:hint="eastAsia" w:ascii="Arial Narrow" w:hAnsi="Arial Narrow" w:eastAsia="仿宋_GB2312"/>
          <w:sz w:val="24"/>
        </w:rPr>
        <w:t>。</w:t>
      </w:r>
    </w:p>
    <w:p w14:paraId="64F225DE">
      <w:pPr>
        <w:adjustRightInd w:val="0"/>
        <w:snapToGrid w:val="0"/>
        <w:spacing w:line="360" w:lineRule="auto"/>
        <w:ind w:firstLine="482" w:firstLineChars="200"/>
        <w:outlineLvl w:val="0"/>
        <w:rPr>
          <w:rFonts w:ascii="Arial Narrow" w:hAnsi="Arial Narrow" w:eastAsia="仿宋_GB2312"/>
          <w:b/>
          <w:sz w:val="24"/>
        </w:rPr>
      </w:pPr>
      <w:r>
        <w:rPr>
          <w:rFonts w:hint="eastAsia" w:ascii="Arial Narrow" w:hAnsi="Arial Narrow" w:eastAsia="仿宋_GB2312"/>
          <w:b/>
          <w:sz w:val="24"/>
        </w:rPr>
        <w:t>五</w:t>
      </w:r>
      <w:r>
        <w:rPr>
          <w:rFonts w:ascii="Arial Narrow" w:hAnsi="Arial Narrow" w:eastAsia="仿宋_GB2312"/>
          <w:b/>
          <w:sz w:val="24"/>
        </w:rPr>
        <w:t>、存在的问题和建议</w:t>
      </w:r>
      <w:bookmarkEnd w:id="26"/>
    </w:p>
    <w:p w14:paraId="6E13FEEE">
      <w:pPr>
        <w:spacing w:line="360" w:lineRule="auto"/>
        <w:ind w:firstLine="482" w:firstLineChars="200"/>
        <w:jc w:val="left"/>
        <w:outlineLvl w:val="0"/>
        <w:rPr>
          <w:rFonts w:ascii="仿宋_GB2312" w:eastAsia="仿宋_GB2312"/>
          <w:b/>
          <w:sz w:val="24"/>
        </w:rPr>
      </w:pPr>
      <w:bookmarkStart w:id="27" w:name="_Toc6934"/>
      <w:r>
        <w:rPr>
          <w:rFonts w:hint="eastAsia" w:ascii="仿宋_GB2312" w:eastAsia="仿宋_GB2312"/>
          <w:b/>
          <w:sz w:val="24"/>
        </w:rPr>
        <w:t>（一）存在问题</w:t>
      </w:r>
      <w:bookmarkEnd w:id="27"/>
    </w:p>
    <w:p w14:paraId="04C77183">
      <w:pPr>
        <w:adjustRightInd w:val="0"/>
        <w:snapToGrid w:val="0"/>
        <w:spacing w:line="360" w:lineRule="auto"/>
        <w:ind w:firstLine="480" w:firstLineChars="200"/>
        <w:rPr>
          <w:rFonts w:hint="eastAsia" w:ascii="Arial Narrow" w:hAnsi="Arial Narrow" w:eastAsia="仿宋_GB2312"/>
          <w:sz w:val="24"/>
        </w:rPr>
      </w:pPr>
      <w:r>
        <w:rPr>
          <w:rFonts w:hint="eastAsia" w:ascii="Arial Narrow" w:hAnsi="Arial Narrow" w:eastAsia="仿宋_GB2312"/>
          <w:sz w:val="24"/>
          <w:lang w:val="en-US" w:eastAsia="zh-CN"/>
        </w:rPr>
        <w:t>1.</w:t>
      </w:r>
      <w:r>
        <w:rPr>
          <w:rFonts w:hint="eastAsia" w:ascii="Arial Narrow" w:hAnsi="Arial Narrow" w:eastAsia="仿宋_GB2312"/>
          <w:sz w:val="24"/>
        </w:rPr>
        <w:t>日常档案管理资料整理归档不及时。</w:t>
      </w:r>
    </w:p>
    <w:p w14:paraId="25803337">
      <w:pPr>
        <w:numPr>
          <w:ilvl w:val="0"/>
          <w:numId w:val="1"/>
        </w:numPr>
        <w:spacing w:line="360" w:lineRule="auto"/>
        <w:ind w:firstLine="482" w:firstLineChars="200"/>
        <w:jc w:val="left"/>
        <w:outlineLvl w:val="0"/>
        <w:rPr>
          <w:rFonts w:hint="eastAsia" w:ascii="仿宋_GB2312" w:eastAsia="仿宋_GB2312"/>
          <w:b/>
          <w:sz w:val="24"/>
        </w:rPr>
      </w:pPr>
      <w:bookmarkStart w:id="28" w:name="_Toc18189"/>
      <w:r>
        <w:rPr>
          <w:rFonts w:hint="eastAsia" w:ascii="仿宋_GB2312" w:eastAsia="仿宋_GB2312"/>
          <w:b/>
          <w:sz w:val="24"/>
        </w:rPr>
        <w:t>建议</w:t>
      </w:r>
      <w:bookmarkEnd w:id="28"/>
    </w:p>
    <w:p w14:paraId="1239C5AE">
      <w:pPr>
        <w:numPr>
          <w:ilvl w:val="0"/>
          <w:numId w:val="0"/>
        </w:numPr>
        <w:spacing w:line="360" w:lineRule="auto"/>
        <w:ind w:firstLine="480" w:firstLineChars="200"/>
        <w:jc w:val="left"/>
        <w:outlineLvl w:val="0"/>
        <w:rPr>
          <w:rStyle w:val="11"/>
          <w:rFonts w:ascii="Arial Narrow" w:hAnsi="Arial Narrow" w:eastAsia="仿宋_GB2312"/>
          <w:color w:val="auto"/>
          <w:sz w:val="24"/>
          <w:u w:val="none"/>
        </w:rPr>
      </w:pPr>
      <w:r>
        <w:rPr>
          <w:rStyle w:val="11"/>
          <w:rFonts w:hint="eastAsia" w:ascii="Arial Narrow" w:hAnsi="Arial Narrow" w:eastAsia="仿宋_GB2312"/>
          <w:color w:val="auto"/>
          <w:sz w:val="24"/>
          <w:u w:val="none"/>
          <w:lang w:val="en-US" w:eastAsia="zh-CN"/>
        </w:rPr>
        <w:t>1.</w:t>
      </w:r>
      <w:r>
        <w:rPr>
          <w:rStyle w:val="11"/>
          <w:rFonts w:hint="eastAsia" w:ascii="Arial Narrow" w:hAnsi="Arial Narrow" w:eastAsia="仿宋_GB2312"/>
          <w:color w:val="auto"/>
          <w:sz w:val="24"/>
          <w:u w:val="none"/>
        </w:rPr>
        <w:t>对项目日常管理资料及时归档整理装订成册或装订成盒。</w:t>
      </w:r>
    </w:p>
    <w:p w14:paraId="32A54166">
      <w:pPr>
        <w:adjustRightInd w:val="0"/>
        <w:snapToGrid w:val="0"/>
        <w:spacing w:line="360" w:lineRule="auto"/>
        <w:rPr>
          <w:rStyle w:val="11"/>
          <w:rFonts w:ascii="Arial Narrow" w:hAnsi="Arial Narrow" w:eastAsia="仿宋_GB2312"/>
          <w:color w:val="auto"/>
          <w:sz w:val="24"/>
          <w:u w:val="none"/>
        </w:rPr>
      </w:pPr>
    </w:p>
    <w:p w14:paraId="59F1A440">
      <w:pPr>
        <w:adjustRightInd w:val="0"/>
        <w:snapToGrid w:val="0"/>
        <w:spacing w:line="360" w:lineRule="auto"/>
        <w:rPr>
          <w:rStyle w:val="11"/>
          <w:rFonts w:hint="eastAsia" w:ascii="Arial Narrow" w:hAnsi="Arial Narrow" w:eastAsia="仿宋_GB2312"/>
          <w:color w:val="auto"/>
          <w:sz w:val="24"/>
          <w:u w:val="none"/>
          <w:lang w:val="en-US" w:eastAsia="zh-CN"/>
        </w:rPr>
      </w:pPr>
    </w:p>
    <w:p w14:paraId="76A7C12C">
      <w:pPr>
        <w:adjustRightInd w:val="0"/>
        <w:snapToGrid w:val="0"/>
        <w:spacing w:line="360" w:lineRule="auto"/>
        <w:rPr>
          <w:rStyle w:val="11"/>
          <w:rFonts w:hint="eastAsia" w:ascii="Arial Narrow" w:hAnsi="Arial Narrow" w:eastAsia="仿宋_GB2312"/>
          <w:color w:val="auto"/>
          <w:sz w:val="24"/>
          <w:u w:val="none"/>
          <w:lang w:val="en-US" w:eastAsia="zh-CN"/>
        </w:rPr>
      </w:pPr>
    </w:p>
    <w:p w14:paraId="1C52E079">
      <w:pPr>
        <w:adjustRightInd w:val="0"/>
        <w:snapToGrid w:val="0"/>
        <w:spacing w:line="360" w:lineRule="auto"/>
        <w:rPr>
          <w:rStyle w:val="11"/>
          <w:rFonts w:hint="default" w:ascii="Arial Narrow" w:hAnsi="Arial Narrow" w:eastAsia="仿宋_GB2312"/>
          <w:color w:val="auto"/>
          <w:sz w:val="24"/>
          <w:u w:val="none"/>
          <w:lang w:val="en-US" w:eastAsia="zh-CN"/>
        </w:rPr>
      </w:pPr>
    </w:p>
    <w:p w14:paraId="023C1808">
      <w:pPr>
        <w:adjustRightInd w:val="0"/>
        <w:snapToGrid w:val="0"/>
        <w:spacing w:line="360" w:lineRule="auto"/>
        <w:ind w:firstLine="420" w:firstLineChars="200"/>
        <w:rPr>
          <w:rStyle w:val="11"/>
          <w:color w:val="auto"/>
          <w:u w:val="none"/>
        </w:rPr>
      </w:pPr>
    </w:p>
    <w:p w14:paraId="1AE59D2A">
      <w:pPr>
        <w:adjustRightInd w:val="0"/>
        <w:snapToGrid w:val="0"/>
        <w:spacing w:line="360" w:lineRule="auto"/>
        <w:rPr>
          <w:rStyle w:val="11"/>
          <w:rFonts w:ascii="Arial Narrow" w:hAnsi="Arial Narrow" w:eastAsia="仿宋_GB2312"/>
          <w:color w:val="auto"/>
          <w:sz w:val="24"/>
          <w:u w:val="none"/>
        </w:rPr>
      </w:pPr>
      <w:r>
        <w:rPr>
          <w:rStyle w:val="11"/>
          <w:rFonts w:ascii="Arial Narrow" w:hAnsi="Arial Narrow" w:eastAsia="仿宋_GB2312"/>
          <w:color w:val="auto"/>
          <w:sz w:val="24"/>
          <w:u w:val="none"/>
        </w:rPr>
        <w:t>附件：1</w:t>
      </w:r>
      <w:r>
        <w:rPr>
          <w:rStyle w:val="11"/>
          <w:rFonts w:hint="eastAsia" w:ascii="Arial Narrow" w:hAnsi="Arial Narrow" w:eastAsia="仿宋_GB2312"/>
          <w:color w:val="auto"/>
          <w:sz w:val="24"/>
          <w:u w:val="none"/>
          <w:lang w:val="en-US" w:eastAsia="zh-CN"/>
        </w:rPr>
        <w:t>.铜梁区衔接资金项目绩效评价及考核指标评分表</w:t>
      </w:r>
      <w:r>
        <w:rPr>
          <w:rStyle w:val="11"/>
          <w:rFonts w:ascii="Arial Narrow" w:hAnsi="Arial Narrow" w:eastAsia="仿宋_GB2312"/>
          <w:color w:val="auto"/>
          <w:sz w:val="24"/>
          <w:u w:val="none"/>
        </w:rPr>
        <w:t>；</w:t>
      </w:r>
    </w:p>
    <w:p w14:paraId="3C598705">
      <w:pPr>
        <w:adjustRightInd w:val="0"/>
        <w:snapToGrid w:val="0"/>
        <w:spacing w:line="360" w:lineRule="auto"/>
        <w:ind w:firstLine="720" w:firstLineChars="300"/>
        <w:rPr>
          <w:rStyle w:val="11"/>
          <w:rFonts w:ascii="Arial Narrow" w:hAnsi="Arial Narrow" w:eastAsia="仿宋_GB2312"/>
          <w:color w:val="auto"/>
          <w:sz w:val="24"/>
          <w:u w:val="none"/>
        </w:rPr>
      </w:pPr>
      <w:r>
        <w:rPr>
          <w:rStyle w:val="11"/>
          <w:rFonts w:ascii="Arial Narrow" w:hAnsi="Arial Narrow" w:eastAsia="仿宋_GB2312"/>
          <w:color w:val="auto"/>
          <w:sz w:val="24"/>
          <w:u w:val="none"/>
        </w:rPr>
        <w:t>2</w:t>
      </w:r>
      <w:r>
        <w:rPr>
          <w:rStyle w:val="11"/>
          <w:rFonts w:hint="eastAsia" w:ascii="Arial Narrow" w:hAnsi="Arial Narrow" w:eastAsia="仿宋_GB2312"/>
          <w:color w:val="auto"/>
          <w:sz w:val="24"/>
          <w:u w:val="none"/>
          <w:lang w:val="en-US" w:eastAsia="zh-CN"/>
        </w:rPr>
        <w:t>.</w:t>
      </w:r>
      <w:r>
        <w:rPr>
          <w:rStyle w:val="11"/>
          <w:rFonts w:ascii="Arial Narrow" w:hAnsi="Arial Narrow" w:eastAsia="仿宋_GB2312"/>
          <w:color w:val="auto"/>
          <w:sz w:val="24"/>
          <w:u w:val="none"/>
        </w:rPr>
        <w:t>会计师事务所营业执照和资质复印件。</w:t>
      </w:r>
    </w:p>
    <w:p w14:paraId="576EAB5E">
      <w:pPr>
        <w:adjustRightInd w:val="0"/>
        <w:snapToGrid w:val="0"/>
        <w:spacing w:line="360" w:lineRule="auto"/>
        <w:ind w:firstLine="720" w:firstLineChars="300"/>
        <w:rPr>
          <w:rStyle w:val="11"/>
          <w:rFonts w:ascii="Arial Narrow" w:hAnsi="Arial Narrow" w:eastAsia="仿宋_GB2312"/>
          <w:color w:val="auto"/>
          <w:sz w:val="24"/>
          <w:u w:val="none"/>
        </w:rPr>
      </w:pPr>
    </w:p>
    <w:p w14:paraId="2F48745E">
      <w:pPr>
        <w:adjustRightInd w:val="0"/>
        <w:snapToGrid w:val="0"/>
        <w:spacing w:line="360" w:lineRule="auto"/>
        <w:ind w:firstLine="720" w:firstLineChars="300"/>
        <w:rPr>
          <w:rStyle w:val="11"/>
          <w:rFonts w:ascii="Arial Narrow" w:hAnsi="Arial Narrow" w:eastAsia="仿宋_GB2312"/>
          <w:color w:val="auto"/>
          <w:sz w:val="24"/>
          <w:u w:val="none"/>
        </w:rPr>
      </w:pPr>
    </w:p>
    <w:p w14:paraId="22FAB643">
      <w:pPr>
        <w:adjustRightInd w:val="0"/>
        <w:snapToGrid w:val="0"/>
        <w:spacing w:line="360" w:lineRule="auto"/>
        <w:ind w:firstLine="720" w:firstLineChars="300"/>
        <w:rPr>
          <w:rStyle w:val="11"/>
          <w:rFonts w:ascii="Arial Narrow" w:hAnsi="Arial Narrow" w:eastAsia="仿宋_GB2312"/>
          <w:color w:val="auto"/>
          <w:sz w:val="24"/>
          <w:u w:val="none"/>
        </w:rPr>
      </w:pPr>
    </w:p>
    <w:p w14:paraId="65A650FE">
      <w:pPr>
        <w:adjustRightInd w:val="0"/>
        <w:snapToGrid w:val="0"/>
        <w:spacing w:line="360" w:lineRule="auto"/>
        <w:jc w:val="right"/>
        <w:rPr>
          <w:rStyle w:val="11"/>
          <w:rFonts w:ascii="Arial Narrow" w:hAnsi="Arial Narrow" w:eastAsia="仿宋_GB2312"/>
          <w:color w:val="auto"/>
          <w:sz w:val="24"/>
          <w:u w:val="none"/>
        </w:rPr>
      </w:pPr>
      <w:r>
        <w:rPr>
          <w:rStyle w:val="11"/>
          <w:rFonts w:hint="eastAsia" w:ascii="Arial Narrow" w:hAnsi="Arial Narrow" w:eastAsia="仿宋_GB2312"/>
          <w:color w:val="auto"/>
          <w:sz w:val="24"/>
          <w:u w:val="none"/>
        </w:rPr>
        <w:t xml:space="preserve"> 重庆铭鸿金全会计师事务所有限责任公司</w:t>
      </w:r>
    </w:p>
    <w:p w14:paraId="7E1B19D6">
      <w:pPr>
        <w:adjustRightInd w:val="0"/>
        <w:snapToGrid w:val="0"/>
        <w:spacing w:line="360" w:lineRule="auto"/>
        <w:ind w:right="960" w:firstLine="4800" w:firstLineChars="2000"/>
        <w:jc w:val="right"/>
        <w:rPr>
          <w:rStyle w:val="11"/>
          <w:rFonts w:ascii="Arial Narrow" w:hAnsi="Arial Narrow" w:eastAsia="仿宋_GB2312"/>
          <w:color w:val="auto"/>
          <w:sz w:val="24"/>
          <w:u w:val="none"/>
        </w:rPr>
      </w:pPr>
      <w:r>
        <w:rPr>
          <w:rStyle w:val="11"/>
          <w:rFonts w:hint="eastAsia" w:ascii="Arial Narrow" w:hAnsi="Arial Narrow" w:eastAsia="仿宋_GB2312"/>
          <w:color w:val="auto"/>
          <w:sz w:val="24"/>
          <w:u w:val="none"/>
        </w:rPr>
        <w:t>二</w:t>
      </w:r>
      <w:r>
        <w:rPr>
          <w:rStyle w:val="11"/>
          <w:rFonts w:hint="eastAsia" w:ascii="Arial Narrow" w:hAnsi="Arial Narrow" w:eastAsia="仿宋_GB2312"/>
          <w:color w:val="auto"/>
          <w:sz w:val="24"/>
          <w:u w:val="none"/>
          <w:lang w:val="en-US" w:eastAsia="zh-CN"/>
        </w:rPr>
        <w:t>〇</w:t>
      </w:r>
      <w:bookmarkStart w:id="29" w:name="_GoBack"/>
      <w:bookmarkEnd w:id="29"/>
      <w:r>
        <w:rPr>
          <w:rStyle w:val="11"/>
          <w:rFonts w:hint="eastAsia" w:ascii="Arial Narrow" w:hAnsi="Arial Narrow" w:eastAsia="仿宋_GB2312"/>
          <w:color w:val="auto"/>
          <w:sz w:val="24"/>
          <w:u w:val="none"/>
        </w:rPr>
        <w:t>二四年六月</w:t>
      </w:r>
      <w:r>
        <w:rPr>
          <w:rStyle w:val="11"/>
          <w:rFonts w:hint="eastAsia" w:ascii="Arial Narrow" w:hAnsi="Arial Narrow" w:eastAsia="仿宋_GB2312"/>
          <w:color w:val="auto"/>
          <w:sz w:val="24"/>
          <w:u w:val="none"/>
          <w:lang w:val="en-US" w:eastAsia="zh-CN"/>
        </w:rPr>
        <w:t>三十</w:t>
      </w:r>
      <w:r>
        <w:rPr>
          <w:rStyle w:val="11"/>
          <w:rFonts w:hint="eastAsia" w:ascii="Arial Narrow" w:hAnsi="Arial Narrow" w:eastAsia="仿宋_GB2312"/>
          <w:color w:val="auto"/>
          <w:sz w:val="24"/>
          <w:u w:val="none"/>
        </w:rPr>
        <w:t>日</w:t>
      </w:r>
    </w:p>
    <w:sectPr>
      <w:headerReference r:id="rId4" w:type="default"/>
      <w:footerReference r:id="rId5" w:type="default"/>
      <w:pgSz w:w="11907" w:h="16840" w:orient="landscape"/>
      <w:pgMar w:top="1418" w:right="1418" w:bottom="1134" w:left="1134" w:header="851" w:footer="851" w:gutter="0"/>
      <w:pgNumType w:fmt="decimal" w:start="1"/>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Arial Narrow">
    <w:altName w:val="Arial"/>
    <w:panose1 w:val="020B0606020202030204"/>
    <w:charset w:val="00"/>
    <w:family w:val="swiss"/>
    <w:pitch w:val="default"/>
    <w:sig w:usb0="00000000" w:usb1="00000000" w:usb2="00000000" w:usb3="00000000" w:csb0="2000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Segoe UI Symbol">
    <w:panose1 w:val="020B0502040204020203"/>
    <w:charset w:val="00"/>
    <w:family w:val="swiss"/>
    <w:pitch w:val="default"/>
    <w:sig w:usb0="8000006F" w:usb1="1200FBEF" w:usb2="0064C000" w:usb3="00000002" w:csb0="00000001" w:csb1="40000000"/>
  </w:font>
  <w:font w:name="方正黑体简体">
    <w:altName w:val="微软雅黑"/>
    <w:panose1 w:val="02010601030101010101"/>
    <w:charset w:val="86"/>
    <w:family w:val="roman"/>
    <w:pitch w:val="default"/>
    <w:sig w:usb0="00000000" w:usb1="0000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CB0F7E">
    <w:pPr>
      <w:pStyle w:val="5"/>
      <w:jc w:val="center"/>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E9AB50">
    <w:pPr>
      <w:pStyle w:val="5"/>
      <w:jc w:val="center"/>
      <w:rPr>
        <w:rFonts w:ascii="宋体" w:hAnsi="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D99A82">
                          <w:pPr>
                            <w:pStyle w:val="5"/>
                            <w:jc w:val="cente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rPr>
                            <w:t>22</w:t>
                          </w:r>
                          <w:r>
                            <w:rPr>
                              <w:rFonts w:ascii="宋体" w:hAnsi="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9D99A82">
                    <w:pPr>
                      <w:pStyle w:val="5"/>
                      <w:jc w:val="cente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rPr>
                      <w:t>22</w:t>
                    </w:r>
                    <w:r>
                      <w:rPr>
                        <w:rFonts w:ascii="宋体" w:hAnsi="宋体"/>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8824D2">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381FAA"/>
    <w:multiLevelType w:val="singleLevel"/>
    <w:tmpl w:val="82381FA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MWJkNzdkODFiMjE3ZDcyMTYzYTBjYzkxNGY2MTkifQ=="/>
  </w:docVars>
  <w:rsids>
    <w:rsidRoot w:val="008952B1"/>
    <w:rsid w:val="00060BD2"/>
    <w:rsid w:val="00063E0B"/>
    <w:rsid w:val="000769EE"/>
    <w:rsid w:val="000D1A3B"/>
    <w:rsid w:val="000E4529"/>
    <w:rsid w:val="000E6A52"/>
    <w:rsid w:val="0010003E"/>
    <w:rsid w:val="00104568"/>
    <w:rsid w:val="00143A99"/>
    <w:rsid w:val="00152152"/>
    <w:rsid w:val="00164C87"/>
    <w:rsid w:val="001A42EB"/>
    <w:rsid w:val="001C6F32"/>
    <w:rsid w:val="001E0132"/>
    <w:rsid w:val="001F3624"/>
    <w:rsid w:val="001F43AE"/>
    <w:rsid w:val="00216472"/>
    <w:rsid w:val="00224D96"/>
    <w:rsid w:val="00226E7E"/>
    <w:rsid w:val="00276D1C"/>
    <w:rsid w:val="00282997"/>
    <w:rsid w:val="002C083D"/>
    <w:rsid w:val="002C36AE"/>
    <w:rsid w:val="002C5020"/>
    <w:rsid w:val="002C7EFA"/>
    <w:rsid w:val="00324E2F"/>
    <w:rsid w:val="00331DC5"/>
    <w:rsid w:val="0037066E"/>
    <w:rsid w:val="00384C3C"/>
    <w:rsid w:val="003879CE"/>
    <w:rsid w:val="003A00D8"/>
    <w:rsid w:val="003B42BF"/>
    <w:rsid w:val="00414A58"/>
    <w:rsid w:val="004200C2"/>
    <w:rsid w:val="00420AA7"/>
    <w:rsid w:val="00421C71"/>
    <w:rsid w:val="004310D9"/>
    <w:rsid w:val="00470930"/>
    <w:rsid w:val="004C1F3A"/>
    <w:rsid w:val="004C38B4"/>
    <w:rsid w:val="004D1145"/>
    <w:rsid w:val="004D2A6E"/>
    <w:rsid w:val="004E6833"/>
    <w:rsid w:val="004F7A0F"/>
    <w:rsid w:val="00501A64"/>
    <w:rsid w:val="00536985"/>
    <w:rsid w:val="00572DD6"/>
    <w:rsid w:val="005E133F"/>
    <w:rsid w:val="005F01BA"/>
    <w:rsid w:val="0061001E"/>
    <w:rsid w:val="0061417A"/>
    <w:rsid w:val="00655510"/>
    <w:rsid w:val="0069678B"/>
    <w:rsid w:val="006A58E0"/>
    <w:rsid w:val="006D14F7"/>
    <w:rsid w:val="006E75D6"/>
    <w:rsid w:val="006E7DA1"/>
    <w:rsid w:val="006F7CBD"/>
    <w:rsid w:val="0073019B"/>
    <w:rsid w:val="00730A8E"/>
    <w:rsid w:val="00740E9D"/>
    <w:rsid w:val="00741402"/>
    <w:rsid w:val="007A6BE6"/>
    <w:rsid w:val="00827385"/>
    <w:rsid w:val="00842151"/>
    <w:rsid w:val="00856815"/>
    <w:rsid w:val="008952B1"/>
    <w:rsid w:val="008D4F7C"/>
    <w:rsid w:val="008E609D"/>
    <w:rsid w:val="0090729E"/>
    <w:rsid w:val="009309C0"/>
    <w:rsid w:val="0093667D"/>
    <w:rsid w:val="00983CB7"/>
    <w:rsid w:val="009957B8"/>
    <w:rsid w:val="0099666C"/>
    <w:rsid w:val="009F1C42"/>
    <w:rsid w:val="00A066D6"/>
    <w:rsid w:val="00A14650"/>
    <w:rsid w:val="00A352D4"/>
    <w:rsid w:val="00A922C5"/>
    <w:rsid w:val="00A95CA5"/>
    <w:rsid w:val="00AC3880"/>
    <w:rsid w:val="00AD0284"/>
    <w:rsid w:val="00AE470F"/>
    <w:rsid w:val="00AF58DD"/>
    <w:rsid w:val="00B134A6"/>
    <w:rsid w:val="00B25A79"/>
    <w:rsid w:val="00B7289F"/>
    <w:rsid w:val="00BA212E"/>
    <w:rsid w:val="00BB3674"/>
    <w:rsid w:val="00BC2692"/>
    <w:rsid w:val="00BC7BED"/>
    <w:rsid w:val="00BD6FFD"/>
    <w:rsid w:val="00C02FB6"/>
    <w:rsid w:val="00C107C7"/>
    <w:rsid w:val="00C12443"/>
    <w:rsid w:val="00C35442"/>
    <w:rsid w:val="00C36A73"/>
    <w:rsid w:val="00C60A62"/>
    <w:rsid w:val="00CB54FB"/>
    <w:rsid w:val="00CC769D"/>
    <w:rsid w:val="00D1562E"/>
    <w:rsid w:val="00D254D3"/>
    <w:rsid w:val="00D26E16"/>
    <w:rsid w:val="00D415D5"/>
    <w:rsid w:val="00DB55F0"/>
    <w:rsid w:val="00E065AA"/>
    <w:rsid w:val="00E23D6E"/>
    <w:rsid w:val="00E27A95"/>
    <w:rsid w:val="00E66C12"/>
    <w:rsid w:val="00E709E2"/>
    <w:rsid w:val="00E80BDA"/>
    <w:rsid w:val="00EA1C10"/>
    <w:rsid w:val="00EB474C"/>
    <w:rsid w:val="00ED0A8C"/>
    <w:rsid w:val="00F36680"/>
    <w:rsid w:val="00F54C3F"/>
    <w:rsid w:val="00F61D28"/>
    <w:rsid w:val="00F64D50"/>
    <w:rsid w:val="00F6551E"/>
    <w:rsid w:val="00F84DF0"/>
    <w:rsid w:val="00FA6718"/>
    <w:rsid w:val="00FD1A79"/>
    <w:rsid w:val="00FD5F18"/>
    <w:rsid w:val="00FE1E65"/>
    <w:rsid w:val="00FE5705"/>
    <w:rsid w:val="00FF5AA5"/>
    <w:rsid w:val="02717C9D"/>
    <w:rsid w:val="0C955D75"/>
    <w:rsid w:val="0F0759E7"/>
    <w:rsid w:val="10FD0312"/>
    <w:rsid w:val="118E1B91"/>
    <w:rsid w:val="120E6874"/>
    <w:rsid w:val="12141638"/>
    <w:rsid w:val="137A20F2"/>
    <w:rsid w:val="153420AA"/>
    <w:rsid w:val="18451E67"/>
    <w:rsid w:val="187A3B4C"/>
    <w:rsid w:val="19654A01"/>
    <w:rsid w:val="1CE25F48"/>
    <w:rsid w:val="23197A7B"/>
    <w:rsid w:val="24D648F3"/>
    <w:rsid w:val="2527505B"/>
    <w:rsid w:val="270731DD"/>
    <w:rsid w:val="2C026B8F"/>
    <w:rsid w:val="2DD16CF4"/>
    <w:rsid w:val="31F821B8"/>
    <w:rsid w:val="357129F4"/>
    <w:rsid w:val="35725E7F"/>
    <w:rsid w:val="371050B8"/>
    <w:rsid w:val="3A264081"/>
    <w:rsid w:val="3EC0032D"/>
    <w:rsid w:val="4142704D"/>
    <w:rsid w:val="436413F9"/>
    <w:rsid w:val="45947F31"/>
    <w:rsid w:val="48690C23"/>
    <w:rsid w:val="4AB12CDE"/>
    <w:rsid w:val="4DF1278B"/>
    <w:rsid w:val="51DD64A9"/>
    <w:rsid w:val="5A3132CF"/>
    <w:rsid w:val="5D922B81"/>
    <w:rsid w:val="60087B46"/>
    <w:rsid w:val="6079251F"/>
    <w:rsid w:val="629B4EDD"/>
    <w:rsid w:val="657E6B35"/>
    <w:rsid w:val="676959AE"/>
    <w:rsid w:val="69344C1E"/>
    <w:rsid w:val="6C0B491D"/>
    <w:rsid w:val="6DE64FDE"/>
    <w:rsid w:val="6E1D3ED3"/>
    <w:rsid w:val="735B7D93"/>
    <w:rsid w:val="749D2DD6"/>
    <w:rsid w:val="75D930E8"/>
    <w:rsid w:val="78A60B50"/>
    <w:rsid w:val="78CC4E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line="480" w:lineRule="auto"/>
      <w:jc w:val="center"/>
      <w:outlineLvl w:val="0"/>
    </w:pPr>
    <w:rPr>
      <w:b/>
      <w:bCs/>
      <w:kern w:val="44"/>
      <w:sz w:val="32"/>
      <w:szCs w:val="4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line="600" w:lineRule="exact"/>
      <w:jc w:val="center"/>
    </w:pPr>
    <w:rPr>
      <w:rFonts w:eastAsia="华文中宋"/>
      <w:b/>
      <w:bCs/>
      <w:sz w:val="44"/>
    </w:rPr>
  </w:style>
  <w:style w:type="paragraph" w:styleId="4">
    <w:name w:val="annotation text"/>
    <w:basedOn w:val="1"/>
    <w:link w:val="15"/>
    <w:qFormat/>
    <w:uiPriority w:val="0"/>
    <w:pPr>
      <w:jc w:val="left"/>
    </w:pPr>
  </w:style>
  <w:style w:type="paragraph" w:styleId="5">
    <w:name w:val="footer"/>
    <w:basedOn w:val="1"/>
    <w:qFormat/>
    <w:uiPriority w:val="99"/>
    <w:pPr>
      <w:tabs>
        <w:tab w:val="center" w:pos="4153"/>
        <w:tab w:val="right" w:pos="8306"/>
      </w:tabs>
      <w:snapToGrid w:val="0"/>
      <w:jc w:val="left"/>
    </w:pPr>
    <w:rPr>
      <w:sz w:val="18"/>
      <w:szCs w:val="18"/>
      <w:lang w:val="zh-CN"/>
    </w:rPr>
  </w:style>
  <w:style w:type="paragraph" w:styleId="6">
    <w:name w:val="header"/>
    <w:basedOn w:val="1"/>
    <w:qFormat/>
    <w:uiPriority w:val="99"/>
    <w:pPr>
      <w:pBdr>
        <w:bottom w:val="single" w:color="auto" w:sz="6" w:space="1"/>
      </w:pBdr>
      <w:tabs>
        <w:tab w:val="center" w:pos="4153"/>
        <w:tab w:val="right" w:pos="8306"/>
      </w:tabs>
      <w:snapToGrid w:val="0"/>
      <w:jc w:val="center"/>
    </w:pPr>
    <w:rPr>
      <w:sz w:val="18"/>
      <w:szCs w:val="18"/>
      <w:lang w:val="zh-CN"/>
    </w:rPr>
  </w:style>
  <w:style w:type="paragraph" w:styleId="7">
    <w:name w:val="toc 1"/>
    <w:basedOn w:val="1"/>
    <w:next w:val="1"/>
    <w:qFormat/>
    <w:uiPriority w:val="39"/>
    <w:pPr>
      <w:tabs>
        <w:tab w:val="right" w:leader="dot" w:pos="8778"/>
      </w:tabs>
      <w:spacing w:line="360" w:lineRule="auto"/>
    </w:pPr>
    <w:rPr>
      <w:rFonts w:ascii="Arial Narrow" w:hAnsi="Arial Narrow" w:eastAsia="仿宋_GB2312"/>
      <w:b/>
      <w:bCs/>
    </w:rPr>
  </w:style>
  <w:style w:type="paragraph" w:styleId="8">
    <w:name w:val="annotation subject"/>
    <w:basedOn w:val="4"/>
    <w:next w:val="4"/>
    <w:link w:val="16"/>
    <w:qFormat/>
    <w:uiPriority w:val="0"/>
    <w:rPr>
      <w:b/>
      <w:bCs/>
    </w:rPr>
  </w:style>
  <w:style w:type="character" w:styleId="11">
    <w:name w:val="Hyperlink"/>
    <w:qFormat/>
    <w:uiPriority w:val="99"/>
    <w:rPr>
      <w:color w:val="0000FF"/>
      <w:u w:val="single"/>
    </w:rPr>
  </w:style>
  <w:style w:type="character" w:styleId="12">
    <w:name w:val="annotation reference"/>
    <w:basedOn w:val="10"/>
    <w:qFormat/>
    <w:uiPriority w:val="0"/>
    <w:rPr>
      <w:sz w:val="21"/>
      <w:szCs w:val="21"/>
    </w:rPr>
  </w:style>
  <w:style w:type="paragraph" w:customStyle="1" w:styleId="13">
    <w:name w:val="目录 11"/>
    <w:basedOn w:val="1"/>
    <w:next w:val="1"/>
    <w:qFormat/>
    <w:uiPriority w:val="39"/>
    <w:pPr>
      <w:tabs>
        <w:tab w:val="right" w:leader="dot" w:pos="8280"/>
      </w:tabs>
      <w:spacing w:line="440" w:lineRule="exact"/>
      <w:jc w:val="distribute"/>
    </w:pPr>
    <w:rPr>
      <w:rFonts w:ascii="仿宋" w:hAnsi="仿宋" w:eastAsia="仿宋"/>
      <w:sz w:val="24"/>
    </w:rPr>
  </w:style>
  <w:style w:type="paragraph" w:customStyle="1" w:styleId="1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5">
    <w:name w:val="批注文字 字符"/>
    <w:basedOn w:val="10"/>
    <w:link w:val="4"/>
    <w:qFormat/>
    <w:uiPriority w:val="0"/>
    <w:rPr>
      <w:kern w:val="2"/>
      <w:sz w:val="21"/>
      <w:szCs w:val="24"/>
    </w:rPr>
  </w:style>
  <w:style w:type="character" w:customStyle="1" w:styleId="16">
    <w:name w:val="批注主题 字符"/>
    <w:basedOn w:val="15"/>
    <w:link w:val="8"/>
    <w:qFormat/>
    <w:uiPriority w:val="0"/>
    <w:rPr>
      <w:b/>
      <w:bCs/>
      <w:kern w:val="2"/>
      <w:sz w:val="21"/>
      <w:szCs w:val="24"/>
    </w:rPr>
  </w:style>
  <w:style w:type="paragraph" w:styleId="17">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B00616-A4DC-48FD-B5E0-08469EFDF224}">
  <ds:schemaRefs/>
</ds:datastoreItem>
</file>

<file path=docProps/app.xml><?xml version="1.0" encoding="utf-8"?>
<Properties xmlns="http://schemas.openxmlformats.org/officeDocument/2006/extended-properties" xmlns:vt="http://schemas.openxmlformats.org/officeDocument/2006/docPropsVTypes">
  <Template>Normal</Template>
  <Pages>10</Pages>
  <Words>5627</Words>
  <Characters>5973</Characters>
  <Lines>61</Lines>
  <Paragraphs>17</Paragraphs>
  <TotalTime>17</TotalTime>
  <ScaleCrop>false</ScaleCrop>
  <LinksUpToDate>false</LinksUpToDate>
  <CharactersWithSpaces>6005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2024-06-06T02:59:00Z</dcterms:created>
  <dc:creator>Administrator</dc:creator>
  <cp:lastModifiedBy>四十四</cp:lastModifiedBy>
  <cp:lastPrinted>2024-06-07T06:02:00Z</cp:lastPrinted>
  <dcterms:modified xsi:type="dcterms:W3CDTF">2024-11-20T01:26:23Z</dcterms:modified>
  <cp:revision>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0DEEC9CE015C4E0B9A5BDD2CC641473F_12</vt:lpwstr>
  </property>
</Properties>
</file>