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09131">
      <w:pPr>
        <w:spacing w:line="360" w:lineRule="auto"/>
        <w:jc w:val="center"/>
        <w:rPr>
          <w:rFonts w:ascii="Arial Narrow" w:hAnsi="Arial Narrow"/>
          <w:b/>
          <w:bCs/>
          <w:sz w:val="36"/>
          <w:szCs w:val="36"/>
        </w:rPr>
      </w:pPr>
    </w:p>
    <w:p w14:paraId="2537B01D">
      <w:pPr>
        <w:spacing w:line="360" w:lineRule="auto"/>
        <w:jc w:val="center"/>
        <w:rPr>
          <w:rFonts w:ascii="Arial Narrow" w:hAnsi="Arial Narrow"/>
          <w:b/>
          <w:bCs/>
          <w:sz w:val="36"/>
          <w:szCs w:val="36"/>
        </w:rPr>
      </w:pPr>
    </w:p>
    <w:p w14:paraId="67405297">
      <w:pPr>
        <w:spacing w:line="360" w:lineRule="auto"/>
        <w:jc w:val="center"/>
        <w:rPr>
          <w:rFonts w:ascii="Arial Narrow" w:hAnsi="Arial Narrow"/>
          <w:b/>
          <w:bCs/>
          <w:sz w:val="36"/>
          <w:szCs w:val="36"/>
        </w:rPr>
      </w:pPr>
    </w:p>
    <w:p w14:paraId="7D4A368F">
      <w:pPr>
        <w:spacing w:line="360" w:lineRule="auto"/>
        <w:jc w:val="center"/>
        <w:rPr>
          <w:rFonts w:ascii="Arial Narrow" w:hAnsi="Arial Narrow"/>
          <w:b/>
          <w:bCs/>
          <w:sz w:val="36"/>
          <w:szCs w:val="36"/>
        </w:rPr>
      </w:pPr>
    </w:p>
    <w:p w14:paraId="6CE52380">
      <w:pPr>
        <w:adjustRightInd w:val="0"/>
        <w:snapToGrid w:val="0"/>
        <w:spacing w:line="360" w:lineRule="auto"/>
        <w:jc w:val="center"/>
        <w:rPr>
          <w:rFonts w:ascii="Arial Narrow" w:hAnsi="Arial Narrow" w:eastAsia="仿宋"/>
          <w:b/>
          <w:sz w:val="36"/>
          <w:szCs w:val="36"/>
        </w:rPr>
      </w:pPr>
      <w:bookmarkStart w:id="0" w:name="_Hlk170378626"/>
      <w:r>
        <w:rPr>
          <w:rFonts w:hint="eastAsia" w:ascii="Arial Narrow" w:hAnsi="Arial Narrow" w:eastAsia="仿宋"/>
          <w:b/>
          <w:sz w:val="36"/>
          <w:szCs w:val="36"/>
        </w:rPr>
        <w:t>重庆市铜梁区双山镇喻兴村稻渔养殖基地基础设施建设项目等3个项目</w:t>
      </w:r>
      <w:bookmarkEnd w:id="0"/>
      <w:r>
        <w:rPr>
          <w:rFonts w:hint="eastAsia" w:ascii="Arial Narrow" w:hAnsi="Arial Narrow" w:eastAsia="仿宋"/>
          <w:b/>
          <w:sz w:val="36"/>
          <w:szCs w:val="36"/>
        </w:rPr>
        <w:t>财政专项衔接资金</w:t>
      </w:r>
    </w:p>
    <w:p w14:paraId="775DC4BF">
      <w:pPr>
        <w:adjustRightInd w:val="0"/>
        <w:snapToGrid w:val="0"/>
        <w:spacing w:line="360" w:lineRule="auto"/>
        <w:jc w:val="center"/>
        <w:rPr>
          <w:rFonts w:ascii="Arial Narrow" w:hAnsi="Arial Narrow"/>
          <w:b/>
          <w:sz w:val="36"/>
          <w:szCs w:val="36"/>
        </w:rPr>
      </w:pPr>
    </w:p>
    <w:p w14:paraId="020FA5D9">
      <w:pPr>
        <w:adjustRightInd w:val="0"/>
        <w:snapToGrid w:val="0"/>
        <w:spacing w:line="360" w:lineRule="auto"/>
        <w:jc w:val="center"/>
        <w:rPr>
          <w:rFonts w:ascii="Arial Narrow" w:hAnsi="Arial Narrow"/>
          <w:b/>
          <w:spacing w:val="100"/>
          <w:sz w:val="32"/>
          <w:szCs w:val="32"/>
        </w:rPr>
      </w:pPr>
    </w:p>
    <w:p w14:paraId="22D1CC54">
      <w:pPr>
        <w:adjustRightInd w:val="0"/>
        <w:snapToGrid w:val="0"/>
        <w:spacing w:line="360" w:lineRule="auto"/>
        <w:jc w:val="center"/>
        <w:rPr>
          <w:rFonts w:ascii="Arial Narrow" w:hAnsi="Arial Narrow"/>
          <w:b/>
          <w:spacing w:val="100"/>
          <w:sz w:val="32"/>
          <w:szCs w:val="32"/>
        </w:rPr>
      </w:pPr>
    </w:p>
    <w:p w14:paraId="1D8D1290">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1" w:name="_Toc488804777"/>
      <w:bookmarkStart w:id="2" w:name="_Toc488637980"/>
      <w:r>
        <w:rPr>
          <w:rFonts w:ascii="Arial Narrow" w:hAnsi="Arial Narrow" w:eastAsia="仿宋"/>
          <w:b/>
          <w:w w:val="102"/>
          <w:sz w:val="44"/>
          <w:szCs w:val="44"/>
        </w:rPr>
        <w:t>报告</w:t>
      </w:r>
    </w:p>
    <w:p w14:paraId="2AFA696F">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0059</w:t>
      </w:r>
      <w:r>
        <w:rPr>
          <w:rFonts w:ascii="Arial Narrow" w:hAnsi="Arial Narrow" w:eastAsia="仿宋"/>
          <w:bCs/>
          <w:sz w:val="32"/>
          <w:szCs w:val="32"/>
        </w:rPr>
        <w:t>号</w:t>
      </w:r>
    </w:p>
    <w:p w14:paraId="487BB234">
      <w:pPr>
        <w:adjustRightInd w:val="0"/>
        <w:snapToGrid w:val="0"/>
        <w:spacing w:line="360" w:lineRule="auto"/>
        <w:jc w:val="center"/>
        <w:rPr>
          <w:rFonts w:ascii="Arial Narrow" w:hAnsi="Arial Narrow"/>
          <w:b/>
          <w:spacing w:val="100"/>
          <w:sz w:val="32"/>
          <w:szCs w:val="32"/>
        </w:rPr>
      </w:pPr>
    </w:p>
    <w:p w14:paraId="7203E8A2">
      <w:pPr>
        <w:adjustRightInd w:val="0"/>
        <w:snapToGrid w:val="0"/>
        <w:spacing w:line="360" w:lineRule="auto"/>
        <w:jc w:val="center"/>
        <w:rPr>
          <w:rFonts w:ascii="Arial Narrow" w:hAnsi="Arial Narrow"/>
          <w:b/>
          <w:spacing w:val="100"/>
          <w:sz w:val="32"/>
          <w:szCs w:val="32"/>
        </w:rPr>
      </w:pPr>
    </w:p>
    <w:p w14:paraId="4755B568">
      <w:pPr>
        <w:adjustRightInd w:val="0"/>
        <w:snapToGrid w:val="0"/>
        <w:spacing w:line="360" w:lineRule="auto"/>
        <w:jc w:val="center"/>
        <w:rPr>
          <w:rFonts w:ascii="Arial Narrow" w:hAnsi="Arial Narrow"/>
          <w:b/>
          <w:spacing w:val="100"/>
          <w:sz w:val="32"/>
          <w:szCs w:val="32"/>
        </w:rPr>
      </w:pPr>
    </w:p>
    <w:p w14:paraId="52D83513">
      <w:pPr>
        <w:adjustRightInd w:val="0"/>
        <w:snapToGrid w:val="0"/>
        <w:spacing w:line="360" w:lineRule="auto"/>
        <w:jc w:val="center"/>
        <w:rPr>
          <w:rFonts w:ascii="Arial Narrow" w:hAnsi="Arial Narrow"/>
          <w:b/>
          <w:spacing w:val="100"/>
          <w:sz w:val="32"/>
          <w:szCs w:val="32"/>
        </w:rPr>
      </w:pPr>
    </w:p>
    <w:p w14:paraId="4544A3A1">
      <w:pPr>
        <w:adjustRightInd w:val="0"/>
        <w:snapToGrid w:val="0"/>
        <w:spacing w:line="360" w:lineRule="auto"/>
        <w:jc w:val="center"/>
        <w:rPr>
          <w:rFonts w:ascii="Arial Narrow" w:hAnsi="Arial Narrow"/>
          <w:b/>
          <w:spacing w:val="100"/>
          <w:sz w:val="32"/>
          <w:szCs w:val="32"/>
        </w:rPr>
      </w:pPr>
    </w:p>
    <w:p w14:paraId="2CED9804">
      <w:pPr>
        <w:adjustRightInd w:val="0"/>
        <w:snapToGrid w:val="0"/>
        <w:spacing w:line="360" w:lineRule="auto"/>
        <w:jc w:val="center"/>
        <w:rPr>
          <w:rFonts w:ascii="Arial Narrow" w:hAnsi="Arial Narrow"/>
          <w:b/>
          <w:spacing w:val="100"/>
          <w:sz w:val="32"/>
          <w:szCs w:val="32"/>
        </w:rPr>
      </w:pPr>
    </w:p>
    <w:p w14:paraId="4A01044C">
      <w:pPr>
        <w:adjustRightInd w:val="0"/>
        <w:snapToGrid w:val="0"/>
        <w:spacing w:line="360" w:lineRule="auto"/>
        <w:jc w:val="center"/>
        <w:rPr>
          <w:rFonts w:ascii="Arial Narrow" w:hAnsi="Arial Narrow"/>
          <w:b/>
          <w:spacing w:val="100"/>
          <w:sz w:val="32"/>
          <w:szCs w:val="32"/>
        </w:rPr>
      </w:pPr>
    </w:p>
    <w:p w14:paraId="26363088">
      <w:pPr>
        <w:spacing w:line="480" w:lineRule="exact"/>
        <w:ind w:firstLine="442" w:firstLineChars="100"/>
        <w:rPr>
          <w:rFonts w:hint="eastAsia" w:ascii="仿宋" w:hAnsi="仿宋" w:eastAsia="仿宋" w:cs="仿宋"/>
          <w:b/>
          <w:bCs/>
          <w:sz w:val="44"/>
          <w:szCs w:val="44"/>
        </w:rPr>
      </w:pPr>
    </w:p>
    <w:p w14:paraId="2C7B080B">
      <w:pPr>
        <w:spacing w:line="480" w:lineRule="exact"/>
        <w:ind w:firstLine="442" w:firstLineChars="100"/>
        <w:rPr>
          <w:rFonts w:hint="eastAsia" w:ascii="仿宋" w:hAnsi="仿宋" w:eastAsia="仿宋" w:cs="仿宋"/>
          <w:b/>
          <w:bCs/>
          <w:sz w:val="44"/>
          <w:szCs w:val="44"/>
        </w:rPr>
      </w:pPr>
    </w:p>
    <w:p w14:paraId="75825EB5">
      <w:pPr>
        <w:spacing w:line="480" w:lineRule="exact"/>
        <w:ind w:firstLine="442" w:firstLineChars="100"/>
        <w:rPr>
          <w:rFonts w:hint="eastAsia" w:ascii="仿宋" w:hAnsi="仿宋" w:eastAsia="仿宋" w:cs="仿宋"/>
          <w:b/>
          <w:bCs/>
          <w:sz w:val="44"/>
          <w:szCs w:val="44"/>
        </w:rPr>
      </w:pPr>
    </w:p>
    <w:p w14:paraId="4ED4D0E5">
      <w:pPr>
        <w:spacing w:line="480" w:lineRule="exact"/>
        <w:ind w:firstLine="442" w:firstLineChars="100"/>
        <w:rPr>
          <w:rFonts w:hint="eastAsia" w:ascii="仿宋" w:hAnsi="仿宋" w:eastAsia="仿宋" w:cs="仿宋"/>
          <w:b/>
          <w:bCs/>
          <w:sz w:val="44"/>
          <w:szCs w:val="44"/>
        </w:rPr>
      </w:pPr>
    </w:p>
    <w:p w14:paraId="52EAA5E7">
      <w:pPr>
        <w:spacing w:line="480" w:lineRule="exact"/>
        <w:ind w:firstLine="442" w:firstLineChars="100"/>
        <w:rPr>
          <w:rFonts w:hint="eastAsia" w:ascii="仿宋" w:hAnsi="仿宋" w:eastAsia="仿宋" w:cs="仿宋"/>
          <w:b/>
          <w:bCs/>
          <w:sz w:val="52"/>
          <w:szCs w:val="52"/>
        </w:rPr>
      </w:pPr>
      <w:r>
        <w:rPr>
          <w:rFonts w:hint="eastAsia" w:ascii="仿宋" w:hAnsi="仿宋" w:eastAsia="仿宋" w:cs="仿宋"/>
          <w:b/>
          <w:bCs/>
          <w:sz w:val="44"/>
          <w:szCs w:val="44"/>
        </w:rPr>
        <w:t>重庆铭鸿金全会计师事务所有限责任公司</w:t>
      </w:r>
    </w:p>
    <w:p w14:paraId="6BCF6F63">
      <w:pPr>
        <w:spacing w:line="400" w:lineRule="exact"/>
        <w:ind w:firstLine="482" w:firstLineChars="200"/>
        <w:rPr>
          <w:rFonts w:hint="eastAsia" w:ascii="仿宋" w:hAnsi="仿宋" w:eastAsia="仿宋" w:cs="仿宋"/>
          <w:sz w:val="24"/>
        </w:rPr>
      </w:pPr>
      <w:r>
        <w:rPr>
          <w:rFonts w:hint="eastAsia" w:ascii="仿宋" w:hAnsi="仿宋" w:eastAsia="仿宋" w:cs="仿宋"/>
          <w:b/>
          <w:bCs/>
          <w:sz w:val="24"/>
        </w:rPr>
        <w:t>Chongqing Minghong Jinquan Certified Public Accountants Co., Ltd</w:t>
      </w:r>
    </w:p>
    <w:p w14:paraId="5D9DD9E0">
      <w:pPr>
        <w:spacing w:line="360" w:lineRule="auto"/>
        <w:jc w:val="center"/>
        <w:rPr>
          <w:rFonts w:ascii="Arial Narrow" w:hAnsi="Arial Narrow"/>
          <w:sz w:val="44"/>
          <w:szCs w:val="44"/>
        </w:rPr>
      </w:pPr>
      <w:r>
        <w:rPr>
          <w:rFonts w:ascii="Arial Narrow" w:hAnsi="Arial Narrow"/>
          <w:b/>
          <w:spacing w:val="100"/>
          <w:sz w:val="52"/>
          <w:szCs w:val="52"/>
        </w:rPr>
        <w:br w:type="page"/>
      </w:r>
      <w:bookmarkEnd w:id="1"/>
      <w:bookmarkEnd w:id="2"/>
      <w:r>
        <w:rPr>
          <w:rFonts w:ascii="Arial Narrow" w:hAnsi="Arial Narrow"/>
          <w:sz w:val="44"/>
          <w:szCs w:val="44"/>
        </w:rPr>
        <w:t>目   录</w:t>
      </w:r>
    </w:p>
    <w:p w14:paraId="6FCC62CC">
      <w:pPr>
        <w:spacing w:line="360" w:lineRule="auto"/>
        <w:jc w:val="center"/>
        <w:rPr>
          <w:rFonts w:ascii="Arial Narrow" w:hAnsi="Arial Narrow"/>
          <w:sz w:val="24"/>
        </w:rPr>
      </w:pPr>
    </w:p>
    <w:p w14:paraId="67BFC817">
      <w:pPr>
        <w:pStyle w:val="6"/>
        <w:rPr>
          <w:rFonts w:asciiTheme="minorHAnsi" w:hAnsiTheme="minorHAnsi" w:eastAsiaTheme="minorEastAsia" w:cstheme="minorBidi"/>
          <w:b w:val="0"/>
          <w:bCs w:val="0"/>
          <w:szCs w:val="22"/>
          <w14:ligatures w14:val="standardContextual"/>
        </w:rPr>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fldChar w:fldCharType="begin"/>
      </w:r>
      <w:r>
        <w:instrText xml:space="preserve"> HYPERLINK \l "_Toc170723804" </w:instrText>
      </w:r>
      <w:r>
        <w:fldChar w:fldCharType="separate"/>
      </w:r>
      <w:r>
        <w:rPr>
          <w:rStyle w:val="10"/>
        </w:rPr>
        <w:t>一、基本情况</w:t>
      </w:r>
      <w:r>
        <w:tab/>
      </w:r>
      <w:r>
        <w:rPr>
          <w:rFonts w:hint="eastAsia"/>
        </w:rPr>
        <w:t>1</w:t>
      </w:r>
      <w:r>
        <w:rPr>
          <w:rFonts w:hint="eastAsia"/>
        </w:rPr>
        <w:fldChar w:fldCharType="end"/>
      </w:r>
    </w:p>
    <w:p w14:paraId="33209F5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"_Toc170723805" </w:instrText>
      </w:r>
      <w:r>
        <w:fldChar w:fldCharType="separate"/>
      </w:r>
      <w:r>
        <w:rPr>
          <w:rStyle w:val="10"/>
          <w:rFonts w:eastAsia="仿宋" w:cs="宋体"/>
          <w:kern w:val="0"/>
        </w:rPr>
        <w:t>（一）项目情况</w:t>
      </w:r>
      <w:r>
        <w:tab/>
      </w:r>
      <w:r>
        <w:rPr>
          <w:rFonts w:hint="eastAsia"/>
        </w:rPr>
        <w:t>1</w:t>
      </w:r>
      <w:r>
        <w:rPr>
          <w:rFonts w:hint="eastAsia"/>
        </w:rPr>
        <w:fldChar w:fldCharType="end"/>
      </w:r>
    </w:p>
    <w:p w14:paraId="591B4BA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"_Toc170723806" </w:instrText>
      </w:r>
      <w:r>
        <w:fldChar w:fldCharType="separate"/>
      </w:r>
      <w:r>
        <w:rPr>
          <w:rStyle w:val="10"/>
        </w:rPr>
        <w:t>二、绩效评价工作情况</w:t>
      </w:r>
      <w:r>
        <w:tab/>
      </w:r>
      <w:r>
        <w:rPr>
          <w:rFonts w:hint="eastAsia"/>
        </w:rPr>
        <w:t>4</w:t>
      </w:r>
      <w:r>
        <w:rPr>
          <w:rFonts w:hint="eastAsia"/>
        </w:rPr>
        <w:fldChar w:fldCharType="end"/>
      </w:r>
    </w:p>
    <w:p w14:paraId="21C484C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"_Toc170723807" </w:instrText>
      </w:r>
      <w:r>
        <w:fldChar w:fldCharType="separate"/>
      </w:r>
      <w:r>
        <w:rPr>
          <w:rStyle w:val="10"/>
        </w:rPr>
        <w:t>（一）绩效评价目的</w:t>
      </w:r>
      <w:r>
        <w:tab/>
      </w:r>
      <w:r>
        <w:rPr>
          <w:rFonts w:hint="eastAsia"/>
        </w:rPr>
        <w:t>4</w:t>
      </w:r>
      <w:r>
        <w:rPr>
          <w:rFonts w:hint="eastAsia"/>
        </w:rPr>
        <w:fldChar w:fldCharType="end"/>
      </w:r>
    </w:p>
    <w:p w14:paraId="59F02E1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"_Toc170723808" </w:instrText>
      </w:r>
      <w:r>
        <w:fldChar w:fldCharType="separate"/>
      </w:r>
      <w:r>
        <w:rPr>
          <w:rStyle w:val="10"/>
        </w:rPr>
        <w:t>（二）绩效评价的基本内容</w:t>
      </w:r>
      <w:r>
        <w:tab/>
      </w:r>
      <w:r>
        <w:rPr>
          <w:rFonts w:hint="eastAsia"/>
        </w:rPr>
        <w:t>4</w:t>
      </w:r>
      <w:r>
        <w:rPr>
          <w:rFonts w:hint="eastAsia"/>
        </w:rPr>
        <w:fldChar w:fldCharType="end"/>
      </w:r>
    </w:p>
    <w:p w14:paraId="25291B1A">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"_Toc170723809" </w:instrText>
      </w:r>
      <w:r>
        <w:fldChar w:fldCharType="separate"/>
      </w:r>
      <w:r>
        <w:rPr>
          <w:rStyle w:val="10"/>
        </w:rPr>
        <w:t>（三）绩效评价依据</w:t>
      </w:r>
      <w:r>
        <w:tab/>
      </w:r>
      <w:r>
        <w:rPr>
          <w:rFonts w:hint="eastAsia"/>
        </w:rPr>
        <w:t>4</w:t>
      </w:r>
      <w:r>
        <w:rPr>
          <w:rFonts w:hint="eastAsia"/>
        </w:rPr>
        <w:fldChar w:fldCharType="end"/>
      </w:r>
    </w:p>
    <w:p w14:paraId="059F1A0A">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"_Toc170723810" </w:instrText>
      </w:r>
      <w:r>
        <w:fldChar w:fldCharType="separate"/>
      </w:r>
      <w:r>
        <w:rPr>
          <w:rStyle w:val="10"/>
        </w:rPr>
        <w:t>（四）绩效评价原则和指标体系</w:t>
      </w:r>
      <w:r>
        <w:tab/>
      </w:r>
      <w:r>
        <w:rPr>
          <w:rFonts w:hint="eastAsia"/>
        </w:rPr>
        <w:t>5</w:t>
      </w:r>
      <w:r>
        <w:rPr>
          <w:rFonts w:hint="eastAsia"/>
        </w:rPr>
        <w:fldChar w:fldCharType="end"/>
      </w:r>
    </w:p>
    <w:p w14:paraId="0C46C74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"_Toc170723811" </w:instrText>
      </w:r>
      <w:r>
        <w:fldChar w:fldCharType="separate"/>
      </w:r>
      <w:r>
        <w:rPr>
          <w:rStyle w:val="10"/>
        </w:rPr>
        <w:t>（五）绩效评价标准和评价方法</w:t>
      </w:r>
      <w:r>
        <w:tab/>
      </w:r>
      <w:r>
        <w:rPr>
          <w:rFonts w:hint="eastAsia"/>
        </w:rPr>
        <w:t>7</w:t>
      </w:r>
      <w:r>
        <w:rPr>
          <w:rFonts w:hint="eastAsia"/>
        </w:rPr>
        <w:fldChar w:fldCharType="end"/>
      </w:r>
    </w:p>
    <w:p w14:paraId="0F2D7AE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"_Toc170723812" </w:instrText>
      </w:r>
      <w:r>
        <w:fldChar w:fldCharType="separate"/>
      </w:r>
      <w:r>
        <w:rPr>
          <w:rStyle w:val="10"/>
        </w:rPr>
        <w:t>（六）绩效评价工作过程</w:t>
      </w:r>
      <w:r>
        <w:tab/>
      </w:r>
      <w:r>
        <w:rPr>
          <w:rFonts w:hint="eastAsia"/>
        </w:rPr>
        <w:t>8</w:t>
      </w:r>
      <w:r>
        <w:rPr>
          <w:rFonts w:hint="eastAsia"/>
        </w:rPr>
        <w:fldChar w:fldCharType="end"/>
      </w:r>
    </w:p>
    <w:p w14:paraId="6807463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"_Toc170723813" </w:instrText>
      </w:r>
      <w:r>
        <w:fldChar w:fldCharType="separate"/>
      </w:r>
      <w:r>
        <w:rPr>
          <w:rStyle w:val="10"/>
        </w:rPr>
        <w:t>三、项目评价结论</w:t>
      </w:r>
      <w:r>
        <w:tab/>
      </w:r>
      <w:r>
        <w:rPr>
          <w:rFonts w:hint="eastAsia"/>
        </w:rPr>
        <w:t>8</w:t>
      </w:r>
      <w:r>
        <w:rPr>
          <w:rFonts w:hint="eastAsia"/>
        </w:rPr>
        <w:fldChar w:fldCharType="end"/>
      </w:r>
    </w:p>
    <w:p w14:paraId="6595E8A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"_Toc170723814" </w:instrText>
      </w:r>
      <w:r>
        <w:fldChar w:fldCharType="separate"/>
      </w:r>
      <w:r>
        <w:rPr>
          <w:rStyle w:val="10"/>
        </w:rPr>
        <w:t>四、综合评价情况</w:t>
      </w:r>
      <w:r>
        <w:tab/>
      </w:r>
      <w:r>
        <w:rPr>
          <w:rFonts w:hint="eastAsia"/>
        </w:rPr>
        <w:t>8</w:t>
      </w:r>
      <w:r>
        <w:rPr>
          <w:rFonts w:hint="eastAsia"/>
        </w:rPr>
        <w:fldChar w:fldCharType="end"/>
      </w:r>
    </w:p>
    <w:p w14:paraId="01AA37C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"_Toc170723815" </w:instrText>
      </w:r>
      <w:r>
        <w:fldChar w:fldCharType="separate"/>
      </w:r>
      <w:r>
        <w:rPr>
          <w:rStyle w:val="10"/>
          <w:rFonts w:ascii="仿宋_GB2312"/>
        </w:rPr>
        <w:t>（一）资金管理</w:t>
      </w:r>
      <w:r>
        <w:tab/>
      </w:r>
      <w:r>
        <w:rPr>
          <w:rFonts w:hint="eastAsia"/>
        </w:rPr>
        <w:t>8</w:t>
      </w:r>
      <w:r>
        <w:rPr>
          <w:rFonts w:hint="eastAsia"/>
        </w:rPr>
        <w:fldChar w:fldCharType="end"/>
      </w:r>
    </w:p>
    <w:p w14:paraId="4DD8A3B3">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"_Toc170723816" </w:instrText>
      </w:r>
      <w:r>
        <w:fldChar w:fldCharType="separate"/>
      </w:r>
      <w:r>
        <w:rPr>
          <w:rStyle w:val="10"/>
          <w:rFonts w:ascii="仿宋_GB2312"/>
        </w:rPr>
        <w:t>（二）项目管理</w:t>
      </w:r>
      <w:r>
        <w:tab/>
      </w:r>
      <w:r>
        <w:rPr>
          <w:rFonts w:hint="eastAsia"/>
        </w:rPr>
        <w:t>9</w:t>
      </w:r>
      <w:r>
        <w:rPr>
          <w:rFonts w:hint="eastAsia"/>
        </w:rPr>
        <w:fldChar w:fldCharType="end"/>
      </w:r>
    </w:p>
    <w:p w14:paraId="2972651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"_Toc170723817" </w:instrText>
      </w:r>
      <w:r>
        <w:fldChar w:fldCharType="separate"/>
      </w:r>
      <w:r>
        <w:rPr>
          <w:rStyle w:val="10"/>
          <w:rFonts w:ascii="仿宋_GB2312"/>
        </w:rPr>
        <w:t>（三）使用成效及通报情况</w:t>
      </w:r>
      <w:r>
        <w:tab/>
      </w:r>
      <w:r>
        <w:rPr>
          <w:rFonts w:hint="eastAsia"/>
        </w:rPr>
        <w:t>9</w:t>
      </w:r>
      <w:r>
        <w:rPr>
          <w:rFonts w:hint="eastAsia"/>
        </w:rPr>
        <w:fldChar w:fldCharType="end"/>
      </w:r>
    </w:p>
    <w:p w14:paraId="3A5F993B">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"_Toc170723818" </w:instrText>
      </w:r>
      <w:r>
        <w:fldChar w:fldCharType="separate"/>
      </w:r>
      <w:r>
        <w:rPr>
          <w:rStyle w:val="10"/>
        </w:rPr>
        <w:t>五、存在的问题和建议</w:t>
      </w:r>
      <w:r>
        <w:tab/>
      </w:r>
      <w:r>
        <w:rPr>
          <w:rFonts w:hint="eastAsia"/>
        </w:rPr>
        <w:t>10</w:t>
      </w:r>
      <w:r>
        <w:rPr>
          <w:rFonts w:hint="eastAsia"/>
        </w:rPr>
        <w:fldChar w:fldCharType="end"/>
      </w:r>
    </w:p>
    <w:p w14:paraId="55B852A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"_Toc170723819" </w:instrText>
      </w:r>
      <w:r>
        <w:fldChar w:fldCharType="separate"/>
      </w:r>
      <w:r>
        <w:rPr>
          <w:rStyle w:val="10"/>
          <w:rFonts w:ascii="仿宋_GB2312"/>
        </w:rPr>
        <w:t>（一）存在问题</w:t>
      </w:r>
      <w:r>
        <w:tab/>
      </w:r>
      <w:r>
        <w:rPr>
          <w:rFonts w:hint="eastAsia"/>
        </w:rPr>
        <w:t>10</w:t>
      </w:r>
      <w:r>
        <w:rPr>
          <w:rFonts w:hint="eastAsia"/>
        </w:rPr>
        <w:fldChar w:fldCharType="end"/>
      </w:r>
    </w:p>
    <w:p w14:paraId="2E16DEF4">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"_Toc170723820" </w:instrText>
      </w:r>
      <w:r>
        <w:fldChar w:fldCharType="separate"/>
      </w:r>
      <w:r>
        <w:rPr>
          <w:rStyle w:val="10"/>
          <w:rFonts w:ascii="仿宋_GB2312"/>
        </w:rPr>
        <w:t>（二）建议</w:t>
      </w:r>
      <w:r>
        <w:tab/>
      </w:r>
      <w:r>
        <w:rPr>
          <w:rFonts w:hint="eastAsia"/>
        </w:rPr>
        <w:t>10</w:t>
      </w:r>
      <w:r>
        <w:rPr>
          <w:rFonts w:hint="eastAsia"/>
        </w:rPr>
        <w:fldChar w:fldCharType="end"/>
      </w:r>
    </w:p>
    <w:p w14:paraId="08422871">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rStyle w:val="10"/>
          <w:color w:val="auto"/>
          <w:sz w:val="21"/>
          <w:szCs w:val="21"/>
          <w:u w:val="none"/>
        </w:rPr>
        <w:fldChar w:fldCharType="end"/>
      </w:r>
    </w:p>
    <w:p w14:paraId="6348194A">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0E7202CA">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0E2C640B">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059号</w:t>
      </w:r>
    </w:p>
    <w:p w14:paraId="18F37C23">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5C093EA2">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重庆市铜梁区双山镇喻兴村稻渔养殖基地基础设施建设</w:t>
      </w:r>
    </w:p>
    <w:p w14:paraId="15681AC9">
      <w:pPr>
        <w:adjustRightInd w:val="0"/>
        <w:snapToGrid w:val="0"/>
        <w:spacing w:line="360" w:lineRule="auto"/>
        <w:jc w:val="center"/>
        <w:rPr>
          <w:rFonts w:ascii="Arial Narrow" w:hAnsi="Arial Narrow" w:eastAsia="仿宋_GB2312"/>
          <w:b/>
          <w:sz w:val="36"/>
          <w:szCs w:val="36"/>
        </w:rPr>
      </w:pPr>
      <w:r>
        <w:rPr>
          <w:rStyle w:val="10"/>
          <w:rFonts w:hint="eastAsia" w:ascii="Arial Narrow" w:hAnsi="Arial Narrow" w:eastAsia="仿宋_GB2312"/>
          <w:b/>
          <w:color w:val="auto"/>
          <w:sz w:val="36"/>
          <w:szCs w:val="36"/>
          <w:u w:val="none"/>
        </w:rPr>
        <w:t>项目等3个项目财政专项衔接资金</w:t>
      </w:r>
      <w:r>
        <w:rPr>
          <w:rFonts w:hint="eastAsia" w:ascii="仿宋_GB2312" w:eastAsia="仿宋_GB2312"/>
          <w:b/>
          <w:sz w:val="36"/>
          <w:szCs w:val="36"/>
        </w:rPr>
        <w:t>绩效评价报告</w:t>
      </w:r>
    </w:p>
    <w:p w14:paraId="4C0BE08D">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重庆市铜梁区双山镇喻兴村稻渔养殖基地基础设施建设项目等3个项目财政专项衔接资金</w:t>
      </w:r>
      <w:r>
        <w:rPr>
          <w:rFonts w:ascii="Arial Narrow" w:hAnsi="Arial Narrow" w:eastAsia="仿宋_GB2312"/>
          <w:color w:val="auto"/>
        </w:rPr>
        <w:t>进行绩效评价，现将评价情况报告如下：</w:t>
      </w:r>
    </w:p>
    <w:p w14:paraId="43063A03">
      <w:pPr>
        <w:spacing w:before="240" w:beforeLines="100" w:line="360" w:lineRule="auto"/>
        <w:ind w:firstLine="482" w:firstLineChars="200"/>
        <w:jc w:val="left"/>
        <w:outlineLvl w:val="0"/>
        <w:rPr>
          <w:rFonts w:ascii="Arial Narrow" w:hAnsi="Arial Narrow" w:eastAsia="仿宋_GB2312"/>
          <w:b/>
          <w:sz w:val="24"/>
        </w:rPr>
      </w:pPr>
      <w:bookmarkStart w:id="4" w:name="_Toc170723804"/>
      <w:r>
        <w:rPr>
          <w:rFonts w:ascii="Arial Narrow" w:hAnsi="Arial Narrow" w:eastAsia="仿宋_GB2312"/>
          <w:b/>
          <w:sz w:val="24"/>
        </w:rPr>
        <w:t>一、基本情况</w:t>
      </w:r>
      <w:bookmarkEnd w:id="4"/>
    </w:p>
    <w:p w14:paraId="3DC5F6A6">
      <w:pPr>
        <w:spacing w:before="120" w:beforeLines="50" w:line="360" w:lineRule="auto"/>
        <w:ind w:firstLine="482" w:firstLineChars="200"/>
        <w:jc w:val="left"/>
        <w:outlineLvl w:val="0"/>
        <w:rPr>
          <w:rFonts w:ascii="Arial Narrow" w:hAnsi="Arial Narrow" w:eastAsia="仿宋" w:cs="宋体"/>
          <w:b/>
          <w:bCs/>
          <w:kern w:val="0"/>
          <w:sz w:val="24"/>
        </w:rPr>
      </w:pPr>
      <w:bookmarkStart w:id="5" w:name="_Toc170723805"/>
      <w:r>
        <w:rPr>
          <w:rFonts w:hint="eastAsia" w:ascii="Arial Narrow" w:hAnsi="Arial Narrow" w:eastAsia="仿宋" w:cs="宋体"/>
          <w:b/>
          <w:bCs/>
          <w:kern w:val="0"/>
          <w:sz w:val="24"/>
        </w:rPr>
        <w:t>（一）</w:t>
      </w:r>
      <w:r>
        <w:rPr>
          <w:rFonts w:hint="eastAsia" w:ascii="仿宋_GB2312" w:hAnsi="Arial Narrow" w:eastAsia="仿宋_GB2312" w:cs="宋体"/>
          <w:b/>
          <w:bCs/>
          <w:kern w:val="0"/>
          <w:sz w:val="24"/>
        </w:rPr>
        <w:t>项目情况</w:t>
      </w:r>
      <w:bookmarkEnd w:id="5"/>
    </w:p>
    <w:p w14:paraId="54F8866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w:t>
      </w:r>
      <w:bookmarkStart w:id="6" w:name="_Hlk172531415"/>
      <w:r>
        <w:rPr>
          <w:rFonts w:hint="eastAsia" w:ascii="Arial Narrow" w:hAnsi="Arial Narrow" w:eastAsia="仿宋_GB2312" w:cs="宋体"/>
          <w:kern w:val="0"/>
          <w:sz w:val="24"/>
        </w:rPr>
        <w:t>喻兴村稻渔养殖基地基础设施建设项目</w:t>
      </w:r>
      <w:bookmarkEnd w:id="6"/>
      <w:r>
        <w:rPr>
          <w:rFonts w:hint="eastAsia" w:ascii="Arial Narrow" w:hAnsi="Arial Narrow" w:eastAsia="仿宋_GB2312" w:cs="宋体"/>
          <w:kern w:val="0"/>
          <w:sz w:val="24"/>
        </w:rPr>
        <w:t xml:space="preserve">   </w:t>
      </w:r>
    </w:p>
    <w:p w14:paraId="0DA71DE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w:t>
      </w:r>
      <w:bookmarkStart w:id="7" w:name="_Hlk170840108"/>
      <w:r>
        <w:rPr>
          <w:rFonts w:hint="eastAsia" w:ascii="Arial Narrow" w:hAnsi="Arial Narrow" w:eastAsia="仿宋_GB2312" w:cs="宋体"/>
          <w:kern w:val="0"/>
          <w:sz w:val="24"/>
        </w:rPr>
        <w:t>重庆市铜梁区双山镇喻兴村股份经济合作联合社</w:t>
      </w:r>
    </w:p>
    <w:bookmarkEnd w:id="7"/>
    <w:p w14:paraId="68C6A867">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1.新建高标准稻渔综合种养基地50亩，预计投资21.5万元。挖掘机费2000元/亩，共10万元；铺设45丝厚3米高防渗膜5000米，每米22元，共11万元；安装直径160mm底排水管200米，每米20元，共4000元；安装直径160mm弯头50个，每个10元，共500元；安装直径160mm直接头50个，每个10元，共500元。2.新建灌溉井2口，预计投资4万元。新建直径180mm深200米灌溉井2口，每口1.7万元，共3.4万元；购置安装深水井专用水泵2台，每台1500元，共3000元；购置安装水泵电源线：6平方鸽牌铜芯线600米，每米5元，共3000元。3.新建75.15平方米管理房1栋，1500元/平方米，预计投资11.2725万元。尺寸：4.5米*16.7米，场地平整：人工平整场地，地面硬化：浇筑10cm厚C20商品砼，铺设5*800*800mm瓷砖，墙体：240*115*53mm红砖砌墙，铝合金窗户（5mm白玻)4樘，门：钢制单门防盗门5樘。4.购置安装增氧设施180亩，600元/亩，预计投资10.8万元。购置1500瓦增氧机15台，安装增氧主管：63mm黑色自来水管2500米，附管：10mm水平管3200米，纳米增氧管1200米。5.场地硬化310</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，70元/平方米，预计投资2.17万元。场地平整：人工平整场地，场地硬化：浇筑10cm厚C20商品砼。6.购置大疆T50型无人机1台，预计投资4.85万元。(原价6.05万元，农机补贴1.2万元)。</w:t>
      </w:r>
    </w:p>
    <w:p w14:paraId="2424073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项目资金安排情况：该项目2023年计划投入50万元，实际支付50万元，全部为上级专项资金50万元。</w:t>
      </w:r>
    </w:p>
    <w:p w14:paraId="3F74D5F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2.建新村樱桃种植基地基础设施建设项目</w:t>
      </w:r>
    </w:p>
    <w:p w14:paraId="52D2C04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实施单位：重庆市铜梁区双山镇新新村股份经济合作联合社</w:t>
      </w:r>
    </w:p>
    <w:p w14:paraId="3987F20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项目内容：1.建设132</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鸡舍，460元/</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预计投资60720元。尺寸：11m*10m*3.5m，含坡屋面高4.2m，场地平整：人工平整场地，地面硬化：10mm厚C30商品砼，立柱：10根镀锌钢管114*1mm，高度3.5m，立杆：12根镀锌矩形管40*60*1.2mm，横梁：镀锌矩形管40*60*1.2mm，高度1m，绑扎镀锌钢丝网(1cm孔径)一层，檩条：镀锌矩形管40*60*1.2mm，间距1m，长度同屋面板，人形支架：镀锌钢管中42*1.5mm，斜撑中12钢筋，四周：镀锌钢丝网(1cm孔径)一层，6针遮阳网一层，坡屋面：50丝铝皮，四周挑檐50cm。2.建设55</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管理房，500元/</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预计投资27500元。尺寸：10m*4m*3.5m，含坡屋面高4.2m，场地平整：人工平整场地，地面硬化：10mm厚C30商品砼，立柱：6根镀锌钢管114*1mm，高度3.5m，横梁：镀锌矩形管40*60*1.2mm，高度3.5m，檩条：镀锌矩形管40*60*1.2mm，间距1m，长度同屋面板，人形支架：3根镀锌钢管42*1.5mm，斜撑12钢筋，墙体：5cm泡沫彩钢夹芯板，坡屋面：50丝铝皮，四周挑檐50cm，窗户：C0915，塑钢窗户(5mm白玻)1樘，门：M0920，钢制防盗，1樘。3.建设36米水沟，180元/米，预计投资6480元。砖：MU10页岩砖，沟截面尺寸：30cm*30cm，厚度240mm，垫层厚度：5cm厚C10商品砼，M5水泥砂浆。4.建设7500m2避雨大棚，60元/</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预计投资45万元。尺寸：顶高4m，肩高2.5m，底宽8m，每个大棚长度以实际地形为准，纵向拉杆3根，两侧端边各布置纵梁1根，端横杆2根，基础：C25自拌混凝土独立基础300mm*300mm*600mm，布置4根p14的钢筋，且每个基础上布置250mm*250mm*8mm基础锚板，骨架结构：主立杆口60*40*2.5mm，间距4m，高度随棚高；M架32*2mm，间距4m；拱杆φ32*2mm，间距1m；纵拉杆32*2mm，纵梁口60*40*1.5mm；端横杆口50*50*2mm，间距4m；覆盖材料：肩以上顶采用国产优质长寿无滴膜覆盖，厚度0.08mm，肩以下不盖膜，卷膜杆：热镀锌管20*1.2mm，卷膜器手动卷膜器1套。</w:t>
      </w:r>
    </w:p>
    <w:p w14:paraId="668A6DA9">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项目资金安排情况：该项目2023年计划投入50万元，实际投入50万元，全部为上级专项资金50万元。</w:t>
      </w:r>
    </w:p>
    <w:p w14:paraId="7D8AA19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3</w:t>
      </w:r>
      <w:bookmarkStart w:id="8" w:name="_Hlk170387112"/>
      <w:r>
        <w:rPr>
          <w:rFonts w:hint="eastAsia" w:ascii="Arial Narrow" w:hAnsi="Arial Narrow" w:eastAsia="仿宋_GB2312" w:cs="宋体"/>
          <w:kern w:val="0"/>
          <w:sz w:val="24"/>
        </w:rPr>
        <w:t>.群坊村大棚樱桃种植基地智能灌溉设施建设项目</w:t>
      </w:r>
    </w:p>
    <w:p w14:paraId="110EE8F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实施单位：重庆市铜梁区双山镇群坊村股份经济合作联合社</w:t>
      </w:r>
    </w:p>
    <w:p w14:paraId="7073248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1.建设智能化水肥一体化滴灌设施50亩及配套基础设施。新建智能化水肥一体化灌溉设施包含抽水设施(包含管理房、抽水系统、供电设施等),蓄水设施使用现有蓄水池,输水设施(包含各种输水PE管网、灌溉专用管、闸阀井、镇墩等),滴灌设施(包含滴头、分水器、毛管、滴箭等)以及首部枢纽(包含过滤设备等)、控制系统(包含电磁阀等)等。(1)抽水设施:预计投资63500元。32</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管理房1栋,1500元/</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,预计投资48000元。尺寸:4m*8m,含屋面高4.2m,场地平整:人工平整场地,地面硬化:铺设5*60*120mm青石板,墙体:240*115*53mm红砖砌墙,屋顶:水泥加钢筋现浇38</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 xml:space="preserve">四周挑檐 50cm,防水:采用弹性K11和砂浆防水剂刷面,防水砂浆涂抹2cm厚,四周挑檐50cm,窗户:C0915,塑钢窗户(5mm白玻)1樘,门:M0920,钢制双门防盗门,1樘。抽水、供电设施:预计投资15500元。设置水泵基础4个,尺寸为0.6m*0.6m*0.2n,在管理房内独立设置AC380V/50Hz三相四线制稳定电源,电缆采用3*25+16 </w:t>
      </w:r>
      <w:r>
        <w:rPr>
          <w:rFonts w:hint="eastAsia" w:ascii="Arial Narrow" w:hAnsi="Arial Narrow" w:eastAsia="仿宋_GB2312" w:cs="宋体"/>
          <w:kern w:val="0"/>
          <w:sz w:val="24"/>
          <w:lang w:eastAsia="zh-CN"/>
        </w:rPr>
        <w:t>平方米，</w:t>
      </w:r>
      <w:r>
        <w:rPr>
          <w:rFonts w:hint="eastAsia" w:ascii="Arial Narrow" w:hAnsi="Arial Narrow" w:eastAsia="仿宋_GB2312" w:cs="宋体"/>
          <w:kern w:val="0"/>
          <w:sz w:val="24"/>
        </w:rPr>
        <w:t>国标铜芯线缆,共计300 m。(2)输水设施:预计投资38500元。灌溉管网的干管采用PE100级1.25Mpa 75管672米、支管采用 PE100级1.6Mpa 50管600米,农管采用 PE16灌溉专用管,农管采用明铺式,直接铺设于地面上。干管、支管采用地埋式,埋设于地面以下至少30cm深。管网尽量沿现有道路旁边铺设,采用人工开挖,边坡比1:0.5,底部断面15cm宽,管道埋设后,再人工掩埋。管道穿公路时,埋设于公路下,并采用dn100mm镀锌钢管套筒,保护PE管。(3)滴灌设施:预计投资42800元。滴灌毛管采用PE16滴灌专用管,共计11500 m;滴灌灌水器采用进口压力补偿滴头和一出四滴箭套装,滴头流量8L/H,滴箭长度80cm,每株樱桃树安装一套,共计3900套。(4)首部枢纽:预计投资94500元。首部枢纽布置根据项目区灌溉方式:水源→水泵抽水管一首部设备→输水管网→滴灌管等布置,控制装置以全自动控制器控制为主,过滤系统为离心过滤器、砂石过滤器、全自动自清洗过滤器三级过滤,实现智能灌溉。过滤系统:因水源为现有蓄水池中的水,来水为天然降雨、地面径流等,水质较差,因滴灌对水质要求较高,为确保灌水水质要求,首部系统中设置三级过滤系统,即:3寸离心过滤器2套;双罐体、自动反冲洗、3寸砂石过滤器2套;3单元、自动反冲洗、3寸碟片过滤器2套。压力表0-1.6Mpa2套、增压管道泵11KW/380V2套。闸阀系统:控制总阀、排气阀、电磁阀、安全阀、止回阀;泵房内设备安装采用u-pvc深灰化工管。(5)控制系统:预计投资58100元。为便于实现项目区自动化控制,对项目区泵房内采用集成式配电柜可以远程手机智能控制启闭电磁阀,进行自动化控制系统设计。监控中心:在管理房设置远程控制系统中枢,负责远程指挥设备控制器对干管电磁阀进行开闭控制,实现远程自动化灌溉;变频控制器11kw、一控一,2套,物联网智能控制柜10寸触摸屏、无线信号传输,2套。田间控制:项目区内的田间控制主要为电动阀门控制。可通过手机 app 对电磁阀进行启停、流量等的远程控制;项目区内电磁阀状态反馈器与控制中心,来控制电磁阀的开关;电磁阀采用2寸进口电磁阀4套、太阳能无线控制终端接收发送器4套。(6)原温室大棚钢结构加固320m,100元/m,预计投资32000元。大棚尺寸8*40m,纵向拉杆3根,两侧端边各布置纵梁1根,端横杆2根,M架032*2mm,间距4m;拱杆032*2mm,间距 1m;纵拉杆032*2mm,纵梁口60*40*1.5mm;端横杆口50*50*2mm,间距4m;檩条:55恨40*60*1.2mm镀锌矩形管,纵梁:80方管14根,立柱:镀</w:t>
      </w:r>
      <w:r>
        <w:rPr>
          <w:rFonts w:hint="eastAsia" w:ascii="仿宋_GB2312" w:hAnsi="仿宋_GB2312" w:eastAsia="仿宋_GB2312" w:cs="仿宋_GB2312"/>
          <w:kern w:val="0"/>
          <w:sz w:val="24"/>
        </w:rPr>
        <w:t>锌矩形管</w:t>
      </w:r>
      <w:r>
        <w:rPr>
          <w:rFonts w:hint="eastAsia" w:ascii="Arial Narrow" w:hAnsi="Arial Narrow" w:eastAsia="仿宋_GB2312" w:cs="宋体"/>
          <w:kern w:val="0"/>
          <w:sz w:val="24"/>
        </w:rPr>
        <w:t>40*60*1.2mm,476#彩钢瓦460m,脊瓦54块。(7)大棚薄膜28560 m,6元/</w:t>
      </w:r>
      <w:r>
        <w:rPr>
          <w:rFonts w:hint="eastAsia" w:ascii="微软雅黑" w:hAnsi="微软雅黑" w:eastAsia="微软雅黑" w:cs="微软雅黑"/>
          <w:kern w:val="0"/>
          <w:sz w:val="24"/>
        </w:rPr>
        <w:t>㎡</w:t>
      </w:r>
      <w:r>
        <w:rPr>
          <w:rFonts w:hint="eastAsia" w:ascii="Arial Narrow" w:hAnsi="Arial Narrow" w:eastAsia="仿宋_GB2312" w:cs="宋体"/>
          <w:kern w:val="0"/>
          <w:sz w:val="24"/>
        </w:rPr>
        <w:t>,预计投资171360元樱桃大棚顶部安装国产5+2精品水晶PO膜及包塑卡簧,薄膜厚度0.10mm。(8)场地硬化270 m,67元/m3,预计投资18090元。场地平整:人工平整场地,场地硬化:浇筑10cm厚 C20商品砼.(9)新型履带式旋耕机1台,预计投资28500元。群鑫牌QXJ-35型履带式旋耕机,发动机参数35马力电启动柴油机,履带旋耕机配带推土铲、旋耕机、除草功能。</w:t>
      </w:r>
    </w:p>
    <w:p w14:paraId="014114D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项目资金安排情况：该项目2023年计划投入50万元，实际投入50万元，全部为上级专项资金50万元。</w:t>
      </w:r>
    </w:p>
    <w:bookmarkEnd w:id="8"/>
    <w:p w14:paraId="0D98DCD8">
      <w:pPr>
        <w:spacing w:line="360" w:lineRule="auto"/>
        <w:ind w:firstLine="482" w:firstLineChars="200"/>
        <w:jc w:val="left"/>
        <w:outlineLvl w:val="0"/>
        <w:rPr>
          <w:rFonts w:ascii="Arial Narrow" w:hAnsi="Arial Narrow" w:eastAsia="仿宋_GB2312"/>
          <w:b/>
          <w:sz w:val="24"/>
        </w:rPr>
      </w:pPr>
      <w:bookmarkStart w:id="9" w:name="_Toc170723806"/>
      <w:r>
        <w:rPr>
          <w:rFonts w:ascii="Arial Narrow" w:hAnsi="Arial Narrow" w:eastAsia="仿宋_GB2312"/>
          <w:b/>
          <w:sz w:val="24"/>
        </w:rPr>
        <w:t>二、绩效评价工作情况</w:t>
      </w:r>
      <w:bookmarkEnd w:id="9"/>
    </w:p>
    <w:p w14:paraId="65F0B0B5">
      <w:pPr>
        <w:spacing w:line="360" w:lineRule="auto"/>
        <w:ind w:firstLine="482" w:firstLineChars="200"/>
        <w:jc w:val="left"/>
        <w:outlineLvl w:val="0"/>
        <w:rPr>
          <w:rFonts w:ascii="Arial Narrow" w:hAnsi="Arial Narrow" w:eastAsia="仿宋_GB2312"/>
          <w:b/>
          <w:sz w:val="24"/>
        </w:rPr>
      </w:pPr>
      <w:bookmarkStart w:id="10" w:name="_Toc513775099"/>
      <w:bookmarkStart w:id="11" w:name="_Toc170723807"/>
      <w:r>
        <w:rPr>
          <w:rFonts w:ascii="Arial Narrow" w:hAnsi="Arial Narrow" w:eastAsia="仿宋_GB2312"/>
          <w:b/>
          <w:sz w:val="24"/>
        </w:rPr>
        <w:t>（一）绩效评价目的</w:t>
      </w:r>
      <w:bookmarkEnd w:id="10"/>
      <w:bookmarkEnd w:id="11"/>
    </w:p>
    <w:p w14:paraId="2D9C7DE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6F579D20">
      <w:pPr>
        <w:spacing w:line="360" w:lineRule="auto"/>
        <w:ind w:firstLine="482" w:firstLineChars="200"/>
        <w:jc w:val="left"/>
        <w:outlineLvl w:val="0"/>
        <w:rPr>
          <w:rFonts w:ascii="Arial Narrow" w:hAnsi="Arial Narrow" w:eastAsia="仿宋_GB2312"/>
          <w:b/>
          <w:sz w:val="24"/>
        </w:rPr>
      </w:pPr>
      <w:bookmarkStart w:id="12" w:name="_Toc170723808"/>
      <w:bookmarkStart w:id="13"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12"/>
    </w:p>
    <w:p w14:paraId="0B02D1BB">
      <w:pPr>
        <w:pStyle w:val="13"/>
        <w:spacing w:line="360" w:lineRule="auto"/>
        <w:ind w:firstLine="480" w:firstLineChars="200"/>
        <w:rPr>
          <w:rFonts w:ascii="Arial Narrow" w:hAnsi="Arial Narrow" w:eastAsia="仿宋_GB2312"/>
          <w:color w:val="auto"/>
        </w:rPr>
      </w:pPr>
      <w:bookmarkStart w:id="14"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7DDFD9D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61E9818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514A8AD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2DB9289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1E04AA92">
      <w:pPr>
        <w:spacing w:line="360" w:lineRule="auto"/>
        <w:ind w:firstLine="482" w:firstLineChars="200"/>
        <w:jc w:val="left"/>
        <w:outlineLvl w:val="0"/>
        <w:rPr>
          <w:rFonts w:ascii="Arial Narrow" w:hAnsi="Arial Narrow" w:eastAsia="仿宋_GB2312"/>
          <w:b/>
          <w:sz w:val="24"/>
        </w:rPr>
      </w:pPr>
      <w:bookmarkStart w:id="15" w:name="_Toc170723809"/>
      <w:r>
        <w:rPr>
          <w:rFonts w:ascii="Arial Narrow" w:hAnsi="Arial Narrow" w:eastAsia="仿宋_GB2312"/>
          <w:b/>
          <w:sz w:val="24"/>
        </w:rPr>
        <w:t>（三）绩效评价依据</w:t>
      </w:r>
      <w:bookmarkEnd w:id="13"/>
      <w:bookmarkEnd w:id="14"/>
      <w:bookmarkEnd w:id="15"/>
      <w:bookmarkStart w:id="16" w:name="_Toc335040595"/>
    </w:p>
    <w:bookmarkEnd w:id="16"/>
    <w:p w14:paraId="1F4A6E1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374C292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6F060FD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r>
        <w:rPr>
          <w:rFonts w:hint="eastAsia" w:ascii="Arial Narrow" w:hAnsi="Arial Narrow" w:eastAsia="仿宋_GB2312"/>
          <w:color w:val="auto"/>
        </w:rPr>
        <w:t>；</w:t>
      </w:r>
    </w:p>
    <w:p w14:paraId="7F4808A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4690841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789F49F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7391C3D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0CE5900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olor w:val="auto"/>
        </w:rPr>
        <w:t>；</w:t>
      </w:r>
    </w:p>
    <w:p w14:paraId="6AABF16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olor w:val="auto"/>
        </w:rPr>
        <w:t>；</w:t>
      </w:r>
    </w:p>
    <w:p w14:paraId="57E16AF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7" w:name="_Hlk162597612"/>
      <w:r>
        <w:rPr>
          <w:rFonts w:hint="eastAsia" w:ascii="Arial Narrow" w:hAnsi="Arial Narrow" w:eastAsia="仿宋_GB2312"/>
          <w:color w:val="auto"/>
        </w:rPr>
        <w:t>〔2016〕</w:t>
      </w:r>
      <w:bookmarkEnd w:id="17"/>
      <w:r>
        <w:rPr>
          <w:rFonts w:ascii="Arial Narrow" w:hAnsi="Arial Narrow" w:eastAsia="仿宋_GB2312"/>
          <w:color w:val="auto"/>
        </w:rPr>
        <w:t>10号）</w:t>
      </w:r>
      <w:r>
        <w:rPr>
          <w:rFonts w:hint="eastAsia" w:ascii="Arial Narrow" w:hAnsi="Arial Narrow" w:eastAsia="仿宋_GB2312"/>
          <w:color w:val="auto"/>
        </w:rPr>
        <w:t>；</w:t>
      </w:r>
    </w:p>
    <w:p w14:paraId="4971A94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110B0C6E">
      <w:pPr>
        <w:spacing w:line="360" w:lineRule="auto"/>
        <w:ind w:firstLine="482" w:firstLineChars="200"/>
        <w:jc w:val="left"/>
        <w:outlineLvl w:val="0"/>
        <w:rPr>
          <w:rFonts w:ascii="Arial Narrow" w:hAnsi="Arial Narrow" w:eastAsia="仿宋_GB2312"/>
          <w:b/>
          <w:sz w:val="24"/>
        </w:rPr>
      </w:pPr>
      <w:bookmarkStart w:id="18" w:name="_Toc170723810"/>
      <w:r>
        <w:rPr>
          <w:rFonts w:ascii="Arial Narrow" w:hAnsi="Arial Narrow" w:eastAsia="仿宋_GB2312"/>
          <w:b/>
          <w:sz w:val="24"/>
        </w:rPr>
        <w:t>（四）绩效评价原则和指标体系</w:t>
      </w:r>
      <w:bookmarkEnd w:id="18"/>
    </w:p>
    <w:p w14:paraId="1D7A7C9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6096034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1D41246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ascii="Arial Narrow" w:hAnsi="Arial Narrow" w:eastAsia="仿宋_GB2312"/>
          <w:color w:val="auto"/>
        </w:rPr>
        <w:t>重要性原则。应当优先使用最具评价对象代表性、最能反映评价要求的核心指标。</w:t>
      </w:r>
    </w:p>
    <w:p w14:paraId="415839A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53BEEA7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4C03E9D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750448A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7C965626">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799F3B5B">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631A4AC8">
        <w:tblPrEx>
          <w:tblCellMar>
            <w:top w:w="0" w:type="dxa"/>
            <w:left w:w="108" w:type="dxa"/>
            <w:bottom w:w="0" w:type="dxa"/>
            <w:right w:w="108" w:type="dxa"/>
          </w:tblCellMar>
        </w:tblPrEx>
        <w:trPr>
          <w:cantSplit/>
          <w:trHeight w:val="367"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AE99B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499B0F0E">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5A7F4A5E">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4AF4F267">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0EE1DCEF">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5C2784FE">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评价标准</w:t>
            </w:r>
          </w:p>
        </w:tc>
      </w:tr>
      <w:tr w14:paraId="34185EE8">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75B589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B7C811F">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3B8399E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0BD0B8F7">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399E2311">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0EC11C16">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资金使用方向符合文件规定（2分）。</w:t>
            </w:r>
          </w:p>
        </w:tc>
      </w:tr>
      <w:tr w14:paraId="6475DCB0">
        <w:tblPrEx>
          <w:tblCellMar>
            <w:top w:w="0" w:type="dxa"/>
            <w:left w:w="108" w:type="dxa"/>
            <w:bottom w:w="0" w:type="dxa"/>
            <w:right w:w="108" w:type="dxa"/>
          </w:tblCellMar>
        </w:tblPrEx>
        <w:trPr>
          <w:cantSplit/>
          <w:trHeight w:val="103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6D71C8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6F7AFFBD">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713D2EB">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6006C67E">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4BA65A08">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7BF9459A">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区财政局下达资金文件时间到区级业务主管部门下达项目及资金计划文件时间间隔≤30日（3分）。</w:t>
            </w:r>
          </w:p>
        </w:tc>
      </w:tr>
      <w:tr w14:paraId="4AD64770">
        <w:tblPrEx>
          <w:tblCellMar>
            <w:top w:w="0" w:type="dxa"/>
            <w:left w:w="108" w:type="dxa"/>
            <w:bottom w:w="0" w:type="dxa"/>
            <w:right w:w="108" w:type="dxa"/>
          </w:tblCellMar>
        </w:tblPrEx>
        <w:trPr>
          <w:cantSplit/>
          <w:trHeight w:val="1340"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159C88A">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2FB9C78B">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1307180C">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53EF684E">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2762" w:type="dxa"/>
            <w:tcBorders>
              <w:top w:val="nil"/>
              <w:left w:val="nil"/>
              <w:bottom w:val="nil"/>
              <w:right w:val="nil"/>
            </w:tcBorders>
            <w:shd w:val="clear" w:color="auto" w:fill="auto"/>
            <w:vAlign w:val="center"/>
          </w:tcPr>
          <w:p w14:paraId="226FA5B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评价落实《铜梁区巩固拓展脱贫攻坚成果和衔接乡村振兴项目库建设管理实施细则》（铜乡振〔2021〕7号）落实情况。根据抽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2125FE4E">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1.项目入库及时充分、程序规范、内容完整（3分）；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2.入库项目具备实施条件（2分）；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3.衔接资金用于项目库之外的项目（-5分）。</w:t>
            </w:r>
          </w:p>
        </w:tc>
      </w:tr>
      <w:tr w14:paraId="05987CFA">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1C0869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43106ECD">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FD9FAE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4C475FBB">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7A9BCD03">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评价具体项目实施方案明确绩效目标情况、开展跟踪监督绩效监控情况、事后评价情况等。根据抽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7CF5BB4">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1.及时制定绩效目标、审核绩效目标（2分）；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2.开展绩效监控不少于1次（2分）；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3.对绩效目标偏离项目采取纠偏措施（2分）；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4.项目实施完毕后立即开展绩效自评，并形成绩效自评报告及绩效自评表。（2分）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5.项目绩效是否达到预期。（2分）</w:t>
            </w:r>
          </w:p>
        </w:tc>
      </w:tr>
      <w:tr w14:paraId="11F63CCF">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6CECEE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7FF1EA98">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798498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037FD040">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150CB6C1">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评价有序推进项目前期工作、组织实施、项目验收、资料报送等情况。根据抽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60C272C">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1.项目实施方法存在变更是否按规定报批；（1分）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2.是否定期对项目实施情况进行监督检查，对检查中发现的问题进行整改；（2分）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3.是否按照项目实施节点按时提交项目报账资料；（1分）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4.日常管理资料是否及时归档整理；（1分）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5.项目完工后是否在规定时间内进行验收。（1分）</w:t>
            </w:r>
          </w:p>
        </w:tc>
      </w:tr>
      <w:tr w14:paraId="4BA29DB6">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8B066B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062306D2">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4096A1D">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2C2482BA">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204DF04A">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评价有序推进项目工作和资金支付情况。根据抽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99DD4D5">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主要通过支出进度评价有序推进项目工作和资金支付情况，于7月末、10月中旬定期调度。</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1.7月末支出进度评分4分。资金支出进度达到全区平均进度或者序时进度的，得满分；未达到的按照与序时进度的比例扣分；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2.10月中旬支出进度评分4分。资金支出进度达到全区平均进度或者序时进度的，得满分；未达到的按照与序时进度的比例扣分；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14C5AB74">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595CBC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7EE3E8DA">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94888D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46C4DAAF">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7076EE63">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评价定期开展监督检查情况、发现问题整改情况。根据未处理问题比例扣减。根据抽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17914BC">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1.定期开展项目实施和资金支出进度等跟踪督促情况，落实到位的得2分，未完全落实到位的酌情扣分；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2.跟踪督促及各类检查发现问题整改到位情况，满分5分，根据未整改问题比例扣减；</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3.全国12317防止返贫监测和乡村振兴咨询服务平台（简称12317平台）反馈问题处理情况，满分1分。</w:t>
            </w:r>
          </w:p>
        </w:tc>
      </w:tr>
      <w:tr w14:paraId="62142E41">
        <w:tblPrEx>
          <w:tblCellMar>
            <w:top w:w="0" w:type="dxa"/>
            <w:left w:w="108" w:type="dxa"/>
            <w:bottom w:w="0" w:type="dxa"/>
            <w:right w:w="108" w:type="dxa"/>
          </w:tblCellMar>
        </w:tblPrEx>
        <w:trPr>
          <w:cantSplit/>
          <w:trHeight w:val="1057"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5ED460E">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6C7EE9D8">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675899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014345CA">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16CB65CA">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评价账务处理，资产转固，收益管理、档案管理等情况。根据抽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C9D5DC8">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1.财务处理是否规范，原始凭证是否齐全，建成资产是否及时转固、收益管理是否合规；（4分）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2.档案管理是否完整、合规、真实。（1分）</w:t>
            </w:r>
          </w:p>
        </w:tc>
      </w:tr>
      <w:tr w14:paraId="0BB38C6E">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3F25EDF">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0749D1DD">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CA383E2">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53D6F53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7D3D383C">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E43F305">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分区级、镇级、村级进行评价。</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1.抽查区级公示公开情况，满分3分，未完整公开酌情扣分；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2.抽查镇级公示公开情况，满分3分，未完整公开酌情扣分；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3.抽查村级公示公开情况，满分3分，未完整公开酌情扣分。</w:t>
            </w:r>
          </w:p>
        </w:tc>
      </w:tr>
      <w:tr w14:paraId="05B5C671">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67F4312">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210365B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3F415E63">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0C2975E4">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001699A0">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评价项目是否达到预期成效，后续管护是否存在问题等。根据抽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5B8C9A8">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满分35分，根据抽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项目情况赋分。项目管理各环节，每存在一例不符合相关规定的，扣0.5分，扣完为止。</w:t>
            </w:r>
          </w:p>
        </w:tc>
      </w:tr>
      <w:tr w14:paraId="2E483CD2">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7F0C96D">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3B260490">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06DD77A">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2A7D2E1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7D665AA5">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41981EAF">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03D2B81A">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2D560C3">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6D88059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1586CD6B">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5D8E473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1722FEC4">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189A20E3">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1.在财政衔接资金分配、使用、监管等方面存在机制创新；（2分）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5F3164E1">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C371B80">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29AA099A">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1765FC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13ACE2AC">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1EB1B8E4">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4605227A">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考核材料、数据中存在虚假信息的，或经有关部门监督检查发现问题的，视情节严重程度扣1-10分。</w:t>
            </w:r>
          </w:p>
        </w:tc>
      </w:tr>
    </w:tbl>
    <w:p w14:paraId="71CA78D8">
      <w:pPr>
        <w:spacing w:before="120" w:beforeLines="50" w:line="360" w:lineRule="auto"/>
        <w:ind w:firstLine="482" w:firstLineChars="200"/>
        <w:jc w:val="left"/>
        <w:outlineLvl w:val="0"/>
        <w:rPr>
          <w:rFonts w:ascii="Arial Narrow" w:hAnsi="Arial Narrow" w:eastAsia="仿宋_GB2312"/>
          <w:b/>
          <w:sz w:val="24"/>
        </w:rPr>
      </w:pPr>
      <w:bookmarkStart w:id="19" w:name="_Toc170723811"/>
      <w:r>
        <w:rPr>
          <w:rFonts w:ascii="Arial Narrow" w:hAnsi="Arial Narrow" w:eastAsia="仿宋_GB2312"/>
          <w:b/>
          <w:sz w:val="24"/>
        </w:rPr>
        <w:t>（五）绩效评价标准和评价方法</w:t>
      </w:r>
      <w:bookmarkEnd w:id="19"/>
    </w:p>
    <w:p w14:paraId="6BE4ECC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0C934F5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7DBE0F7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20" w:name="_Hlk162596803"/>
      <w:r>
        <w:rPr>
          <w:rFonts w:ascii="Arial Narrow" w:hAnsi="Arial Narrow" w:eastAsia="仿宋_GB2312"/>
          <w:color w:val="auto"/>
        </w:rPr>
        <w:t>≥90</w:t>
      </w:r>
      <w:bookmarkEnd w:id="20"/>
      <w:r>
        <w:rPr>
          <w:rFonts w:ascii="Arial Narrow" w:hAnsi="Arial Narrow" w:eastAsia="仿宋_GB2312"/>
          <w:color w:val="auto"/>
        </w:rPr>
        <w:t>）、良</w:t>
      </w:r>
      <w:bookmarkStart w:id="21" w:name="_Hlk168473502"/>
      <w:r>
        <w:rPr>
          <w:rFonts w:ascii="Arial Narrow" w:hAnsi="Arial Narrow" w:eastAsia="仿宋_GB2312"/>
          <w:color w:val="auto"/>
        </w:rPr>
        <w:t>（90＞得分≥80）</w:t>
      </w:r>
      <w:bookmarkEnd w:id="21"/>
      <w:r>
        <w:rPr>
          <w:rFonts w:ascii="Arial Narrow" w:hAnsi="Arial Narrow" w:eastAsia="仿宋_GB2312"/>
          <w:color w:val="auto"/>
        </w:rPr>
        <w:t>、中（80＞得分≥60）、差（得分＜60）四个等级，按百分制综合得分高低按分值划段确定。</w:t>
      </w:r>
    </w:p>
    <w:p w14:paraId="5960F9A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27139A7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1EF32FC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32FE95F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3540E67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261EFFD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最低成本法。是指对效益确定不易计量的多个同类对象的实施成本进行比较，评价绩效目标实现程度。</w:t>
      </w:r>
    </w:p>
    <w:p w14:paraId="5AD8CF1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64E0B388">
      <w:pPr>
        <w:spacing w:line="360" w:lineRule="auto"/>
        <w:ind w:firstLine="482" w:firstLineChars="200"/>
        <w:jc w:val="left"/>
        <w:outlineLvl w:val="0"/>
        <w:rPr>
          <w:rFonts w:ascii="Arial Narrow" w:hAnsi="Arial Narrow" w:eastAsia="仿宋_GB2312"/>
          <w:b/>
          <w:sz w:val="24"/>
        </w:rPr>
      </w:pPr>
      <w:bookmarkStart w:id="22" w:name="_Toc437528932"/>
      <w:bookmarkStart w:id="23" w:name="_Toc170723812"/>
      <w:r>
        <w:rPr>
          <w:rFonts w:ascii="Arial Narrow" w:hAnsi="Arial Narrow" w:eastAsia="仿宋_GB2312"/>
          <w:b/>
          <w:sz w:val="24"/>
        </w:rPr>
        <w:t>（六）绩效评价</w:t>
      </w:r>
      <w:bookmarkEnd w:id="22"/>
      <w:r>
        <w:rPr>
          <w:rFonts w:ascii="Arial Narrow" w:hAnsi="Arial Narrow" w:eastAsia="仿宋_GB2312"/>
          <w:b/>
          <w:sz w:val="24"/>
        </w:rPr>
        <w:t>工作过程</w:t>
      </w:r>
      <w:bookmarkEnd w:id="23"/>
    </w:p>
    <w:p w14:paraId="43C8E18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1112A7E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0BBF4FD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6BA0B17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3A1B2FF4">
      <w:pPr>
        <w:spacing w:line="360" w:lineRule="auto"/>
        <w:ind w:firstLine="482" w:firstLineChars="200"/>
        <w:jc w:val="left"/>
        <w:outlineLvl w:val="0"/>
        <w:rPr>
          <w:rFonts w:ascii="Arial Narrow" w:hAnsi="Arial Narrow" w:eastAsia="仿宋_GB2312"/>
          <w:b/>
          <w:sz w:val="24"/>
        </w:rPr>
      </w:pPr>
      <w:bookmarkStart w:id="24" w:name="_Toc437528933"/>
      <w:bookmarkStart w:id="25" w:name="_Toc170723813"/>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4"/>
      <w:r>
        <w:rPr>
          <w:rFonts w:ascii="Arial Narrow" w:hAnsi="Arial Narrow" w:eastAsia="仿宋_GB2312"/>
          <w:b/>
          <w:sz w:val="24"/>
        </w:rPr>
        <w:t>结论</w:t>
      </w:r>
      <w:bookmarkEnd w:id="25"/>
    </w:p>
    <w:p w14:paraId="5B4973BA">
      <w:pPr>
        <w:spacing w:line="360" w:lineRule="auto"/>
        <w:ind w:firstLine="480" w:firstLineChars="200"/>
        <w:jc w:val="left"/>
        <w:rPr>
          <w:rFonts w:ascii="Arial Narrow" w:hAnsi="Arial Narrow" w:eastAsia="仿宋_GB2312" w:cs="宋体"/>
          <w:kern w:val="0"/>
          <w:sz w:val="24"/>
        </w:rPr>
      </w:pPr>
      <w:r>
        <w:rPr>
          <w:rFonts w:hint="eastAsia" w:ascii="Arial Narrow" w:hAnsi="Arial Narrow" w:eastAsia="仿宋_GB2312" w:cs="宋体"/>
          <w:kern w:val="0"/>
          <w:sz w:val="24"/>
        </w:rPr>
        <w:t>喻兴村稻渔养殖基地基础设施建设项目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95.50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5EB7C80C">
      <w:pPr>
        <w:spacing w:line="360" w:lineRule="auto"/>
        <w:ind w:left="420" w:leftChars="200"/>
        <w:jc w:val="left"/>
        <w:rPr>
          <w:rFonts w:ascii="Arial Narrow" w:hAnsi="Arial Narrow" w:eastAsia="仿宋_GB2312"/>
          <w:sz w:val="24"/>
        </w:rPr>
      </w:pPr>
      <w:r>
        <w:rPr>
          <w:rFonts w:hint="eastAsia" w:ascii="Arial Narrow" w:hAnsi="Arial Narrow" w:eastAsia="仿宋_GB2312" w:cs="宋体"/>
          <w:kern w:val="0"/>
          <w:sz w:val="24"/>
        </w:rPr>
        <w:t>建新村樱桃种植基地基础设施建设项目</w:t>
      </w:r>
      <w:r>
        <w:rPr>
          <w:rFonts w:ascii="Arial Narrow" w:hAnsi="Arial Narrow" w:eastAsia="仿宋_GB2312"/>
          <w:sz w:val="24"/>
        </w:rPr>
        <w:t>绩效评价得分</w:t>
      </w:r>
      <w:r>
        <w:rPr>
          <w:rFonts w:hint="eastAsia" w:ascii="Arial Narrow" w:hAnsi="Arial Narrow" w:eastAsia="仿宋_GB2312"/>
          <w:sz w:val="24"/>
        </w:rPr>
        <w:t>96.50</w:t>
      </w:r>
      <w:r>
        <w:rPr>
          <w:rFonts w:ascii="Arial Narrow" w:hAnsi="Arial Narrow" w:eastAsia="仿宋_GB2312"/>
          <w:sz w:val="24"/>
        </w:rPr>
        <w:t>分</w:t>
      </w:r>
      <w:r>
        <w:rPr>
          <w:rFonts w:hint="eastAsia" w:ascii="Arial Narrow" w:hAnsi="Arial Narrow" w:eastAsia="仿宋_GB2312"/>
          <w:sz w:val="24"/>
        </w:rPr>
        <w:t>，</w:t>
      </w:r>
      <w:r>
        <w:rPr>
          <w:rFonts w:ascii="Arial Narrow" w:hAnsi="Arial Narrow" w:eastAsia="仿宋_GB2312"/>
          <w:sz w:val="24"/>
        </w:rPr>
        <w:t>绩效评价等级为</w:t>
      </w:r>
      <w:r>
        <w:rPr>
          <w:rFonts w:hint="eastAsia" w:ascii="Arial Narrow" w:hAnsi="Arial Narrow" w:eastAsia="仿宋_GB2312"/>
          <w:sz w:val="24"/>
        </w:rPr>
        <w:t>：</w:t>
      </w:r>
    </w:p>
    <w:p w14:paraId="28CB9809">
      <w:pPr>
        <w:spacing w:line="360" w:lineRule="auto"/>
        <w:jc w:val="left"/>
        <w:rPr>
          <w:rFonts w:ascii="Arial Narrow" w:hAnsi="Arial Narrow" w:eastAsia="仿宋_GB2312"/>
          <w:sz w:val="24"/>
        </w:rPr>
      </w:pPr>
      <w:r>
        <w:rPr>
          <w:rFonts w:hint="eastAsia" w:ascii="Arial Narrow" w:hAnsi="Arial Narrow" w:eastAsia="仿宋_GB2312"/>
          <w:sz w:val="24"/>
        </w:rPr>
        <w:t>优；</w:t>
      </w:r>
    </w:p>
    <w:p w14:paraId="0005EE73">
      <w:pPr>
        <w:spacing w:line="360" w:lineRule="auto"/>
        <w:ind w:firstLine="480" w:firstLineChars="200"/>
        <w:jc w:val="left"/>
        <w:rPr>
          <w:rFonts w:ascii="Arial Narrow" w:hAnsi="Arial Narrow" w:eastAsia="仿宋_GB2312"/>
          <w:sz w:val="24"/>
        </w:rPr>
      </w:pPr>
      <w:r>
        <w:rPr>
          <w:rFonts w:hint="eastAsia" w:ascii="Arial Narrow" w:hAnsi="Arial Narrow" w:eastAsia="仿宋_GB2312"/>
          <w:sz w:val="24"/>
        </w:rPr>
        <w:t>群坊村大棚樱桃种植基地智能灌溉设施建设项目绩效评价得分99.00分，</w:t>
      </w:r>
      <w:r>
        <w:rPr>
          <w:rFonts w:ascii="Arial Narrow" w:hAnsi="Arial Narrow" w:eastAsia="仿宋_GB2312"/>
          <w:sz w:val="24"/>
        </w:rPr>
        <w:t>绩效评价等级为：</w:t>
      </w:r>
      <w:r>
        <w:rPr>
          <w:rFonts w:hint="eastAsia" w:ascii="Arial Narrow" w:hAnsi="Arial Narrow" w:eastAsia="仿宋_GB2312"/>
          <w:sz w:val="24"/>
        </w:rPr>
        <w:t>优。</w:t>
      </w:r>
    </w:p>
    <w:p w14:paraId="238AB8B2">
      <w:pPr>
        <w:spacing w:line="360" w:lineRule="auto"/>
        <w:ind w:firstLine="482" w:firstLineChars="200"/>
        <w:outlineLvl w:val="0"/>
        <w:rPr>
          <w:rFonts w:ascii="Arial Narrow" w:hAnsi="Arial Narrow" w:eastAsia="仿宋_GB2312"/>
          <w:b/>
          <w:sz w:val="24"/>
        </w:rPr>
      </w:pPr>
      <w:bookmarkStart w:id="26" w:name="_Toc170723814"/>
      <w:r>
        <w:rPr>
          <w:rFonts w:hint="eastAsia" w:ascii="Arial Narrow" w:hAnsi="Arial Narrow" w:eastAsia="仿宋_GB2312"/>
          <w:b/>
          <w:sz w:val="24"/>
        </w:rPr>
        <w:t>四、</w:t>
      </w:r>
      <w:r>
        <w:rPr>
          <w:rFonts w:ascii="Arial Narrow" w:hAnsi="Arial Narrow" w:eastAsia="仿宋_GB2312"/>
          <w:b/>
          <w:sz w:val="24"/>
        </w:rPr>
        <w:t>综合评价情况</w:t>
      </w:r>
      <w:bookmarkEnd w:id="26"/>
    </w:p>
    <w:p w14:paraId="791D06B8">
      <w:pPr>
        <w:spacing w:line="360" w:lineRule="auto"/>
        <w:ind w:firstLine="482" w:firstLineChars="200"/>
        <w:jc w:val="left"/>
        <w:outlineLvl w:val="0"/>
        <w:rPr>
          <w:rFonts w:ascii="仿宋_GB2312" w:eastAsia="仿宋_GB2312"/>
          <w:b/>
          <w:sz w:val="24"/>
        </w:rPr>
      </w:pPr>
      <w:bookmarkStart w:id="27" w:name="_Toc170723815"/>
      <w:r>
        <w:rPr>
          <w:rFonts w:hint="eastAsia" w:ascii="仿宋_GB2312" w:eastAsia="仿宋_GB2312"/>
          <w:b/>
          <w:sz w:val="24"/>
        </w:rPr>
        <w:t>（一）资金管理</w:t>
      </w:r>
      <w:bookmarkEnd w:id="27"/>
    </w:p>
    <w:p w14:paraId="48D01BBE">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74C9C7E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34D069D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0CD6B48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项目资金从区财政局下达资金文件时间到区级业务主管部门下达项目及资金计划文件时间间隔小于30天。</w:t>
      </w:r>
    </w:p>
    <w:p w14:paraId="61F8BE31">
      <w:pPr>
        <w:spacing w:line="360" w:lineRule="auto"/>
        <w:ind w:firstLine="482" w:firstLineChars="200"/>
        <w:jc w:val="left"/>
        <w:outlineLvl w:val="0"/>
        <w:rPr>
          <w:rFonts w:ascii="仿宋_GB2312" w:eastAsia="仿宋_GB2312"/>
          <w:b/>
          <w:sz w:val="24"/>
        </w:rPr>
      </w:pPr>
      <w:bookmarkStart w:id="28" w:name="_Toc170723816"/>
      <w:r>
        <w:rPr>
          <w:rFonts w:hint="eastAsia" w:ascii="仿宋_GB2312" w:eastAsia="仿宋_GB2312"/>
          <w:b/>
          <w:sz w:val="24"/>
        </w:rPr>
        <w:t>（二）项目管理</w:t>
      </w:r>
      <w:bookmarkEnd w:id="28"/>
    </w:p>
    <w:p w14:paraId="1341A9F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51268A9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项目入库及时充分、程序规范、内容完整，制定和切合实际的实施方案，具备实施条件，衔接资金未用于项目库之外的项目。</w:t>
      </w:r>
    </w:p>
    <w:p w14:paraId="6AD3C3F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35E95C8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项目及时制定了明确的绩效目标，实施过程中对绩效目标进行监控，对绩效目标偏离项目采取纠偏措施，在项目实施完毕后开展了绩效自评，并形成绩效自评表、自评报告。</w:t>
      </w:r>
    </w:p>
    <w:p w14:paraId="4FA8D40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33C0E2A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项目实施方案不存在变更情况，实施过程中由重庆市铜梁区双山镇人民政府进行监督检查，检查中未发现重大问题，项目按照实施节点按时提交项目报账资料。</w:t>
      </w:r>
    </w:p>
    <w:p w14:paraId="64A8D28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07D2948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喻兴村稻渔养殖基地基础设施建设项目12月底资金预算执行率达100%；建新村樱桃种植基地基础设施建设项目12月中旬资金预算执行率达100%；群坊村大棚樱桃种植基地智能灌溉设施建设项目11月资金预算执行率达100%。</w:t>
      </w:r>
    </w:p>
    <w:p w14:paraId="1E7603C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6475867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55D34A8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6182F5C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群坊村大棚樱桃种植基地智能灌溉设施建设项目账务处理规范，档案管理完整。喻兴村稻渔养殖基地基础设施建设项目、建新村樱桃种植基地基础设施建设项目未见记账凭证。</w:t>
      </w:r>
    </w:p>
    <w:p w14:paraId="5757594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1C1478E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重庆市铜梁区双山镇人民政府对以上3个项目入库情况、资金计划完成情况等进行了公告公示。</w:t>
      </w:r>
    </w:p>
    <w:p w14:paraId="2BE6C541">
      <w:pPr>
        <w:spacing w:line="360" w:lineRule="auto"/>
        <w:ind w:firstLine="482" w:firstLineChars="200"/>
        <w:jc w:val="left"/>
        <w:outlineLvl w:val="0"/>
        <w:rPr>
          <w:rFonts w:ascii="仿宋_GB2312" w:eastAsia="仿宋_GB2312"/>
          <w:b/>
          <w:sz w:val="24"/>
        </w:rPr>
      </w:pPr>
      <w:bookmarkStart w:id="29" w:name="_Toc170723817"/>
      <w:r>
        <w:rPr>
          <w:rFonts w:hint="eastAsia" w:ascii="仿宋_GB2312" w:eastAsia="仿宋_GB2312"/>
          <w:b/>
          <w:sz w:val="24"/>
        </w:rPr>
        <w:t>（三）使用成效及通报情况</w:t>
      </w:r>
      <w:bookmarkEnd w:id="29"/>
    </w:p>
    <w:p w14:paraId="5CE75EC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014346D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项目总体资金均专款专用，项目完成进度和及时性达到计划预期目的。完成项目的质量能够达标，完成进行了自评、项目资金完整。</w:t>
      </w:r>
    </w:p>
    <w:p w14:paraId="36D7B45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23CA2DC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3275BC08">
      <w:pPr>
        <w:spacing w:line="360" w:lineRule="auto"/>
        <w:ind w:firstLine="482" w:firstLineChars="200"/>
        <w:outlineLvl w:val="0"/>
        <w:rPr>
          <w:rFonts w:ascii="Arial Narrow" w:hAnsi="Arial Narrow" w:eastAsia="仿宋_GB2312"/>
          <w:b/>
          <w:sz w:val="24"/>
        </w:rPr>
      </w:pPr>
      <w:bookmarkStart w:id="30" w:name="_Toc170723818"/>
      <w:r>
        <w:rPr>
          <w:rFonts w:hint="eastAsia" w:ascii="Arial Narrow" w:hAnsi="Arial Narrow" w:eastAsia="仿宋_GB2312"/>
          <w:b/>
          <w:sz w:val="24"/>
        </w:rPr>
        <w:t>五</w:t>
      </w:r>
      <w:r>
        <w:rPr>
          <w:rFonts w:ascii="Arial Narrow" w:hAnsi="Arial Narrow" w:eastAsia="仿宋_GB2312"/>
          <w:b/>
          <w:sz w:val="24"/>
        </w:rPr>
        <w:t>、存在的问题和建议</w:t>
      </w:r>
      <w:bookmarkEnd w:id="30"/>
    </w:p>
    <w:p w14:paraId="405D58A9">
      <w:pPr>
        <w:spacing w:line="360" w:lineRule="auto"/>
        <w:ind w:firstLine="482" w:firstLineChars="200"/>
        <w:jc w:val="left"/>
        <w:outlineLvl w:val="0"/>
        <w:rPr>
          <w:rFonts w:ascii="仿宋_GB2312" w:eastAsia="仿宋_GB2312"/>
          <w:b/>
          <w:sz w:val="24"/>
        </w:rPr>
      </w:pPr>
      <w:bookmarkStart w:id="31" w:name="_Toc170723819"/>
      <w:r>
        <w:rPr>
          <w:rFonts w:hint="eastAsia" w:ascii="仿宋_GB2312" w:eastAsia="仿宋_GB2312"/>
          <w:b/>
          <w:sz w:val="24"/>
        </w:rPr>
        <w:t>（一）存在问题</w:t>
      </w:r>
      <w:bookmarkEnd w:id="31"/>
    </w:p>
    <w:p w14:paraId="047B528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日常档案管理资料整理归档不及时。</w:t>
      </w:r>
    </w:p>
    <w:p w14:paraId="5BC577C9">
      <w:pPr>
        <w:spacing w:line="360" w:lineRule="auto"/>
        <w:ind w:firstLine="482" w:firstLineChars="200"/>
        <w:jc w:val="left"/>
        <w:outlineLvl w:val="0"/>
        <w:rPr>
          <w:rFonts w:ascii="仿宋_GB2312" w:eastAsia="仿宋_GB2312"/>
          <w:b/>
          <w:sz w:val="24"/>
        </w:rPr>
      </w:pPr>
      <w:bookmarkStart w:id="32" w:name="_Toc170723820"/>
      <w:r>
        <w:rPr>
          <w:rFonts w:hint="eastAsia" w:ascii="仿宋_GB2312" w:eastAsia="仿宋_GB2312"/>
          <w:b/>
          <w:sz w:val="24"/>
        </w:rPr>
        <w:t>（二）建议</w:t>
      </w:r>
      <w:bookmarkEnd w:id="32"/>
    </w:p>
    <w:p w14:paraId="789B8595">
      <w:pPr>
        <w:adjustRightInd w:val="0"/>
        <w:snapToGrid w:val="0"/>
        <w:spacing w:line="360" w:lineRule="auto"/>
        <w:ind w:firstLine="420" w:firstLineChars="200"/>
        <w:rPr>
          <w:rStyle w:val="10"/>
          <w:rFonts w:ascii="Arial Narrow" w:hAnsi="Arial Narrow" w:eastAsia="仿宋_GB2312"/>
          <w:color w:val="auto"/>
          <w:sz w:val="24"/>
          <w:u w:val="none"/>
        </w:rPr>
      </w:pPr>
      <w:r>
        <w:rPr>
          <w:rFonts w:hint="eastAsia"/>
        </w:rPr>
        <w:t xml:space="preserve"> </w:t>
      </w:r>
      <w:r>
        <w:rPr>
          <w:rStyle w:val="10"/>
          <w:rFonts w:hint="eastAsia" w:ascii="Arial Narrow" w:hAnsi="Arial Narrow" w:eastAsia="仿宋_GB2312"/>
          <w:color w:val="auto"/>
          <w:sz w:val="24"/>
          <w:u w:val="none"/>
        </w:rPr>
        <w:t>建议及时检查归档资料是否完备，以保持资料的完整性；避免造成资料的缺失遗漏。</w:t>
      </w:r>
    </w:p>
    <w:p w14:paraId="3A27EFBF">
      <w:pPr>
        <w:adjustRightInd w:val="0"/>
        <w:snapToGrid w:val="0"/>
        <w:spacing w:line="360" w:lineRule="auto"/>
        <w:ind w:firstLine="480" w:firstLineChars="200"/>
        <w:rPr>
          <w:rStyle w:val="10"/>
          <w:rFonts w:ascii="Arial Narrow" w:hAnsi="Arial Narrow" w:eastAsia="仿宋_GB2312"/>
          <w:color w:val="auto"/>
          <w:sz w:val="24"/>
          <w:u w:val="none"/>
        </w:rPr>
      </w:pPr>
    </w:p>
    <w:p w14:paraId="275B1B71">
      <w:pPr>
        <w:adjustRightInd w:val="0"/>
        <w:snapToGrid w:val="0"/>
        <w:spacing w:line="360" w:lineRule="auto"/>
        <w:ind w:firstLine="480" w:firstLineChars="200"/>
        <w:rPr>
          <w:rStyle w:val="10"/>
          <w:rFonts w:ascii="Arial Narrow" w:hAnsi="Arial Narrow" w:eastAsia="仿宋_GB2312"/>
          <w:color w:val="auto"/>
          <w:sz w:val="24"/>
          <w:u w:val="none"/>
        </w:rPr>
      </w:pPr>
    </w:p>
    <w:p w14:paraId="0B910A84">
      <w:pPr>
        <w:adjustRightInd w:val="0"/>
        <w:snapToGrid w:val="0"/>
        <w:spacing w:line="360" w:lineRule="auto"/>
        <w:ind w:firstLine="480" w:firstLineChars="200"/>
        <w:rPr>
          <w:rStyle w:val="10"/>
          <w:rFonts w:ascii="Arial Narrow" w:hAnsi="Arial Narrow" w:eastAsia="仿宋_GB2312"/>
          <w:color w:val="auto"/>
          <w:sz w:val="24"/>
          <w:u w:val="none"/>
        </w:rPr>
      </w:pPr>
    </w:p>
    <w:p w14:paraId="71251919">
      <w:pPr>
        <w:adjustRightInd w:val="0"/>
        <w:snapToGrid w:val="0"/>
        <w:spacing w:line="360" w:lineRule="auto"/>
        <w:ind w:firstLine="480" w:firstLineChars="200"/>
        <w:rPr>
          <w:rStyle w:val="10"/>
          <w:rFonts w:ascii="Arial Narrow" w:hAnsi="Arial Narrow" w:eastAsia="仿宋_GB2312"/>
          <w:color w:val="auto"/>
          <w:sz w:val="24"/>
          <w:u w:val="none"/>
        </w:rPr>
      </w:pPr>
    </w:p>
    <w:p w14:paraId="3ADF4BA2">
      <w:pPr>
        <w:adjustRightInd w:val="0"/>
        <w:snapToGrid w:val="0"/>
        <w:spacing w:line="360" w:lineRule="auto"/>
        <w:ind w:firstLine="480" w:firstLineChars="200"/>
        <w:rPr>
          <w:rStyle w:val="10"/>
          <w:rFonts w:ascii="Arial Narrow" w:hAnsi="Arial Narrow" w:eastAsia="仿宋_GB2312"/>
          <w:color w:val="auto"/>
          <w:sz w:val="24"/>
          <w:u w:val="none"/>
        </w:rPr>
      </w:pPr>
    </w:p>
    <w:p w14:paraId="4F80D9C8">
      <w:pPr>
        <w:adjustRightInd w:val="0"/>
        <w:snapToGrid w:val="0"/>
        <w:spacing w:line="360" w:lineRule="auto"/>
        <w:ind w:firstLine="420" w:firstLineChars="200"/>
        <w:rPr>
          <w:rStyle w:val="10"/>
          <w:color w:val="auto"/>
          <w:u w:val="none"/>
        </w:rPr>
      </w:pPr>
    </w:p>
    <w:p w14:paraId="1878E8F7">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rPr>
        <w:t>.</w:t>
      </w:r>
      <w:r>
        <w:rPr>
          <w:rStyle w:val="10"/>
          <w:rFonts w:ascii="Arial Narrow" w:hAnsi="Arial Narrow" w:eastAsia="仿宋_GB2312"/>
          <w:color w:val="auto"/>
          <w:sz w:val="24"/>
          <w:u w:val="none"/>
        </w:rPr>
        <w:t>绩效评价指标体系及评分结果表；</w:t>
      </w:r>
    </w:p>
    <w:p w14:paraId="37A52701">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rPr>
        <w:t>.</w:t>
      </w:r>
      <w:r>
        <w:rPr>
          <w:rStyle w:val="10"/>
          <w:rFonts w:ascii="Arial Narrow" w:hAnsi="Arial Narrow" w:eastAsia="仿宋_GB2312"/>
          <w:color w:val="auto"/>
          <w:sz w:val="24"/>
          <w:u w:val="none"/>
        </w:rPr>
        <w:t>会计师事务所营业执照和资质复印件。</w:t>
      </w:r>
    </w:p>
    <w:p w14:paraId="34410793">
      <w:pPr>
        <w:adjustRightInd w:val="0"/>
        <w:snapToGrid w:val="0"/>
        <w:spacing w:line="360" w:lineRule="auto"/>
        <w:ind w:firstLine="720" w:firstLineChars="300"/>
        <w:rPr>
          <w:rStyle w:val="10"/>
          <w:rFonts w:ascii="Arial Narrow" w:hAnsi="Arial Narrow" w:eastAsia="仿宋_GB2312"/>
          <w:color w:val="auto"/>
          <w:sz w:val="24"/>
          <w:u w:val="none"/>
        </w:rPr>
      </w:pPr>
    </w:p>
    <w:p w14:paraId="34118F81">
      <w:pPr>
        <w:adjustRightInd w:val="0"/>
        <w:snapToGrid w:val="0"/>
        <w:spacing w:line="360" w:lineRule="auto"/>
        <w:ind w:firstLine="720" w:firstLineChars="300"/>
        <w:rPr>
          <w:rStyle w:val="10"/>
          <w:rFonts w:ascii="Arial Narrow" w:hAnsi="Arial Narrow" w:eastAsia="仿宋_GB2312"/>
          <w:color w:val="auto"/>
          <w:sz w:val="24"/>
          <w:u w:val="none"/>
        </w:rPr>
      </w:pPr>
    </w:p>
    <w:p w14:paraId="7A834CB9">
      <w:pPr>
        <w:adjustRightInd w:val="0"/>
        <w:snapToGrid w:val="0"/>
        <w:spacing w:line="360" w:lineRule="auto"/>
        <w:ind w:firstLine="720" w:firstLineChars="300"/>
        <w:rPr>
          <w:rStyle w:val="10"/>
          <w:rFonts w:ascii="Arial Narrow" w:hAnsi="Arial Narrow" w:eastAsia="仿宋_GB2312"/>
          <w:color w:val="auto"/>
          <w:sz w:val="24"/>
          <w:u w:val="none"/>
        </w:rPr>
      </w:pPr>
    </w:p>
    <w:p w14:paraId="273361CD">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00F82435">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33" w:name="_GoBack"/>
      <w:bookmarkEnd w:id="33"/>
      <w:r>
        <w:rPr>
          <w:rStyle w:val="10"/>
          <w:rFonts w:hint="eastAsia" w:ascii="Arial Narrow" w:hAnsi="Arial Narrow" w:eastAsia="仿宋_GB2312"/>
          <w:color w:val="auto"/>
          <w:sz w:val="24"/>
          <w:u w:val="none"/>
        </w:rPr>
        <w:t>二四年六月二十八日</w:t>
      </w:r>
    </w:p>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314048DD-CEDE-4695-B04F-410F460C702C}"/>
  </w:font>
  <w:font w:name="Arial Narrow">
    <w:panose1 w:val="020B0606020202030204"/>
    <w:charset w:val="00"/>
    <w:family w:val="swiss"/>
    <w:pitch w:val="default"/>
    <w:sig w:usb0="00000287" w:usb1="00000800" w:usb2="00000000" w:usb3="00000000" w:csb0="2000009F" w:csb1="DFD70000"/>
    <w:embedRegular r:id="rId2" w:fontKey="{B1E02FA9-EBCA-4767-9A7B-F68E8B6EC8B8}"/>
  </w:font>
  <w:font w:name="仿宋_GB2312">
    <w:panose1 w:val="02010609030101010101"/>
    <w:charset w:val="86"/>
    <w:family w:val="modern"/>
    <w:pitch w:val="default"/>
    <w:sig w:usb0="00000001" w:usb1="080E0000" w:usb2="00000000" w:usb3="00000000" w:csb0="00040000" w:csb1="00000000"/>
    <w:embedRegular r:id="rId3" w:fontKey="{FF4D312F-2813-4E2B-8576-5DB3A965D040}"/>
  </w:font>
  <w:font w:name="仿宋">
    <w:panose1 w:val="02010609060101010101"/>
    <w:charset w:val="86"/>
    <w:family w:val="modern"/>
    <w:pitch w:val="default"/>
    <w:sig w:usb0="800002BF" w:usb1="38CF7CFA" w:usb2="00000016" w:usb3="00000000" w:csb0="00040001" w:csb1="00000000"/>
    <w:embedRegular r:id="rId4" w:fontKey="{959B04F9-4CB6-4BE9-A804-5FF5C428D9E2}"/>
  </w:font>
  <w:font w:name="楷体">
    <w:panose1 w:val="02010609060101010101"/>
    <w:charset w:val="86"/>
    <w:family w:val="modern"/>
    <w:pitch w:val="default"/>
    <w:sig w:usb0="800002BF" w:usb1="38CF7CFA" w:usb2="00000016" w:usb3="00000000" w:csb0="00040001" w:csb1="00000000"/>
    <w:embedRegular r:id="rId5" w:fontKey="{96303319-5C7E-42AF-9259-5EE5ADE543AF}"/>
  </w:font>
  <w:font w:name="MS Mincho">
    <w:panose1 w:val="02020609040205080304"/>
    <w:charset w:val="80"/>
    <w:family w:val="modern"/>
    <w:pitch w:val="default"/>
    <w:sig w:usb0="E00002FF" w:usb1="6AC7FDFB" w:usb2="00000012" w:usb3="00000000" w:csb0="4002009F" w:csb1="DFD70000"/>
    <w:embedRegular r:id="rId6" w:fontKey="{0A9C4216-16D4-4497-B860-9CDF8B8A146F}"/>
  </w:font>
  <w:font w:name="Segoe UI Symbol">
    <w:panose1 w:val="020B0502040204020203"/>
    <w:charset w:val="00"/>
    <w:family w:val="swiss"/>
    <w:pitch w:val="default"/>
    <w:sig w:usb0="8000006F" w:usb1="1200FBEF" w:usb2="0064C000" w:usb3="00000002" w:csb0="00000001" w:csb1="40000000"/>
    <w:embedRegular r:id="rId7" w:fontKey="{FEBF95E7-7E14-4E16-A142-E1265D405F5B}"/>
  </w:font>
  <w:font w:name="微软雅黑">
    <w:panose1 w:val="020B0503020204020204"/>
    <w:charset w:val="86"/>
    <w:family w:val="swiss"/>
    <w:pitch w:val="default"/>
    <w:sig w:usb0="80000287" w:usb1="280F3C52" w:usb2="00000016" w:usb3="00000000" w:csb0="0004001F" w:csb1="00000000"/>
    <w:embedRegular r:id="rId8" w:fontKey="{9C662B9B-ED5E-4603-A7EB-7E5A564572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E9427">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2A86A">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33900">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19F8"/>
    <w:rsid w:val="000209A3"/>
    <w:rsid w:val="00045A7C"/>
    <w:rsid w:val="00055BBF"/>
    <w:rsid w:val="00060BD2"/>
    <w:rsid w:val="00063E0B"/>
    <w:rsid w:val="00066D80"/>
    <w:rsid w:val="00070CE3"/>
    <w:rsid w:val="000769EE"/>
    <w:rsid w:val="00085F46"/>
    <w:rsid w:val="000933AE"/>
    <w:rsid w:val="00095A1B"/>
    <w:rsid w:val="000A7E50"/>
    <w:rsid w:val="000D1A3B"/>
    <w:rsid w:val="000D2E2A"/>
    <w:rsid w:val="000D4BED"/>
    <w:rsid w:val="000E4529"/>
    <w:rsid w:val="000E6A52"/>
    <w:rsid w:val="000F4A80"/>
    <w:rsid w:val="0010003E"/>
    <w:rsid w:val="00103B93"/>
    <w:rsid w:val="00104568"/>
    <w:rsid w:val="00143A99"/>
    <w:rsid w:val="00152152"/>
    <w:rsid w:val="00164C87"/>
    <w:rsid w:val="0018023A"/>
    <w:rsid w:val="00181875"/>
    <w:rsid w:val="001A42EB"/>
    <w:rsid w:val="001B25F9"/>
    <w:rsid w:val="001C6F32"/>
    <w:rsid w:val="001D6A69"/>
    <w:rsid w:val="001E0132"/>
    <w:rsid w:val="001F3624"/>
    <w:rsid w:val="001F3AC2"/>
    <w:rsid w:val="001F3F03"/>
    <w:rsid w:val="001F43AE"/>
    <w:rsid w:val="0020471F"/>
    <w:rsid w:val="00216472"/>
    <w:rsid w:val="00224D96"/>
    <w:rsid w:val="00226E7E"/>
    <w:rsid w:val="00230338"/>
    <w:rsid w:val="00242B52"/>
    <w:rsid w:val="002643B0"/>
    <w:rsid w:val="00266038"/>
    <w:rsid w:val="00270C27"/>
    <w:rsid w:val="00276D1C"/>
    <w:rsid w:val="00282997"/>
    <w:rsid w:val="002946CE"/>
    <w:rsid w:val="002C083D"/>
    <w:rsid w:val="002C36AE"/>
    <w:rsid w:val="002C5020"/>
    <w:rsid w:val="002C7EFA"/>
    <w:rsid w:val="002E16A4"/>
    <w:rsid w:val="002E20C1"/>
    <w:rsid w:val="002F7076"/>
    <w:rsid w:val="003026FC"/>
    <w:rsid w:val="00324E2F"/>
    <w:rsid w:val="00331DC5"/>
    <w:rsid w:val="0034480A"/>
    <w:rsid w:val="003605BE"/>
    <w:rsid w:val="0037066E"/>
    <w:rsid w:val="00384C3C"/>
    <w:rsid w:val="00385A38"/>
    <w:rsid w:val="0038704F"/>
    <w:rsid w:val="003879CE"/>
    <w:rsid w:val="00391E00"/>
    <w:rsid w:val="00395C15"/>
    <w:rsid w:val="003A00D8"/>
    <w:rsid w:val="003B0061"/>
    <w:rsid w:val="003B29F2"/>
    <w:rsid w:val="003B42BF"/>
    <w:rsid w:val="003E5714"/>
    <w:rsid w:val="003F1935"/>
    <w:rsid w:val="003F4318"/>
    <w:rsid w:val="003F71CF"/>
    <w:rsid w:val="003F7394"/>
    <w:rsid w:val="00411A19"/>
    <w:rsid w:val="00414A58"/>
    <w:rsid w:val="004158F8"/>
    <w:rsid w:val="004200C2"/>
    <w:rsid w:val="00420AA7"/>
    <w:rsid w:val="00421C71"/>
    <w:rsid w:val="00422A98"/>
    <w:rsid w:val="004444D8"/>
    <w:rsid w:val="004470B7"/>
    <w:rsid w:val="00470930"/>
    <w:rsid w:val="00495610"/>
    <w:rsid w:val="004B3129"/>
    <w:rsid w:val="004C05D9"/>
    <w:rsid w:val="004C1F3A"/>
    <w:rsid w:val="004C38B4"/>
    <w:rsid w:val="004D0882"/>
    <w:rsid w:val="004D1145"/>
    <w:rsid w:val="004D146B"/>
    <w:rsid w:val="004D2A6E"/>
    <w:rsid w:val="004E1DF9"/>
    <w:rsid w:val="004E487A"/>
    <w:rsid w:val="004E5E96"/>
    <w:rsid w:val="004E6833"/>
    <w:rsid w:val="004F0C1D"/>
    <w:rsid w:val="004F5A80"/>
    <w:rsid w:val="004F7A0F"/>
    <w:rsid w:val="00501A64"/>
    <w:rsid w:val="0051581F"/>
    <w:rsid w:val="00536985"/>
    <w:rsid w:val="00536E92"/>
    <w:rsid w:val="005557CE"/>
    <w:rsid w:val="0056376C"/>
    <w:rsid w:val="00572DD6"/>
    <w:rsid w:val="005733CB"/>
    <w:rsid w:val="00590BAE"/>
    <w:rsid w:val="00594E4E"/>
    <w:rsid w:val="005B3F07"/>
    <w:rsid w:val="005B7579"/>
    <w:rsid w:val="005C28DE"/>
    <w:rsid w:val="005C7459"/>
    <w:rsid w:val="005C7FFB"/>
    <w:rsid w:val="005E133F"/>
    <w:rsid w:val="005E7297"/>
    <w:rsid w:val="005F01BA"/>
    <w:rsid w:val="0061001E"/>
    <w:rsid w:val="0061417A"/>
    <w:rsid w:val="00645220"/>
    <w:rsid w:val="0065332B"/>
    <w:rsid w:val="00655510"/>
    <w:rsid w:val="006650FB"/>
    <w:rsid w:val="00674107"/>
    <w:rsid w:val="00677693"/>
    <w:rsid w:val="00685A5C"/>
    <w:rsid w:val="00694D8D"/>
    <w:rsid w:val="0069678B"/>
    <w:rsid w:val="00696ABA"/>
    <w:rsid w:val="006A58E0"/>
    <w:rsid w:val="006A6481"/>
    <w:rsid w:val="006B32A8"/>
    <w:rsid w:val="006C0B16"/>
    <w:rsid w:val="006D14F7"/>
    <w:rsid w:val="006D4646"/>
    <w:rsid w:val="006E1464"/>
    <w:rsid w:val="006E75D6"/>
    <w:rsid w:val="006E7DA1"/>
    <w:rsid w:val="006F7CBD"/>
    <w:rsid w:val="007047C4"/>
    <w:rsid w:val="007112C5"/>
    <w:rsid w:val="00715488"/>
    <w:rsid w:val="007154F4"/>
    <w:rsid w:val="0072565C"/>
    <w:rsid w:val="0073019B"/>
    <w:rsid w:val="00730A8E"/>
    <w:rsid w:val="00740E9D"/>
    <w:rsid w:val="00741402"/>
    <w:rsid w:val="007545D5"/>
    <w:rsid w:val="00766DE0"/>
    <w:rsid w:val="00773C4D"/>
    <w:rsid w:val="00776704"/>
    <w:rsid w:val="00782E61"/>
    <w:rsid w:val="007859EF"/>
    <w:rsid w:val="00790D96"/>
    <w:rsid w:val="007A03A0"/>
    <w:rsid w:val="007A6BE6"/>
    <w:rsid w:val="007B444A"/>
    <w:rsid w:val="007D5845"/>
    <w:rsid w:val="007E7CD8"/>
    <w:rsid w:val="007F13C4"/>
    <w:rsid w:val="00811920"/>
    <w:rsid w:val="0082149F"/>
    <w:rsid w:val="00827385"/>
    <w:rsid w:val="008309D9"/>
    <w:rsid w:val="0084063E"/>
    <w:rsid w:val="008414AC"/>
    <w:rsid w:val="00842151"/>
    <w:rsid w:val="00847FC7"/>
    <w:rsid w:val="00856815"/>
    <w:rsid w:val="008571D6"/>
    <w:rsid w:val="00866E17"/>
    <w:rsid w:val="008815FF"/>
    <w:rsid w:val="008952B1"/>
    <w:rsid w:val="008966D2"/>
    <w:rsid w:val="008A39BA"/>
    <w:rsid w:val="008B3197"/>
    <w:rsid w:val="008B4726"/>
    <w:rsid w:val="008B6E1B"/>
    <w:rsid w:val="008D4F7C"/>
    <w:rsid w:val="008E609D"/>
    <w:rsid w:val="008F151F"/>
    <w:rsid w:val="008F7C26"/>
    <w:rsid w:val="0090729E"/>
    <w:rsid w:val="00925EE4"/>
    <w:rsid w:val="009309C0"/>
    <w:rsid w:val="00931B7D"/>
    <w:rsid w:val="0093667D"/>
    <w:rsid w:val="00975515"/>
    <w:rsid w:val="009813B6"/>
    <w:rsid w:val="00983CB7"/>
    <w:rsid w:val="00992CAD"/>
    <w:rsid w:val="009957B8"/>
    <w:rsid w:val="0099666C"/>
    <w:rsid w:val="009B0AAF"/>
    <w:rsid w:val="009D1761"/>
    <w:rsid w:val="009E16CC"/>
    <w:rsid w:val="009F1C42"/>
    <w:rsid w:val="009F33B8"/>
    <w:rsid w:val="009F3AC7"/>
    <w:rsid w:val="00A066D6"/>
    <w:rsid w:val="00A07053"/>
    <w:rsid w:val="00A14650"/>
    <w:rsid w:val="00A16AE1"/>
    <w:rsid w:val="00A24CB4"/>
    <w:rsid w:val="00A337F5"/>
    <w:rsid w:val="00A3465C"/>
    <w:rsid w:val="00A352D4"/>
    <w:rsid w:val="00A5175E"/>
    <w:rsid w:val="00A64637"/>
    <w:rsid w:val="00A66897"/>
    <w:rsid w:val="00A76BDF"/>
    <w:rsid w:val="00A852FB"/>
    <w:rsid w:val="00A922C5"/>
    <w:rsid w:val="00A95CA5"/>
    <w:rsid w:val="00AB0D84"/>
    <w:rsid w:val="00AB0DCB"/>
    <w:rsid w:val="00AB5858"/>
    <w:rsid w:val="00AB77EC"/>
    <w:rsid w:val="00AC3880"/>
    <w:rsid w:val="00AC7D9A"/>
    <w:rsid w:val="00AD0284"/>
    <w:rsid w:val="00AE2391"/>
    <w:rsid w:val="00AE470F"/>
    <w:rsid w:val="00AE4851"/>
    <w:rsid w:val="00AF1CAC"/>
    <w:rsid w:val="00AF42C3"/>
    <w:rsid w:val="00AF58DD"/>
    <w:rsid w:val="00AF7001"/>
    <w:rsid w:val="00B01645"/>
    <w:rsid w:val="00B05194"/>
    <w:rsid w:val="00B134A6"/>
    <w:rsid w:val="00B1523A"/>
    <w:rsid w:val="00B20FF9"/>
    <w:rsid w:val="00B23959"/>
    <w:rsid w:val="00B25A79"/>
    <w:rsid w:val="00B3227D"/>
    <w:rsid w:val="00B35DE8"/>
    <w:rsid w:val="00B53584"/>
    <w:rsid w:val="00B6136F"/>
    <w:rsid w:val="00B7289F"/>
    <w:rsid w:val="00B9005A"/>
    <w:rsid w:val="00BA1D39"/>
    <w:rsid w:val="00BA212E"/>
    <w:rsid w:val="00BB3674"/>
    <w:rsid w:val="00BB4A6D"/>
    <w:rsid w:val="00BB5059"/>
    <w:rsid w:val="00BC2692"/>
    <w:rsid w:val="00BC4E0F"/>
    <w:rsid w:val="00BC7BED"/>
    <w:rsid w:val="00BD6FFD"/>
    <w:rsid w:val="00C02FB6"/>
    <w:rsid w:val="00C0442A"/>
    <w:rsid w:val="00C107C7"/>
    <w:rsid w:val="00C12443"/>
    <w:rsid w:val="00C143EF"/>
    <w:rsid w:val="00C27D62"/>
    <w:rsid w:val="00C35442"/>
    <w:rsid w:val="00C36A73"/>
    <w:rsid w:val="00C40056"/>
    <w:rsid w:val="00C4317D"/>
    <w:rsid w:val="00C47BFA"/>
    <w:rsid w:val="00C512D9"/>
    <w:rsid w:val="00C52772"/>
    <w:rsid w:val="00C60A62"/>
    <w:rsid w:val="00C614E2"/>
    <w:rsid w:val="00C736D5"/>
    <w:rsid w:val="00C74F58"/>
    <w:rsid w:val="00C76239"/>
    <w:rsid w:val="00C7723D"/>
    <w:rsid w:val="00C813D0"/>
    <w:rsid w:val="00CB4D1A"/>
    <w:rsid w:val="00CB54FB"/>
    <w:rsid w:val="00CC12B4"/>
    <w:rsid w:val="00CC5635"/>
    <w:rsid w:val="00CC769D"/>
    <w:rsid w:val="00CD14AA"/>
    <w:rsid w:val="00CD7F52"/>
    <w:rsid w:val="00CE1CB9"/>
    <w:rsid w:val="00D00126"/>
    <w:rsid w:val="00D0391C"/>
    <w:rsid w:val="00D10C38"/>
    <w:rsid w:val="00D1562E"/>
    <w:rsid w:val="00D17073"/>
    <w:rsid w:val="00D254D3"/>
    <w:rsid w:val="00D26E16"/>
    <w:rsid w:val="00D415D5"/>
    <w:rsid w:val="00D5064E"/>
    <w:rsid w:val="00D55970"/>
    <w:rsid w:val="00DA5FE5"/>
    <w:rsid w:val="00DB55F0"/>
    <w:rsid w:val="00DB61A1"/>
    <w:rsid w:val="00DC054F"/>
    <w:rsid w:val="00DC5FCB"/>
    <w:rsid w:val="00DD3F2D"/>
    <w:rsid w:val="00DE0DA8"/>
    <w:rsid w:val="00DE10FD"/>
    <w:rsid w:val="00DE1C77"/>
    <w:rsid w:val="00E065AA"/>
    <w:rsid w:val="00E06A21"/>
    <w:rsid w:val="00E110B2"/>
    <w:rsid w:val="00E16203"/>
    <w:rsid w:val="00E23D6E"/>
    <w:rsid w:val="00E27A95"/>
    <w:rsid w:val="00E31B9D"/>
    <w:rsid w:val="00E43191"/>
    <w:rsid w:val="00E47A16"/>
    <w:rsid w:val="00E53E50"/>
    <w:rsid w:val="00E66C12"/>
    <w:rsid w:val="00E709E2"/>
    <w:rsid w:val="00E7358E"/>
    <w:rsid w:val="00E80BDA"/>
    <w:rsid w:val="00E90FA8"/>
    <w:rsid w:val="00E964E2"/>
    <w:rsid w:val="00EA1C10"/>
    <w:rsid w:val="00EB38A4"/>
    <w:rsid w:val="00EB474C"/>
    <w:rsid w:val="00EC18D4"/>
    <w:rsid w:val="00ED0A8C"/>
    <w:rsid w:val="00ED5305"/>
    <w:rsid w:val="00EE0303"/>
    <w:rsid w:val="00EE1FC1"/>
    <w:rsid w:val="00EE229A"/>
    <w:rsid w:val="00EE3E9C"/>
    <w:rsid w:val="00F13B7F"/>
    <w:rsid w:val="00F215E3"/>
    <w:rsid w:val="00F249BB"/>
    <w:rsid w:val="00F36680"/>
    <w:rsid w:val="00F443AC"/>
    <w:rsid w:val="00F52E9E"/>
    <w:rsid w:val="00F54C3F"/>
    <w:rsid w:val="00F61D28"/>
    <w:rsid w:val="00F62E90"/>
    <w:rsid w:val="00F64D50"/>
    <w:rsid w:val="00F6551E"/>
    <w:rsid w:val="00F84DF0"/>
    <w:rsid w:val="00FA08BB"/>
    <w:rsid w:val="00FA6718"/>
    <w:rsid w:val="00FC592B"/>
    <w:rsid w:val="00FD1A79"/>
    <w:rsid w:val="00FD5031"/>
    <w:rsid w:val="00FD518E"/>
    <w:rsid w:val="00FD5F18"/>
    <w:rsid w:val="00FE1E65"/>
    <w:rsid w:val="00FE5705"/>
    <w:rsid w:val="00FF5AA5"/>
    <w:rsid w:val="02717C9D"/>
    <w:rsid w:val="087B1C1A"/>
    <w:rsid w:val="0C955D75"/>
    <w:rsid w:val="10FD0312"/>
    <w:rsid w:val="120E6874"/>
    <w:rsid w:val="26787E2B"/>
    <w:rsid w:val="270731DD"/>
    <w:rsid w:val="357129F4"/>
    <w:rsid w:val="371050B8"/>
    <w:rsid w:val="432D7E2A"/>
    <w:rsid w:val="43764891"/>
    <w:rsid w:val="45947F31"/>
    <w:rsid w:val="460C19D8"/>
    <w:rsid w:val="4DF1278B"/>
    <w:rsid w:val="60087B46"/>
    <w:rsid w:val="629B4EDD"/>
    <w:rsid w:val="6A940008"/>
    <w:rsid w:val="6C0B491D"/>
    <w:rsid w:val="742446FB"/>
    <w:rsid w:val="76714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12</Pages>
  <Words>8255</Words>
  <Characters>9501</Characters>
  <Lines>73</Lines>
  <Paragraphs>20</Paragraphs>
  <TotalTime>3</TotalTime>
  <ScaleCrop>false</ScaleCrop>
  <LinksUpToDate>false</LinksUpToDate>
  <CharactersWithSpaces>9561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2024-11-20T01:26:03Z</dcterms:modified>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