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B41C7">
      <w:pPr>
        <w:spacing w:line="360" w:lineRule="auto"/>
        <w:jc w:val="center"/>
        <w:rPr>
          <w:rFonts w:ascii="Arial Narrow" w:hAnsi="Arial Narrow"/>
          <w:b/>
          <w:bCs/>
          <w:sz w:val="36"/>
          <w:szCs w:val="36"/>
        </w:rPr>
      </w:pPr>
    </w:p>
    <w:p w14:paraId="2DED7B29">
      <w:pPr>
        <w:spacing w:line="360" w:lineRule="auto"/>
        <w:jc w:val="center"/>
        <w:rPr>
          <w:rFonts w:ascii="Arial Narrow" w:hAnsi="Arial Narrow"/>
          <w:b/>
          <w:bCs/>
          <w:sz w:val="36"/>
          <w:szCs w:val="36"/>
        </w:rPr>
      </w:pPr>
    </w:p>
    <w:p w14:paraId="760FB9A8">
      <w:pPr>
        <w:spacing w:line="360" w:lineRule="auto"/>
        <w:jc w:val="center"/>
        <w:rPr>
          <w:rFonts w:ascii="Arial Narrow" w:hAnsi="Arial Narrow"/>
          <w:b/>
          <w:bCs/>
          <w:sz w:val="36"/>
          <w:szCs w:val="36"/>
        </w:rPr>
      </w:pPr>
    </w:p>
    <w:p w14:paraId="2044C4D7">
      <w:pPr>
        <w:spacing w:line="360" w:lineRule="auto"/>
        <w:jc w:val="center"/>
        <w:rPr>
          <w:rFonts w:ascii="Arial Narrow" w:hAnsi="Arial Narrow"/>
          <w:b/>
          <w:bCs/>
          <w:sz w:val="36"/>
          <w:szCs w:val="36"/>
        </w:rPr>
      </w:pPr>
    </w:p>
    <w:p w14:paraId="0416AC66">
      <w:pPr>
        <w:adjustRightInd w:val="0"/>
        <w:snapToGrid w:val="0"/>
        <w:spacing w:line="360" w:lineRule="auto"/>
        <w:jc w:val="center"/>
        <w:rPr>
          <w:rFonts w:hint="eastAsia" w:ascii="Arial Narrow" w:hAnsi="Arial Narrow" w:eastAsia="仿宋"/>
          <w:b/>
          <w:sz w:val="32"/>
          <w:szCs w:val="32"/>
        </w:rPr>
      </w:pPr>
      <w:r>
        <w:rPr>
          <w:rFonts w:hint="eastAsia" w:ascii="Arial Narrow" w:hAnsi="Arial Narrow" w:eastAsia="仿宋"/>
          <w:b/>
          <w:sz w:val="32"/>
          <w:szCs w:val="32"/>
        </w:rPr>
        <w:t>重庆市铜梁区</w:t>
      </w:r>
      <w:r>
        <w:rPr>
          <w:rFonts w:hint="eastAsia" w:ascii="Arial Narrow" w:hAnsi="Arial Narrow" w:eastAsia="仿宋"/>
          <w:b/>
          <w:sz w:val="32"/>
          <w:szCs w:val="32"/>
          <w:lang w:val="en-US" w:eastAsia="zh-CN"/>
        </w:rPr>
        <w:t>侣俸镇花椒基地基础设施建设</w:t>
      </w:r>
      <w:r>
        <w:rPr>
          <w:rFonts w:hint="eastAsia" w:ascii="Arial Narrow" w:hAnsi="Arial Narrow" w:eastAsia="仿宋"/>
          <w:b/>
          <w:sz w:val="32"/>
          <w:szCs w:val="32"/>
        </w:rPr>
        <w:t>项目等</w:t>
      </w:r>
      <w:r>
        <w:rPr>
          <w:rFonts w:hint="eastAsia" w:ascii="Arial Narrow" w:hAnsi="Arial Narrow" w:eastAsia="仿宋"/>
          <w:b/>
          <w:sz w:val="32"/>
          <w:szCs w:val="32"/>
          <w:lang w:val="en-US" w:eastAsia="zh-CN"/>
        </w:rPr>
        <w:t>3</w:t>
      </w:r>
      <w:r>
        <w:rPr>
          <w:rFonts w:hint="eastAsia" w:ascii="Arial Narrow" w:hAnsi="Arial Narrow" w:eastAsia="仿宋"/>
          <w:b/>
          <w:sz w:val="32"/>
          <w:szCs w:val="32"/>
        </w:rPr>
        <w:t>个项目</w:t>
      </w:r>
    </w:p>
    <w:p w14:paraId="5AB8EEFC">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2"/>
          <w:szCs w:val="32"/>
        </w:rPr>
        <w:t>财政专项衔接资金</w:t>
      </w:r>
    </w:p>
    <w:p w14:paraId="0C56E5C2">
      <w:pPr>
        <w:adjustRightInd w:val="0"/>
        <w:snapToGrid w:val="0"/>
        <w:spacing w:line="360" w:lineRule="auto"/>
        <w:jc w:val="center"/>
        <w:rPr>
          <w:rFonts w:ascii="Arial Narrow" w:hAnsi="Arial Narrow"/>
          <w:b/>
          <w:sz w:val="36"/>
          <w:szCs w:val="36"/>
        </w:rPr>
      </w:pPr>
    </w:p>
    <w:p w14:paraId="18F7EEEF">
      <w:pPr>
        <w:adjustRightInd w:val="0"/>
        <w:snapToGrid w:val="0"/>
        <w:spacing w:line="360" w:lineRule="auto"/>
        <w:jc w:val="center"/>
        <w:rPr>
          <w:rFonts w:ascii="Arial Narrow" w:hAnsi="Arial Narrow"/>
          <w:b/>
          <w:spacing w:val="100"/>
          <w:sz w:val="32"/>
          <w:szCs w:val="32"/>
        </w:rPr>
      </w:pPr>
    </w:p>
    <w:p w14:paraId="060D55AD">
      <w:pPr>
        <w:adjustRightInd w:val="0"/>
        <w:snapToGrid w:val="0"/>
        <w:spacing w:line="360" w:lineRule="auto"/>
        <w:jc w:val="center"/>
        <w:rPr>
          <w:rFonts w:ascii="Arial Narrow" w:hAnsi="Arial Narrow"/>
          <w:b/>
          <w:spacing w:val="100"/>
          <w:sz w:val="32"/>
          <w:szCs w:val="32"/>
        </w:rPr>
      </w:pPr>
    </w:p>
    <w:p w14:paraId="61A615ED">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1A712DBA">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045</w:t>
      </w:r>
      <w:r>
        <w:rPr>
          <w:rFonts w:ascii="Arial Narrow" w:hAnsi="Arial Narrow" w:eastAsia="仿宋"/>
          <w:bCs/>
          <w:sz w:val="32"/>
          <w:szCs w:val="32"/>
        </w:rPr>
        <w:t>号</w:t>
      </w:r>
    </w:p>
    <w:p w14:paraId="36D77646">
      <w:pPr>
        <w:adjustRightInd w:val="0"/>
        <w:snapToGrid w:val="0"/>
        <w:spacing w:line="360" w:lineRule="auto"/>
        <w:jc w:val="center"/>
        <w:rPr>
          <w:rFonts w:ascii="Arial Narrow" w:hAnsi="Arial Narrow"/>
          <w:b/>
          <w:spacing w:val="100"/>
          <w:sz w:val="32"/>
          <w:szCs w:val="32"/>
        </w:rPr>
      </w:pPr>
    </w:p>
    <w:p w14:paraId="7F2954DF">
      <w:pPr>
        <w:adjustRightInd w:val="0"/>
        <w:snapToGrid w:val="0"/>
        <w:spacing w:line="360" w:lineRule="auto"/>
        <w:jc w:val="center"/>
        <w:rPr>
          <w:rFonts w:ascii="Arial Narrow" w:hAnsi="Arial Narrow"/>
          <w:b/>
          <w:spacing w:val="100"/>
          <w:sz w:val="32"/>
          <w:szCs w:val="32"/>
        </w:rPr>
      </w:pPr>
    </w:p>
    <w:p w14:paraId="24108A0E">
      <w:pPr>
        <w:adjustRightInd w:val="0"/>
        <w:snapToGrid w:val="0"/>
        <w:spacing w:line="360" w:lineRule="auto"/>
        <w:jc w:val="center"/>
        <w:rPr>
          <w:rFonts w:ascii="Arial Narrow" w:hAnsi="Arial Narrow"/>
          <w:b/>
          <w:spacing w:val="100"/>
          <w:sz w:val="32"/>
          <w:szCs w:val="32"/>
        </w:rPr>
      </w:pPr>
    </w:p>
    <w:p w14:paraId="6777D6C3">
      <w:pPr>
        <w:adjustRightInd w:val="0"/>
        <w:snapToGrid w:val="0"/>
        <w:spacing w:line="360" w:lineRule="auto"/>
        <w:jc w:val="center"/>
        <w:rPr>
          <w:rFonts w:ascii="Arial Narrow" w:hAnsi="Arial Narrow"/>
          <w:b/>
          <w:spacing w:val="100"/>
          <w:sz w:val="32"/>
          <w:szCs w:val="32"/>
        </w:rPr>
      </w:pPr>
    </w:p>
    <w:p w14:paraId="059536D1">
      <w:pPr>
        <w:adjustRightInd w:val="0"/>
        <w:snapToGrid w:val="0"/>
        <w:spacing w:line="360" w:lineRule="auto"/>
        <w:jc w:val="center"/>
        <w:rPr>
          <w:rFonts w:ascii="Arial Narrow" w:hAnsi="Arial Narrow"/>
          <w:b/>
          <w:spacing w:val="100"/>
          <w:sz w:val="32"/>
          <w:szCs w:val="32"/>
        </w:rPr>
      </w:pPr>
    </w:p>
    <w:p w14:paraId="3B658885">
      <w:pPr>
        <w:adjustRightInd w:val="0"/>
        <w:snapToGrid w:val="0"/>
        <w:spacing w:line="360" w:lineRule="auto"/>
        <w:jc w:val="center"/>
        <w:rPr>
          <w:rFonts w:ascii="Arial Narrow" w:hAnsi="Arial Narrow"/>
          <w:b/>
          <w:spacing w:val="100"/>
          <w:sz w:val="32"/>
          <w:szCs w:val="32"/>
        </w:rPr>
      </w:pPr>
    </w:p>
    <w:p w14:paraId="2E3AD93C">
      <w:pPr>
        <w:adjustRightInd w:val="0"/>
        <w:snapToGrid w:val="0"/>
        <w:spacing w:line="360" w:lineRule="auto"/>
        <w:jc w:val="center"/>
        <w:rPr>
          <w:rFonts w:ascii="Arial Narrow" w:hAnsi="Arial Narrow"/>
          <w:b/>
          <w:spacing w:val="100"/>
          <w:sz w:val="32"/>
          <w:szCs w:val="32"/>
        </w:rPr>
      </w:pPr>
    </w:p>
    <w:p w14:paraId="0A002453">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lang w:val="en-US" w:eastAsia="zh-CN"/>
        </w:rPr>
        <w:t>责任</w:t>
      </w:r>
      <w:r>
        <w:rPr>
          <w:rFonts w:ascii="Arial Narrow" w:hAnsi="Arial Narrow" w:eastAsia="仿宋"/>
          <w:sz w:val="32"/>
          <w:szCs w:val="32"/>
        </w:rPr>
        <w:t>公司</w:t>
      </w:r>
    </w:p>
    <w:p w14:paraId="10743587">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5E9D7AFA">
      <w:pPr>
        <w:spacing w:line="360" w:lineRule="auto"/>
        <w:jc w:val="center"/>
        <w:rPr>
          <w:rFonts w:ascii="Arial Narrow" w:hAnsi="Arial Narrow"/>
          <w:sz w:val="24"/>
        </w:rPr>
      </w:pPr>
    </w:p>
    <w:p w14:paraId="3AA19298">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2408666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49C450C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fldChar w:fldCharType="begin"/>
      </w:r>
      <w:r>
        <w:instrText xml:space="preserve"> PAGEREF _Toc169624360 \h </w:instrText>
      </w:r>
      <w:r>
        <w:fldChar w:fldCharType="separate"/>
      </w:r>
      <w:r>
        <w:t>2</w:t>
      </w:r>
      <w:r>
        <w:fldChar w:fldCharType="end"/>
      </w:r>
      <w:r>
        <w:fldChar w:fldCharType="end"/>
      </w:r>
    </w:p>
    <w:p w14:paraId="273C1D0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fldChar w:fldCharType="begin"/>
      </w:r>
      <w:r>
        <w:instrText xml:space="preserve"> PAGEREF _Toc169624361 \h </w:instrText>
      </w:r>
      <w:r>
        <w:fldChar w:fldCharType="separate"/>
      </w:r>
      <w:r>
        <w:t>2</w:t>
      </w:r>
      <w:r>
        <w:fldChar w:fldCharType="end"/>
      </w:r>
      <w:r>
        <w:fldChar w:fldCharType="end"/>
      </w:r>
    </w:p>
    <w:p w14:paraId="3562BFC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fldChar w:fldCharType="begin"/>
      </w:r>
      <w:r>
        <w:instrText xml:space="preserve"> PAGEREF _Toc169624362 \h </w:instrText>
      </w:r>
      <w:r>
        <w:fldChar w:fldCharType="separate"/>
      </w:r>
      <w:r>
        <w:t>2</w:t>
      </w:r>
      <w:r>
        <w:fldChar w:fldCharType="end"/>
      </w:r>
      <w:r>
        <w:fldChar w:fldCharType="end"/>
      </w:r>
    </w:p>
    <w:p w14:paraId="0327340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fldChar w:fldCharType="begin"/>
      </w:r>
      <w:r>
        <w:instrText xml:space="preserve"> PAGEREF _Toc169624363 \h </w:instrText>
      </w:r>
      <w:r>
        <w:fldChar w:fldCharType="separate"/>
      </w:r>
      <w:r>
        <w:t>2</w:t>
      </w:r>
      <w:r>
        <w:fldChar w:fldCharType="end"/>
      </w:r>
      <w:r>
        <w:fldChar w:fldCharType="end"/>
      </w:r>
    </w:p>
    <w:p w14:paraId="6B67435A">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fldChar w:fldCharType="begin"/>
      </w:r>
      <w:r>
        <w:instrText xml:space="preserve"> PAGEREF _Toc169624364 \h </w:instrText>
      </w:r>
      <w:r>
        <w:fldChar w:fldCharType="separate"/>
      </w:r>
      <w:r>
        <w:t>3</w:t>
      </w:r>
      <w:r>
        <w:fldChar w:fldCharType="end"/>
      </w:r>
      <w:r>
        <w:fldChar w:fldCharType="end"/>
      </w:r>
    </w:p>
    <w:p w14:paraId="0CFACD9B">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fldChar w:fldCharType="begin"/>
      </w:r>
      <w:r>
        <w:instrText xml:space="preserve"> PAGEREF _Toc169624365 \h </w:instrText>
      </w:r>
      <w:r>
        <w:fldChar w:fldCharType="separate"/>
      </w:r>
      <w:r>
        <w:t>5</w:t>
      </w:r>
      <w:r>
        <w:fldChar w:fldCharType="end"/>
      </w:r>
      <w:r>
        <w:fldChar w:fldCharType="end"/>
      </w:r>
    </w:p>
    <w:p w14:paraId="5586CFF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fldChar w:fldCharType="begin"/>
      </w:r>
      <w:r>
        <w:instrText xml:space="preserve"> PAGEREF _Toc169624366 \h </w:instrText>
      </w:r>
      <w:r>
        <w:fldChar w:fldCharType="separate"/>
      </w:r>
      <w:r>
        <w:t>6</w:t>
      </w:r>
      <w:r>
        <w:fldChar w:fldCharType="end"/>
      </w:r>
      <w:r>
        <w:fldChar w:fldCharType="end"/>
      </w:r>
    </w:p>
    <w:p w14:paraId="49F98D9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fldChar w:fldCharType="begin"/>
      </w:r>
      <w:r>
        <w:instrText xml:space="preserve"> PAGEREF _Toc169624367 \h </w:instrText>
      </w:r>
      <w:r>
        <w:fldChar w:fldCharType="separate"/>
      </w:r>
      <w:r>
        <w:t>6</w:t>
      </w:r>
      <w:r>
        <w:fldChar w:fldCharType="end"/>
      </w:r>
      <w:r>
        <w:fldChar w:fldCharType="end"/>
      </w:r>
    </w:p>
    <w:p w14:paraId="67BDB19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Pr>
        <w:t>四、综合评价情况</w:t>
      </w:r>
      <w:r>
        <w:tab/>
      </w:r>
      <w:r>
        <w:fldChar w:fldCharType="begin"/>
      </w:r>
      <w:r>
        <w:instrText xml:space="preserve"> PAGEREF _Toc169624368 \h </w:instrText>
      </w:r>
      <w:r>
        <w:fldChar w:fldCharType="separate"/>
      </w:r>
      <w:r>
        <w:t>6</w:t>
      </w:r>
      <w:r>
        <w:fldChar w:fldCharType="end"/>
      </w:r>
      <w:r>
        <w:fldChar w:fldCharType="end"/>
      </w:r>
    </w:p>
    <w:p w14:paraId="52CC796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fldChar w:fldCharType="begin"/>
      </w:r>
      <w:r>
        <w:instrText xml:space="preserve"> PAGEREF _Toc169624369 \h </w:instrText>
      </w:r>
      <w:r>
        <w:fldChar w:fldCharType="separate"/>
      </w:r>
      <w:r>
        <w:t>6</w:t>
      </w:r>
      <w:r>
        <w:fldChar w:fldCharType="end"/>
      </w:r>
      <w:r>
        <w:fldChar w:fldCharType="end"/>
      </w:r>
    </w:p>
    <w:p w14:paraId="2BBB8E68">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fldChar w:fldCharType="begin"/>
      </w:r>
      <w:r>
        <w:instrText xml:space="preserve"> PAGEREF _Toc169624370 \h </w:instrText>
      </w:r>
      <w:r>
        <w:fldChar w:fldCharType="separate"/>
      </w:r>
      <w:r>
        <w:t>7</w:t>
      </w:r>
      <w:r>
        <w:fldChar w:fldCharType="end"/>
      </w:r>
      <w:r>
        <w:fldChar w:fldCharType="end"/>
      </w:r>
    </w:p>
    <w:p w14:paraId="68248EF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"_Toc169624371" </w:instrText>
      </w:r>
      <w:r>
        <w:fldChar w:fldCharType="separate"/>
      </w:r>
      <w:r>
        <w:rPr>
          <w:rStyle w:val="10"/>
          <w:rFonts w:ascii="仿宋_GB2312"/>
        </w:rPr>
        <w:t>（三）项目管理</w:t>
      </w:r>
      <w:r>
        <w:tab/>
      </w:r>
      <w:r>
        <w:fldChar w:fldCharType="begin"/>
      </w:r>
      <w:r>
        <w:instrText xml:space="preserve"> PAGEREF _Toc169624371 \h </w:instrText>
      </w:r>
      <w:r>
        <w:fldChar w:fldCharType="separate"/>
      </w:r>
      <w:r>
        <w:t>7</w:t>
      </w:r>
      <w:r>
        <w:fldChar w:fldCharType="end"/>
      </w:r>
      <w:r>
        <w:fldChar w:fldCharType="end"/>
      </w:r>
    </w:p>
    <w:p w14:paraId="01370ED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fldChar w:fldCharType="begin"/>
      </w:r>
      <w:r>
        <w:instrText xml:space="preserve"> PAGEREF _Toc169624372 \h </w:instrText>
      </w:r>
      <w:r>
        <w:fldChar w:fldCharType="separate"/>
      </w:r>
      <w:r>
        <w:t>8</w:t>
      </w:r>
      <w:r>
        <w:fldChar w:fldCharType="end"/>
      </w:r>
      <w:r>
        <w:fldChar w:fldCharType="end"/>
      </w:r>
    </w:p>
    <w:p w14:paraId="53CF5E9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fldChar w:fldCharType="begin"/>
      </w:r>
      <w:r>
        <w:instrText xml:space="preserve"> PAGEREF _Toc169624373 \h </w:instrText>
      </w:r>
      <w:r>
        <w:fldChar w:fldCharType="separate"/>
      </w:r>
      <w:r>
        <w:t>8</w:t>
      </w:r>
      <w:r>
        <w:fldChar w:fldCharType="end"/>
      </w:r>
      <w:r>
        <w:fldChar w:fldCharType="end"/>
      </w:r>
    </w:p>
    <w:p w14:paraId="39BA6BAD">
      <w:pPr>
        <w:pStyle w:val="12"/>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4152D46A">
      <w:pPr>
        <w:spacing w:line="360" w:lineRule="auto"/>
        <w:jc w:val="right"/>
        <w:rPr>
          <w:rFonts w:ascii="Arial Narrow" w:hAnsi="Arial Narrow"/>
          <w:bCs/>
          <w:w w:val="80"/>
          <w:sz w:val="28"/>
          <w:szCs w:val="28"/>
        </w:rPr>
      </w:pPr>
    </w:p>
    <w:p w14:paraId="0F3143E7">
      <w:pPr>
        <w:spacing w:line="360" w:lineRule="auto"/>
        <w:jc w:val="right"/>
        <w:rPr>
          <w:rFonts w:ascii="Arial Narrow" w:hAnsi="Arial Narrow"/>
          <w:bCs/>
          <w:w w:val="80"/>
          <w:sz w:val="28"/>
          <w:szCs w:val="28"/>
        </w:rPr>
      </w:pPr>
    </w:p>
    <w:p w14:paraId="484C211F">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2ACC8F75">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16F0C321">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045</w:t>
      </w:r>
      <w:r>
        <w:rPr>
          <w:rFonts w:hint="eastAsia" w:ascii="Arial Narrow" w:hAnsi="Arial Narrow" w:eastAsia="仿宋_GB2312"/>
          <w:sz w:val="28"/>
          <w:szCs w:val="28"/>
        </w:rPr>
        <w:t>号</w:t>
      </w:r>
    </w:p>
    <w:p w14:paraId="4BE0F0B3">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03D2C06F">
      <w:pPr>
        <w:adjustRightInd w:val="0"/>
        <w:snapToGrid w:val="0"/>
        <w:spacing w:line="360" w:lineRule="auto"/>
        <w:jc w:val="center"/>
        <w:rPr>
          <w:rStyle w:val="10"/>
          <w:rFonts w:hint="default" w:ascii="Arial Narrow" w:hAnsi="Arial Narrow" w:eastAsia="仿宋"/>
          <w:b/>
          <w:color w:val="auto"/>
          <w:sz w:val="36"/>
          <w:szCs w:val="36"/>
          <w:u w:val="none"/>
          <w:lang w:val="en-US" w:eastAsia="zh-CN"/>
        </w:rPr>
      </w:pPr>
      <w:r>
        <w:rPr>
          <w:rFonts w:hint="eastAsia" w:ascii="Arial Narrow" w:hAnsi="Arial Narrow" w:eastAsia="仿宋"/>
          <w:b/>
          <w:sz w:val="36"/>
          <w:szCs w:val="36"/>
        </w:rPr>
        <w:t>重庆市铜梁区</w:t>
      </w:r>
      <w:r>
        <w:rPr>
          <w:rFonts w:hint="eastAsia" w:ascii="Arial Narrow" w:hAnsi="Arial Narrow" w:eastAsia="仿宋"/>
          <w:b/>
          <w:sz w:val="36"/>
          <w:szCs w:val="36"/>
          <w:lang w:val="en-US" w:eastAsia="zh-CN"/>
        </w:rPr>
        <w:t>侣俸镇花椒基地基础设施建设</w:t>
      </w:r>
      <w:r>
        <w:rPr>
          <w:rFonts w:hint="eastAsia" w:ascii="Arial Narrow" w:hAnsi="Arial Narrow" w:eastAsia="仿宋"/>
          <w:b/>
          <w:sz w:val="36"/>
          <w:szCs w:val="36"/>
        </w:rPr>
        <w:t>项目</w:t>
      </w:r>
      <w:r>
        <w:rPr>
          <w:rFonts w:hint="eastAsia" w:ascii="Arial Narrow" w:hAnsi="Arial Narrow" w:eastAsia="仿宋"/>
          <w:b/>
          <w:sz w:val="36"/>
          <w:szCs w:val="36"/>
          <w:lang w:val="en-US" w:eastAsia="zh-CN"/>
        </w:rPr>
        <w:t>等3个项目</w:t>
      </w:r>
    </w:p>
    <w:p w14:paraId="6A02D75E">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7D076F28">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w:t>
      </w:r>
      <w:r>
        <w:rPr>
          <w:rFonts w:hint="eastAsia" w:ascii="Arial Narrow" w:hAnsi="Arial Narrow" w:eastAsia="仿宋_GB2312"/>
          <w:color w:val="auto"/>
          <w:lang w:val="en-US" w:eastAsia="zh-CN"/>
        </w:rPr>
        <w:t>侣俸镇</w:t>
      </w:r>
      <w:r>
        <w:rPr>
          <w:rFonts w:hint="eastAsia" w:ascii="Arial Narrow" w:hAnsi="Arial Narrow" w:eastAsia="仿宋_GB2312"/>
          <w:color w:val="auto"/>
        </w:rPr>
        <w:t>（</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lang w:val="en-US" w:eastAsia="zh-CN"/>
        </w:rPr>
        <w:t>侣俸镇”</w:t>
      </w:r>
      <w:r>
        <w:rPr>
          <w:rFonts w:hint="eastAsia" w:ascii="Arial Narrow" w:hAnsi="Arial Narrow" w:eastAsia="仿宋_GB2312"/>
          <w:color w:val="auto"/>
        </w:rPr>
        <w:t>）</w:t>
      </w:r>
      <w:r>
        <w:rPr>
          <w:rFonts w:hint="eastAsia" w:ascii="Arial Narrow" w:hAnsi="Arial Narrow" w:eastAsia="仿宋_GB2312"/>
          <w:color w:val="auto"/>
          <w:lang w:val="en-US" w:eastAsia="zh-CN"/>
        </w:rPr>
        <w:t>花椒基地基础设施建设</w:t>
      </w:r>
      <w:r>
        <w:rPr>
          <w:rFonts w:hint="eastAsia" w:ascii="Arial Narrow" w:hAnsi="Arial Narrow" w:eastAsia="仿宋_GB2312"/>
          <w:color w:val="auto"/>
        </w:rPr>
        <w:t>项目</w:t>
      </w:r>
      <w:r>
        <w:rPr>
          <w:rFonts w:hint="eastAsia" w:ascii="Arial Narrow" w:hAnsi="Arial Narrow" w:eastAsia="仿宋_GB2312"/>
          <w:color w:val="auto"/>
          <w:lang w:val="en-US" w:eastAsia="zh-CN"/>
        </w:rPr>
        <w:t>等3个项目</w:t>
      </w:r>
      <w:r>
        <w:rPr>
          <w:rFonts w:ascii="Arial Narrow" w:hAnsi="Arial Narrow" w:eastAsia="仿宋_GB2312"/>
          <w:color w:val="auto"/>
        </w:rPr>
        <w:t>进行绩效评价，现将评价情况报告如下：</w:t>
      </w:r>
    </w:p>
    <w:p w14:paraId="1236F63F">
      <w:pPr>
        <w:spacing w:before="240" w:beforeLines="100" w:line="360" w:lineRule="auto"/>
        <w:ind w:firstLine="482" w:firstLineChars="200"/>
        <w:jc w:val="left"/>
        <w:outlineLvl w:val="0"/>
        <w:rPr>
          <w:rFonts w:ascii="Arial Narrow" w:hAnsi="Arial Narrow" w:eastAsia="仿宋_GB2312"/>
          <w:b/>
          <w:sz w:val="24"/>
        </w:rPr>
      </w:pPr>
      <w:bookmarkStart w:id="3" w:name="_Toc169624358"/>
      <w:r>
        <w:rPr>
          <w:rFonts w:ascii="Arial Narrow" w:hAnsi="Arial Narrow" w:eastAsia="仿宋_GB2312"/>
          <w:b/>
          <w:sz w:val="24"/>
        </w:rPr>
        <w:t>一、基本情况</w:t>
      </w:r>
      <w:bookmarkEnd w:id="3"/>
    </w:p>
    <w:p w14:paraId="3CBD66EC">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69624359"/>
      <w:r>
        <w:rPr>
          <w:rFonts w:hint="eastAsia" w:ascii="Arial Narrow" w:hAnsi="Arial Narrow" w:eastAsia="仿宋" w:cs="宋体"/>
          <w:b/>
          <w:bCs/>
          <w:kern w:val="0"/>
          <w:sz w:val="24"/>
        </w:rPr>
        <w:t>（一）项目情况</w:t>
      </w:r>
      <w:bookmarkEnd w:id="4"/>
    </w:p>
    <w:p w14:paraId="372ECD23">
      <w:pPr>
        <w:spacing w:line="360" w:lineRule="auto"/>
        <w:ind w:firstLine="480" w:firstLineChars="200"/>
        <w:rPr>
          <w:rFonts w:hint="eastAsia" w:ascii="Arial Narrow" w:hAnsi="Arial Narrow" w:eastAsia="仿宋_GB2312" w:cs="宋体"/>
          <w:kern w:val="0"/>
          <w:sz w:val="24"/>
        </w:rPr>
      </w:pPr>
      <w:r>
        <w:rPr>
          <w:rFonts w:hint="eastAsia" w:ascii="Arial Narrow" w:hAnsi="Arial Narrow" w:eastAsia="仿宋_GB2312" w:cs="宋体"/>
          <w:kern w:val="0"/>
          <w:sz w:val="24"/>
        </w:rPr>
        <w:t>1</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lang w:val="en-US" w:eastAsia="zh-CN"/>
        </w:rPr>
        <w:t>花椒基地基础设施建设</w:t>
      </w:r>
      <w:r>
        <w:rPr>
          <w:rFonts w:hint="eastAsia" w:ascii="Arial Narrow" w:hAnsi="Arial Narrow" w:eastAsia="仿宋_GB2312" w:cs="宋体"/>
          <w:kern w:val="0"/>
          <w:sz w:val="24"/>
        </w:rPr>
        <w:t>项目</w:t>
      </w:r>
    </w:p>
    <w:p w14:paraId="3A358922">
      <w:pPr>
        <w:spacing w:line="360" w:lineRule="auto"/>
        <w:ind w:firstLine="480" w:firstLineChars="200"/>
        <w:rPr>
          <w:rFonts w:hint="eastAsia" w:ascii="Arial Narrow" w:hAnsi="Arial Narrow" w:eastAsia="仿宋_GB2312" w:cs="宋体"/>
          <w:kern w:val="0"/>
          <w:sz w:val="24"/>
        </w:rPr>
      </w:pPr>
      <w:r>
        <w:rPr>
          <w:rFonts w:hint="eastAsia" w:ascii="Arial Narrow" w:hAnsi="Arial Narrow" w:eastAsia="仿宋_GB2312" w:cs="宋体"/>
          <w:kern w:val="0"/>
          <w:sz w:val="24"/>
        </w:rPr>
        <w:t>实施单位：铜梁区侣俸镇凤飞村股份经济合作联合社</w:t>
      </w:r>
    </w:p>
    <w:p w14:paraId="16C110C6">
      <w:p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项目内容：</w:t>
      </w:r>
      <w:r>
        <w:rPr>
          <w:rFonts w:hint="eastAsia" w:ascii="Arial Narrow" w:hAnsi="Arial Narrow" w:eastAsia="仿宋_GB2312" w:cs="宋体"/>
          <w:kern w:val="0"/>
          <w:sz w:val="24"/>
          <w:lang w:val="en-US" w:eastAsia="zh-CN"/>
        </w:rPr>
        <w:t>新建</w:t>
      </w:r>
      <w:r>
        <w:rPr>
          <w:rFonts w:hint="eastAsia" w:ascii="Arial Narrow" w:hAnsi="Arial Narrow" w:eastAsia="仿宋_GB2312" w:cs="宋体"/>
          <w:kern w:val="0"/>
          <w:sz w:val="24"/>
        </w:rPr>
        <w:t>200m3蓄水池2座、150m3蓄水池1座、100m3蓄水池1座、新建泵房1座、提水装置1套、给水管PE100 DN110 525米、给水管PE100 DN50 3500米等</w:t>
      </w:r>
      <w:r>
        <w:rPr>
          <w:rFonts w:hint="eastAsia" w:ascii="Arial Narrow" w:hAnsi="Arial Narrow" w:eastAsia="仿宋_GB2312" w:cs="宋体"/>
          <w:kern w:val="0"/>
          <w:sz w:val="24"/>
          <w:lang w:val="en-US" w:eastAsia="zh-CN"/>
        </w:rPr>
        <w:t>项目内容。</w:t>
      </w:r>
    </w:p>
    <w:p w14:paraId="355AF146">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项目资金安排情况：该项目2023年计划投入</w:t>
      </w:r>
      <w:r>
        <w:rPr>
          <w:rFonts w:hint="eastAsia" w:ascii="Arial Narrow" w:hAnsi="Arial Narrow" w:eastAsia="仿宋_GB2312" w:cs="宋体"/>
          <w:kern w:val="0"/>
          <w:sz w:val="24"/>
          <w:highlight w:val="none"/>
          <w:lang w:val="en-US" w:eastAsia="zh-CN"/>
        </w:rPr>
        <w:t>50</w:t>
      </w:r>
      <w:r>
        <w:rPr>
          <w:rFonts w:hint="eastAsia" w:ascii="Arial Narrow" w:hAnsi="Arial Narrow" w:eastAsia="仿宋_GB2312" w:cs="宋体"/>
          <w:kern w:val="0"/>
          <w:sz w:val="24"/>
          <w:highlight w:val="none"/>
        </w:rPr>
        <w:t>万元，实际投入</w:t>
      </w:r>
      <w:r>
        <w:rPr>
          <w:rFonts w:hint="eastAsia" w:ascii="Arial Narrow" w:hAnsi="Arial Narrow" w:eastAsia="仿宋_GB2312" w:cs="宋体"/>
          <w:kern w:val="0"/>
          <w:sz w:val="24"/>
          <w:highlight w:val="none"/>
          <w:lang w:val="en-US" w:eastAsia="zh-CN"/>
        </w:rPr>
        <w:t>50</w:t>
      </w:r>
      <w:r>
        <w:rPr>
          <w:rFonts w:hint="eastAsia" w:ascii="Arial Narrow" w:hAnsi="Arial Narrow" w:eastAsia="仿宋_GB2312" w:cs="宋体"/>
          <w:kern w:val="0"/>
          <w:sz w:val="24"/>
          <w:highlight w:val="none"/>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5E9E7F45">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2</w:t>
      </w:r>
      <w:r>
        <w:rPr>
          <w:rFonts w:hint="eastAsia" w:ascii="Arial Narrow" w:hAnsi="Arial Narrow" w:eastAsia="仿宋_GB2312" w:cs="宋体"/>
          <w:kern w:val="0"/>
          <w:sz w:val="24"/>
          <w:highlight w:val="none"/>
          <w:lang w:eastAsia="zh-CN"/>
        </w:rPr>
        <w:t>.</w:t>
      </w:r>
      <w:r>
        <w:rPr>
          <w:rFonts w:hint="eastAsia" w:ascii="Arial Narrow" w:hAnsi="Arial Narrow" w:eastAsia="仿宋_GB2312" w:cs="宋体"/>
          <w:kern w:val="0"/>
          <w:sz w:val="24"/>
          <w:highlight w:val="none"/>
        </w:rPr>
        <w:t>龙虾综合种养殖基地灌溉设施建设项目</w:t>
      </w:r>
    </w:p>
    <w:p w14:paraId="68AB4526">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实施单位：</w:t>
      </w:r>
      <w:r>
        <w:rPr>
          <w:rFonts w:hint="eastAsia" w:ascii="Arial Narrow" w:hAnsi="Arial Narrow" w:eastAsia="仿宋_GB2312" w:cs="宋体"/>
          <w:kern w:val="0"/>
          <w:sz w:val="24"/>
        </w:rPr>
        <w:t>铜梁区侣俸镇</w:t>
      </w:r>
      <w:r>
        <w:rPr>
          <w:rFonts w:hint="eastAsia" w:ascii="Arial Narrow" w:hAnsi="Arial Narrow" w:eastAsia="仿宋_GB2312" w:cs="宋体"/>
          <w:kern w:val="0"/>
          <w:sz w:val="24"/>
          <w:lang w:val="en-US" w:eastAsia="zh-CN"/>
        </w:rPr>
        <w:t>天星</w:t>
      </w:r>
      <w:r>
        <w:rPr>
          <w:rFonts w:hint="eastAsia" w:ascii="Arial Narrow" w:hAnsi="Arial Narrow" w:eastAsia="仿宋_GB2312" w:cs="宋体"/>
          <w:kern w:val="0"/>
          <w:sz w:val="24"/>
        </w:rPr>
        <w:t>村股份经济合作联合社</w:t>
      </w:r>
    </w:p>
    <w:p w14:paraId="0E0C880C">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项目内容：新建泵房2座</w:t>
      </w:r>
      <w:r>
        <w:rPr>
          <w:rFonts w:hint="eastAsia" w:ascii="Arial Narrow" w:hAnsi="Arial Narrow" w:eastAsia="仿宋_GB2312" w:cs="宋体"/>
          <w:kern w:val="0"/>
          <w:sz w:val="24"/>
          <w:highlight w:val="none"/>
          <w:lang w:eastAsia="zh-CN"/>
        </w:rPr>
        <w:t>、提水装置2套、给水管PE110 1.6MPA 5250</w:t>
      </w:r>
      <w:r>
        <w:rPr>
          <w:rFonts w:hint="eastAsia" w:ascii="Arial Narrow" w:hAnsi="Arial Narrow" w:eastAsia="仿宋_GB2312" w:cs="宋体"/>
          <w:kern w:val="0"/>
          <w:sz w:val="24"/>
          <w:highlight w:val="none"/>
          <w:lang w:val="en-US" w:eastAsia="zh-CN"/>
        </w:rPr>
        <w:t>米、给水管PE90 1.6MPA 500米、PE 管件、光网建设等</w:t>
      </w:r>
      <w:r>
        <w:rPr>
          <w:rFonts w:hint="eastAsia" w:ascii="Arial Narrow" w:hAnsi="Arial Narrow" w:eastAsia="仿宋_GB2312" w:cs="宋体"/>
          <w:kern w:val="0"/>
          <w:sz w:val="24"/>
          <w:lang w:val="en-US" w:eastAsia="zh-CN"/>
        </w:rPr>
        <w:t>项目内容</w:t>
      </w:r>
      <w:r>
        <w:rPr>
          <w:rFonts w:hint="eastAsia" w:ascii="Arial Narrow" w:hAnsi="Arial Narrow" w:eastAsia="仿宋_GB2312" w:cs="宋体"/>
          <w:kern w:val="0"/>
          <w:sz w:val="24"/>
          <w:highlight w:val="none"/>
        </w:rPr>
        <w:t>。</w:t>
      </w:r>
    </w:p>
    <w:p w14:paraId="7C45DF4C">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项目资金安排情况：该项目2023年计划投入50万元，实际投入</w:t>
      </w:r>
      <w:r>
        <w:rPr>
          <w:rFonts w:hint="eastAsia" w:ascii="Arial Narrow" w:hAnsi="Arial Narrow" w:eastAsia="仿宋_GB2312" w:cs="宋体"/>
          <w:kern w:val="0"/>
          <w:sz w:val="24"/>
          <w:highlight w:val="none"/>
          <w:lang w:val="en-US" w:eastAsia="zh-CN"/>
        </w:rPr>
        <w:t>50</w:t>
      </w:r>
      <w:r>
        <w:rPr>
          <w:rFonts w:hint="eastAsia" w:ascii="Arial Narrow" w:hAnsi="Arial Narrow" w:eastAsia="仿宋_GB2312" w:cs="宋体"/>
          <w:kern w:val="0"/>
          <w:sz w:val="24"/>
          <w:highlight w:val="none"/>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5C2B1961">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3</w:t>
      </w:r>
      <w:r>
        <w:rPr>
          <w:rFonts w:hint="eastAsia" w:ascii="Arial Narrow" w:hAnsi="Arial Narrow" w:eastAsia="仿宋_GB2312" w:cs="宋体"/>
          <w:kern w:val="0"/>
          <w:sz w:val="24"/>
          <w:highlight w:val="none"/>
          <w:lang w:eastAsia="zh-CN"/>
        </w:rPr>
        <w:t>.“</w:t>
      </w:r>
      <w:r>
        <w:rPr>
          <w:rFonts w:hint="eastAsia" w:ascii="Arial Narrow" w:hAnsi="Arial Narrow" w:eastAsia="仿宋_GB2312" w:cs="宋体"/>
          <w:kern w:val="0"/>
          <w:sz w:val="24"/>
          <w:highlight w:val="none"/>
        </w:rPr>
        <w:t>巴岳农庄</w:t>
      </w:r>
      <w:r>
        <w:rPr>
          <w:rFonts w:hint="eastAsia" w:ascii="Arial Narrow" w:hAnsi="Arial Narrow" w:eastAsia="仿宋_GB2312" w:cs="宋体"/>
          <w:kern w:val="0"/>
          <w:sz w:val="24"/>
          <w:highlight w:val="none"/>
          <w:lang w:eastAsia="zh-CN"/>
        </w:rPr>
        <w:t>”</w:t>
      </w:r>
      <w:r>
        <w:rPr>
          <w:rFonts w:hint="eastAsia" w:ascii="Arial Narrow" w:hAnsi="Arial Narrow" w:eastAsia="仿宋_GB2312" w:cs="宋体"/>
          <w:kern w:val="0"/>
          <w:sz w:val="24"/>
          <w:highlight w:val="none"/>
        </w:rPr>
        <w:t>蔬菜配送中心扩建项目</w:t>
      </w:r>
    </w:p>
    <w:p w14:paraId="144DD6AE">
      <w:pPr>
        <w:spacing w:line="360" w:lineRule="auto"/>
        <w:ind w:firstLine="480" w:firstLineChars="200"/>
        <w:rPr>
          <w:rFonts w:hint="eastAsia" w:ascii="Arial Narrow" w:hAnsi="Arial Narrow" w:eastAsia="仿宋_GB2312" w:cs="宋体"/>
          <w:kern w:val="0"/>
          <w:sz w:val="24"/>
          <w:highlight w:val="none"/>
        </w:rPr>
      </w:pPr>
      <w:r>
        <w:rPr>
          <w:rFonts w:hint="eastAsia" w:ascii="Arial Narrow" w:hAnsi="Arial Narrow" w:eastAsia="仿宋_GB2312" w:cs="宋体"/>
          <w:kern w:val="0"/>
          <w:sz w:val="24"/>
          <w:highlight w:val="none"/>
        </w:rPr>
        <w:t>实施单位：铜梁区侣俸镇</w:t>
      </w:r>
      <w:r>
        <w:rPr>
          <w:rFonts w:hint="eastAsia" w:ascii="Arial Narrow" w:hAnsi="Arial Narrow" w:eastAsia="仿宋_GB2312" w:cs="宋体"/>
          <w:kern w:val="0"/>
          <w:sz w:val="24"/>
          <w:highlight w:val="none"/>
          <w:lang w:val="en-US" w:eastAsia="zh-CN"/>
        </w:rPr>
        <w:t>保乡</w:t>
      </w:r>
      <w:r>
        <w:rPr>
          <w:rFonts w:hint="eastAsia" w:ascii="Arial Narrow" w:hAnsi="Arial Narrow" w:eastAsia="仿宋_GB2312" w:cs="宋体"/>
          <w:kern w:val="0"/>
          <w:sz w:val="24"/>
          <w:highlight w:val="none"/>
        </w:rPr>
        <w:t>村股份经济合作联合社</w:t>
      </w:r>
    </w:p>
    <w:p w14:paraId="7B51C0B7">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项目内容：扩建蔬菜配送中心312平方米</w:t>
      </w:r>
      <w:r>
        <w:rPr>
          <w:rFonts w:hint="eastAsia" w:ascii="Arial Narrow" w:hAnsi="Arial Narrow" w:eastAsia="仿宋_GB2312" w:cs="宋体"/>
          <w:kern w:val="0"/>
          <w:sz w:val="24"/>
          <w:highlight w:val="none"/>
          <w:lang w:eastAsia="zh-CN"/>
        </w:rPr>
        <w:t>、端口数 592个、布放光缆 21.5千米、新建二级分纤箱74个</w:t>
      </w:r>
      <w:r>
        <w:rPr>
          <w:rFonts w:hint="eastAsia" w:ascii="Arial Narrow" w:hAnsi="Arial Narrow" w:eastAsia="仿宋_GB2312" w:cs="宋体"/>
          <w:kern w:val="0"/>
          <w:sz w:val="24"/>
          <w:highlight w:val="none"/>
          <w:lang w:val="en-US" w:eastAsia="zh-CN"/>
        </w:rPr>
        <w:t>等项目内容</w:t>
      </w:r>
      <w:r>
        <w:rPr>
          <w:rFonts w:ascii="Arial Narrow" w:hAnsi="Arial Narrow" w:eastAsia="仿宋_GB2312" w:cs="宋体"/>
          <w:kern w:val="0"/>
          <w:sz w:val="24"/>
          <w:highlight w:val="none"/>
        </w:rPr>
        <w:t>。</w:t>
      </w:r>
    </w:p>
    <w:p w14:paraId="54C5D718">
      <w:pPr>
        <w:spacing w:line="360" w:lineRule="auto"/>
        <w:ind w:firstLine="480" w:firstLineChars="200"/>
        <w:rPr>
          <w:rFonts w:ascii="Arial Narrow" w:hAnsi="Arial Narrow" w:eastAsia="仿宋_GB2312" w:cs="宋体"/>
          <w:kern w:val="0"/>
          <w:sz w:val="24"/>
          <w:highlight w:val="none"/>
        </w:rPr>
      </w:pPr>
      <w:r>
        <w:rPr>
          <w:rFonts w:hint="eastAsia" w:ascii="Arial Narrow" w:hAnsi="Arial Narrow" w:eastAsia="仿宋_GB2312" w:cs="宋体"/>
          <w:kern w:val="0"/>
          <w:sz w:val="24"/>
          <w:highlight w:val="none"/>
        </w:rPr>
        <w:t>项目资金安排情况：该项目2023年计划投入</w:t>
      </w:r>
      <w:r>
        <w:rPr>
          <w:rFonts w:hint="eastAsia" w:ascii="Arial Narrow" w:hAnsi="Arial Narrow" w:eastAsia="仿宋_GB2312" w:cs="宋体"/>
          <w:kern w:val="0"/>
          <w:sz w:val="24"/>
          <w:highlight w:val="none"/>
          <w:lang w:val="en-US" w:eastAsia="zh-CN"/>
        </w:rPr>
        <w:t>70</w:t>
      </w:r>
      <w:r>
        <w:rPr>
          <w:rFonts w:hint="eastAsia" w:ascii="Arial Narrow" w:hAnsi="Arial Narrow" w:eastAsia="仿宋_GB2312" w:cs="宋体"/>
          <w:kern w:val="0"/>
          <w:sz w:val="24"/>
          <w:highlight w:val="none"/>
        </w:rPr>
        <w:t>万元，实际投入</w:t>
      </w:r>
      <w:r>
        <w:rPr>
          <w:rFonts w:hint="eastAsia" w:ascii="Arial Narrow" w:hAnsi="Arial Narrow" w:eastAsia="仿宋_GB2312" w:cs="宋体"/>
          <w:kern w:val="0"/>
          <w:sz w:val="24"/>
          <w:highlight w:val="none"/>
          <w:lang w:val="en-US" w:eastAsia="zh-CN"/>
        </w:rPr>
        <w:t>70</w:t>
      </w:r>
      <w:r>
        <w:rPr>
          <w:rFonts w:hint="eastAsia" w:ascii="Arial Narrow" w:hAnsi="Arial Narrow" w:eastAsia="仿宋_GB2312" w:cs="宋体"/>
          <w:kern w:val="0"/>
          <w:sz w:val="24"/>
          <w:highlight w:val="none"/>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74A6AF16">
      <w:pPr>
        <w:spacing w:line="360" w:lineRule="auto"/>
        <w:ind w:firstLine="482" w:firstLineChars="200"/>
        <w:jc w:val="left"/>
        <w:outlineLvl w:val="0"/>
        <w:rPr>
          <w:rFonts w:ascii="Arial Narrow" w:hAnsi="Arial Narrow" w:eastAsia="仿宋_GB2312"/>
          <w:b/>
          <w:sz w:val="24"/>
        </w:rPr>
      </w:pPr>
      <w:bookmarkStart w:id="5" w:name="_Toc169624360"/>
      <w:r>
        <w:rPr>
          <w:rFonts w:ascii="Arial Narrow" w:hAnsi="Arial Narrow" w:eastAsia="仿宋_GB2312"/>
          <w:b/>
          <w:sz w:val="24"/>
        </w:rPr>
        <w:t>二、绩效评价工作情况</w:t>
      </w:r>
      <w:bookmarkEnd w:id="5"/>
    </w:p>
    <w:p w14:paraId="13D02F64">
      <w:pPr>
        <w:spacing w:line="360" w:lineRule="auto"/>
        <w:ind w:firstLine="482" w:firstLineChars="200"/>
        <w:jc w:val="left"/>
        <w:outlineLvl w:val="0"/>
        <w:rPr>
          <w:rFonts w:ascii="Arial Narrow" w:hAnsi="Arial Narrow" w:eastAsia="仿宋_GB2312"/>
          <w:b/>
          <w:sz w:val="24"/>
        </w:rPr>
      </w:pPr>
      <w:bookmarkStart w:id="6" w:name="_Toc169624361"/>
      <w:bookmarkStart w:id="7" w:name="_Toc513775099"/>
      <w:r>
        <w:rPr>
          <w:rFonts w:ascii="Arial Narrow" w:hAnsi="Arial Narrow" w:eastAsia="仿宋_GB2312"/>
          <w:b/>
          <w:sz w:val="24"/>
        </w:rPr>
        <w:t>（一）绩效评价目的</w:t>
      </w:r>
      <w:bookmarkEnd w:id="6"/>
      <w:bookmarkEnd w:id="7"/>
    </w:p>
    <w:p w14:paraId="686E263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51F3BE61">
      <w:pPr>
        <w:spacing w:line="360" w:lineRule="auto"/>
        <w:ind w:firstLine="482" w:firstLineChars="200"/>
        <w:jc w:val="left"/>
        <w:outlineLvl w:val="0"/>
        <w:rPr>
          <w:rFonts w:ascii="Arial Narrow" w:hAnsi="Arial Narrow" w:eastAsia="仿宋_GB2312"/>
          <w:b/>
          <w:sz w:val="24"/>
        </w:rPr>
      </w:pPr>
      <w:bookmarkStart w:id="8" w:name="_Toc169624362"/>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4423B24E">
      <w:pPr>
        <w:pStyle w:val="13"/>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绩效目标的设定情况；</w:t>
      </w:r>
    </w:p>
    <w:p w14:paraId="2671710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资金投入和使用情况；</w:t>
      </w:r>
    </w:p>
    <w:p w14:paraId="08935BE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为实现绩效目标制定的制度、采取的措施等；</w:t>
      </w:r>
    </w:p>
    <w:p w14:paraId="3D8C1C3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绩效目标的实现程度及效果；</w:t>
      </w:r>
    </w:p>
    <w:p w14:paraId="6AA25C1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根据实际情况需要评价的其他内容。</w:t>
      </w:r>
    </w:p>
    <w:p w14:paraId="496DED7A">
      <w:pPr>
        <w:spacing w:line="360" w:lineRule="auto"/>
        <w:ind w:firstLine="482" w:firstLineChars="200"/>
        <w:jc w:val="left"/>
        <w:outlineLvl w:val="0"/>
        <w:rPr>
          <w:rFonts w:ascii="Arial Narrow" w:hAnsi="Arial Narrow" w:eastAsia="仿宋_GB2312"/>
          <w:b/>
          <w:sz w:val="24"/>
        </w:rPr>
      </w:pPr>
      <w:bookmarkStart w:id="11" w:name="_Toc169624363"/>
      <w:r>
        <w:rPr>
          <w:rFonts w:ascii="Arial Narrow" w:hAnsi="Arial Narrow" w:eastAsia="仿宋_GB2312"/>
          <w:b/>
          <w:sz w:val="24"/>
        </w:rPr>
        <w:t>（三）绩效评价依据</w:t>
      </w:r>
      <w:bookmarkEnd w:id="9"/>
      <w:bookmarkEnd w:id="10"/>
      <w:bookmarkEnd w:id="11"/>
      <w:bookmarkStart w:id="12" w:name="_Toc335040595"/>
    </w:p>
    <w:bookmarkEnd w:id="12"/>
    <w:p w14:paraId="4332B20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689102A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529061F8">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p>
    <w:p w14:paraId="39BE9A1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3DB8407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71DA8B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0E1213D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6666BA2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154B677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5D02228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35632D6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5DB96B44">
      <w:pPr>
        <w:spacing w:line="360" w:lineRule="auto"/>
        <w:ind w:firstLine="482" w:firstLineChars="200"/>
        <w:jc w:val="left"/>
        <w:outlineLvl w:val="0"/>
        <w:rPr>
          <w:rFonts w:ascii="Arial Narrow" w:hAnsi="Arial Narrow" w:eastAsia="仿宋_GB2312"/>
          <w:b/>
          <w:sz w:val="24"/>
        </w:rPr>
      </w:pPr>
      <w:bookmarkStart w:id="14" w:name="_Toc169624364"/>
      <w:r>
        <w:rPr>
          <w:rFonts w:ascii="Arial Narrow" w:hAnsi="Arial Narrow" w:eastAsia="仿宋_GB2312"/>
          <w:b/>
          <w:sz w:val="24"/>
        </w:rPr>
        <w:t>（四）绩效评价原则和指标体系</w:t>
      </w:r>
      <w:bookmarkEnd w:id="14"/>
    </w:p>
    <w:p w14:paraId="2A28393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4F8A9600">
      <w:pPr>
        <w:pStyle w:val="13"/>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（1</w:t>
      </w:r>
      <w:r>
        <w:rPr>
          <w:rFonts w:hint="eastAsia" w:ascii="Arial Narrow" w:hAnsi="Arial Narrow" w:eastAsia="仿宋_GB2312"/>
          <w:color w:val="auto"/>
          <w:lang w:eastAsia="zh-CN"/>
        </w:rPr>
        <w:t>）</w:t>
      </w:r>
      <w:r>
        <w:rPr>
          <w:rFonts w:ascii="Arial Narrow" w:hAnsi="Arial Narrow" w:eastAsia="仿宋_GB2312"/>
          <w:color w:val="auto"/>
        </w:rPr>
        <w:t>相关性原则。应当与绩效目标有直接的联系，能够恰当反映目标的实现程度。</w:t>
      </w:r>
    </w:p>
    <w:p w14:paraId="5FB37350">
      <w:pPr>
        <w:pStyle w:val="13"/>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重要性原则。应当优先使用最具评价对象代表性、最能反映评价要求的核心指标。</w:t>
      </w:r>
    </w:p>
    <w:p w14:paraId="2A54942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w:t>
      </w:r>
      <w:r>
        <w:rPr>
          <w:rFonts w:hint="eastAsia" w:ascii="Arial Narrow" w:hAnsi="Arial Narrow" w:eastAsia="仿宋_GB2312"/>
          <w:color w:val="auto"/>
          <w:lang w:eastAsia="zh-CN"/>
        </w:rPr>
        <w:t>）</w:t>
      </w:r>
      <w:r>
        <w:rPr>
          <w:rFonts w:ascii="Arial Narrow" w:hAnsi="Arial Narrow" w:eastAsia="仿宋_GB2312"/>
          <w:color w:val="auto"/>
        </w:rPr>
        <w:t>可比性原则。对同类评价对象要设定共性的绩效评价指标，以便于评价结果可以相互比较。</w:t>
      </w:r>
    </w:p>
    <w:p w14:paraId="04A9C12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3864882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018A859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4A627322">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07C89D08">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8"/>
        <w:gridCol w:w="1048"/>
        <w:gridCol w:w="536"/>
        <w:gridCol w:w="2757"/>
        <w:gridCol w:w="3596"/>
      </w:tblGrid>
      <w:tr w14:paraId="11551D94">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3AB96D">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序号</w:t>
            </w:r>
          </w:p>
        </w:tc>
        <w:tc>
          <w:tcPr>
            <w:tcW w:w="1018" w:type="dxa"/>
            <w:tcBorders>
              <w:top w:val="single" w:color="auto" w:sz="4" w:space="0"/>
              <w:left w:val="nil"/>
              <w:bottom w:val="single" w:color="auto" w:sz="4" w:space="0"/>
              <w:right w:val="single" w:color="auto" w:sz="4" w:space="0"/>
            </w:tcBorders>
            <w:shd w:val="clear" w:color="auto" w:fill="auto"/>
            <w:noWrap/>
            <w:vAlign w:val="center"/>
          </w:tcPr>
          <w:p w14:paraId="3DB68C4D">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64834D12">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ACC1904">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分值</w:t>
            </w:r>
          </w:p>
        </w:tc>
        <w:tc>
          <w:tcPr>
            <w:tcW w:w="2757" w:type="dxa"/>
            <w:tcBorders>
              <w:top w:val="single" w:color="auto" w:sz="4" w:space="0"/>
              <w:left w:val="nil"/>
              <w:bottom w:val="single" w:color="auto" w:sz="4" w:space="0"/>
              <w:right w:val="single" w:color="auto" w:sz="4" w:space="0"/>
            </w:tcBorders>
            <w:shd w:val="clear" w:color="auto" w:fill="auto"/>
            <w:noWrap/>
            <w:vAlign w:val="center"/>
          </w:tcPr>
          <w:p w14:paraId="6AEBC1BD">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16DA3DB4">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评价标准</w:t>
            </w:r>
          </w:p>
        </w:tc>
      </w:tr>
      <w:tr w14:paraId="1A3DBC7A">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454C2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001962B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5A85CD3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3A9267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2757" w:type="dxa"/>
            <w:tcBorders>
              <w:top w:val="nil"/>
              <w:left w:val="nil"/>
              <w:bottom w:val="single" w:color="auto" w:sz="4" w:space="0"/>
              <w:right w:val="single" w:color="auto" w:sz="4" w:space="0"/>
            </w:tcBorders>
            <w:shd w:val="clear" w:color="auto" w:fill="auto"/>
            <w:vAlign w:val="center"/>
          </w:tcPr>
          <w:p w14:paraId="58AA1C2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1D3A9A1B">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资金使用方向符合文件规定（2分）。</w:t>
            </w:r>
          </w:p>
        </w:tc>
      </w:tr>
      <w:tr w14:paraId="3DE3C7B2">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80C0B8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1018" w:type="dxa"/>
            <w:vMerge w:val="continue"/>
            <w:tcBorders>
              <w:top w:val="nil"/>
              <w:left w:val="single" w:color="auto" w:sz="4" w:space="0"/>
              <w:bottom w:val="single" w:color="auto" w:sz="4" w:space="0"/>
              <w:right w:val="single" w:color="auto" w:sz="4" w:space="0"/>
            </w:tcBorders>
            <w:vAlign w:val="center"/>
          </w:tcPr>
          <w:p w14:paraId="25BA137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BA52D8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7BC4C0D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2757" w:type="dxa"/>
            <w:tcBorders>
              <w:top w:val="nil"/>
              <w:left w:val="nil"/>
              <w:bottom w:val="single" w:color="auto" w:sz="4" w:space="0"/>
              <w:right w:val="single" w:color="auto" w:sz="4" w:space="0"/>
            </w:tcBorders>
            <w:shd w:val="clear" w:color="auto" w:fill="auto"/>
            <w:vAlign w:val="center"/>
          </w:tcPr>
          <w:p w14:paraId="29A69F8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2B3266E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区财政局下达资金文件时间到区级业务主管部门下达项目及资金计划文件时间间隔≤30日（3分）。</w:t>
            </w:r>
          </w:p>
        </w:tc>
      </w:tr>
      <w:tr w14:paraId="7B92D5C6">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CB9DC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7916635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1F78E15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0A8B6D0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nil"/>
              <w:right w:val="nil"/>
            </w:tcBorders>
            <w:shd w:val="clear" w:color="auto" w:fill="auto"/>
            <w:vAlign w:val="center"/>
          </w:tcPr>
          <w:p w14:paraId="76B73B8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评价落实《铜梁区巩固拓展脱贫攻坚成果和衔接乡村振兴项目库建设管理实施细则》（铜乡振〔2021〕7号）落实情况。根据抽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5C5985A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1.项目入库及时充分、程序规范、内容完整（3分）；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2.入库项目具备实施条件（2分）；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3.衔接资金用于项目库之外的项目（-5分）。</w:t>
            </w:r>
          </w:p>
        </w:tc>
      </w:tr>
      <w:tr w14:paraId="48DB28B8">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A1CFB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4</w:t>
            </w:r>
          </w:p>
        </w:tc>
        <w:tc>
          <w:tcPr>
            <w:tcW w:w="1018" w:type="dxa"/>
            <w:vMerge w:val="continue"/>
            <w:tcBorders>
              <w:top w:val="nil"/>
              <w:left w:val="single" w:color="auto" w:sz="4" w:space="0"/>
              <w:bottom w:val="single" w:color="auto" w:sz="4" w:space="0"/>
              <w:right w:val="single" w:color="auto" w:sz="4" w:space="0"/>
            </w:tcBorders>
            <w:vAlign w:val="center"/>
          </w:tcPr>
          <w:p w14:paraId="6D125F89">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DBF05B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3677CB9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single" w:color="auto" w:sz="4" w:space="0"/>
              <w:left w:val="nil"/>
              <w:bottom w:val="single" w:color="auto" w:sz="4" w:space="0"/>
              <w:right w:val="single" w:color="auto" w:sz="4" w:space="0"/>
            </w:tcBorders>
            <w:shd w:val="clear" w:color="auto" w:fill="auto"/>
            <w:vAlign w:val="center"/>
          </w:tcPr>
          <w:p w14:paraId="1B30C0B7">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评价具体项目实施方案明确绩效目标情况、开展跟踪监督绩效监控情况、事后评价情况等。根据抽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2B88E7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1.及时制定绩效目标、审核绩效目标（2分）；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2.开展绩效监控不少于1次（2分）；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3.对绩效目标偏离项目采取纠偏措施（2分）；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4.项目实施完毕后立即开展绩效自评，并形成绩效自评报告及绩效自评表。（2分）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5.项目绩效是否达到预期。（2分）</w:t>
            </w:r>
          </w:p>
        </w:tc>
      </w:tr>
      <w:tr w14:paraId="0B4910EA">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DC7B29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1018" w:type="dxa"/>
            <w:vMerge w:val="continue"/>
            <w:tcBorders>
              <w:top w:val="nil"/>
              <w:left w:val="single" w:color="auto" w:sz="4" w:space="0"/>
              <w:bottom w:val="single" w:color="auto" w:sz="4" w:space="0"/>
              <w:right w:val="single" w:color="auto" w:sz="4" w:space="0"/>
            </w:tcBorders>
            <w:vAlign w:val="center"/>
          </w:tcPr>
          <w:p w14:paraId="3FAA199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9D8500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2536DAE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2757" w:type="dxa"/>
            <w:tcBorders>
              <w:top w:val="nil"/>
              <w:left w:val="nil"/>
              <w:bottom w:val="single" w:color="auto" w:sz="4" w:space="0"/>
              <w:right w:val="single" w:color="auto" w:sz="4" w:space="0"/>
            </w:tcBorders>
            <w:shd w:val="clear" w:color="auto" w:fill="auto"/>
            <w:vAlign w:val="center"/>
          </w:tcPr>
          <w:p w14:paraId="3658513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评价有序推进项目前期工作、组织实施、项目验收、资料报送等情况。根据抽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860B59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1.项目实施方法存在变更是否按规定报批；（1分）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2.是否定期对项目实施情况进行监督检查，对检查中发现的问题进行整改；（2分）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3.是否按照项目实施节点按时提交项目报账资料；（1分）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4.日常管理资料是否及时归档整理；（1分）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5.项目完工后是否在规定时间内进行验收。（1分）</w:t>
            </w:r>
          </w:p>
        </w:tc>
      </w:tr>
      <w:tr w14:paraId="2F12B2D5">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FF2569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1018" w:type="dxa"/>
            <w:vMerge w:val="continue"/>
            <w:tcBorders>
              <w:top w:val="nil"/>
              <w:left w:val="single" w:color="auto" w:sz="4" w:space="0"/>
              <w:bottom w:val="single" w:color="auto" w:sz="4" w:space="0"/>
              <w:right w:val="single" w:color="auto" w:sz="4" w:space="0"/>
            </w:tcBorders>
            <w:vAlign w:val="center"/>
          </w:tcPr>
          <w:p w14:paraId="5C2880B7">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0A9D84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363BF0F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2757" w:type="dxa"/>
            <w:tcBorders>
              <w:top w:val="nil"/>
              <w:left w:val="nil"/>
              <w:bottom w:val="single" w:color="auto" w:sz="4" w:space="0"/>
              <w:right w:val="single" w:color="auto" w:sz="4" w:space="0"/>
            </w:tcBorders>
            <w:shd w:val="clear" w:color="auto" w:fill="auto"/>
            <w:vAlign w:val="center"/>
          </w:tcPr>
          <w:p w14:paraId="7B68C67F">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评价有序推进项目工作和资金支付情况。根据抽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52F143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1.主要通过支出进度评价有序推进项目工作和资金支付情况，于7月末、10月中旬定期调度。</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1.7月末支出进度评分4分。资金支出进度达到全区平均进度或者序时进度的，得满分；未达到的按照与序时进度的比例扣分；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2.10月中旬支出进度评分4分。资金支出进度达到全区平均进度或者序时进度的，得满分；未达到的按照与序时进度的比例扣分；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53E3EED">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EC928E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7</w:t>
            </w:r>
          </w:p>
        </w:tc>
        <w:tc>
          <w:tcPr>
            <w:tcW w:w="1018" w:type="dxa"/>
            <w:vMerge w:val="continue"/>
            <w:tcBorders>
              <w:top w:val="nil"/>
              <w:left w:val="single" w:color="auto" w:sz="4" w:space="0"/>
              <w:bottom w:val="single" w:color="auto" w:sz="4" w:space="0"/>
              <w:right w:val="single" w:color="auto" w:sz="4" w:space="0"/>
            </w:tcBorders>
            <w:vAlign w:val="center"/>
          </w:tcPr>
          <w:p w14:paraId="0333D70F">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CE4B44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0D606D7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2757" w:type="dxa"/>
            <w:tcBorders>
              <w:top w:val="nil"/>
              <w:left w:val="nil"/>
              <w:bottom w:val="single" w:color="auto" w:sz="4" w:space="0"/>
              <w:right w:val="single" w:color="auto" w:sz="4" w:space="0"/>
            </w:tcBorders>
            <w:shd w:val="clear" w:color="auto" w:fill="auto"/>
            <w:vAlign w:val="center"/>
          </w:tcPr>
          <w:p w14:paraId="5009AEB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评价定期开展监督检查情况、发现问题整改情况。根据未处理问题比例扣减。根据抽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C7DD9A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1.定期开展项目实施和资金支出进度等跟踪督促情况，落实到位的得2分，未完全落实到位的酌情扣分；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2.跟踪督促及各类检查发现问题整改到位情况，满分5分，根据未整改问题比例扣减；</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3.全国12317防止返贫监测和乡村振兴咨询服务平台（简称12317平台）反馈问题处理情况，满分1分。</w:t>
            </w:r>
          </w:p>
        </w:tc>
      </w:tr>
      <w:tr w14:paraId="1C9AEA6E">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B7A282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1018" w:type="dxa"/>
            <w:vMerge w:val="continue"/>
            <w:tcBorders>
              <w:top w:val="nil"/>
              <w:left w:val="single" w:color="auto" w:sz="4" w:space="0"/>
              <w:bottom w:val="single" w:color="auto" w:sz="4" w:space="0"/>
              <w:right w:val="single" w:color="auto" w:sz="4" w:space="0"/>
            </w:tcBorders>
            <w:vAlign w:val="center"/>
          </w:tcPr>
          <w:p w14:paraId="0978E90E">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88757F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5FF0A65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17A2CBE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评价账务处理，资产转固，收益管理、档案管理等情况。根据抽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A7A0DC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1.财务处理是否规范，原始凭证是否齐全，建成资产是否及时转固、收益管理是否合规；（4分）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2.档案管理是否完整、合规、真实。（1分）</w:t>
            </w:r>
          </w:p>
        </w:tc>
      </w:tr>
      <w:tr w14:paraId="48243E34">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F218AA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1018" w:type="dxa"/>
            <w:vMerge w:val="continue"/>
            <w:tcBorders>
              <w:top w:val="nil"/>
              <w:left w:val="single" w:color="auto" w:sz="4" w:space="0"/>
              <w:bottom w:val="single" w:color="auto" w:sz="4" w:space="0"/>
              <w:right w:val="single" w:color="auto" w:sz="4" w:space="0"/>
            </w:tcBorders>
            <w:vAlign w:val="center"/>
          </w:tcPr>
          <w:p w14:paraId="0BF09473">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5D7FAD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ABC887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2757" w:type="dxa"/>
            <w:tcBorders>
              <w:top w:val="nil"/>
              <w:left w:val="nil"/>
              <w:bottom w:val="single" w:color="auto" w:sz="4" w:space="0"/>
              <w:right w:val="single" w:color="auto" w:sz="4" w:space="0"/>
            </w:tcBorders>
            <w:shd w:val="clear" w:color="auto" w:fill="auto"/>
            <w:vAlign w:val="center"/>
          </w:tcPr>
          <w:p w14:paraId="28C2C4F1">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评价区级、镇级、村级落实《铜梁区财政衔接推进乡村振兴补助资金项目公告公示实施办法》（铜委农办〔2021〕19号）文件要求情况。根据抽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0F653B47">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分区级、镇级、村级进行评价。</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1.抽查区级公示公开情况，满分3分，未完整公开酌情扣分；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2.抽查镇级公示公开情况，满分3分，未完整公开酌情扣分；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3.抽查村级公示公开情况，满分3分，未完整公开酌情扣分。</w:t>
            </w:r>
          </w:p>
        </w:tc>
      </w:tr>
      <w:tr w14:paraId="609CB0A9">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91BEBE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4DF4B32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3F7519E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EC550B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35</w:t>
            </w:r>
          </w:p>
        </w:tc>
        <w:tc>
          <w:tcPr>
            <w:tcW w:w="2757" w:type="dxa"/>
            <w:tcBorders>
              <w:top w:val="nil"/>
              <w:left w:val="nil"/>
              <w:bottom w:val="single" w:color="auto" w:sz="4" w:space="0"/>
              <w:right w:val="single" w:color="auto" w:sz="4" w:space="0"/>
            </w:tcBorders>
            <w:shd w:val="clear" w:color="auto" w:fill="auto"/>
            <w:vAlign w:val="center"/>
          </w:tcPr>
          <w:p w14:paraId="55F7F1E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评价项目是否达到预期成效，后续管护是否存在问题等。根据抽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CF64BB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满分35分，根据抽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项目情况赋分。项目管理各环节，每存在一例不符合相关规定的，扣0.5分，扣完为止。</w:t>
            </w:r>
          </w:p>
        </w:tc>
      </w:tr>
      <w:tr w14:paraId="615F2536">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69CA4C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11</w:t>
            </w:r>
          </w:p>
        </w:tc>
        <w:tc>
          <w:tcPr>
            <w:tcW w:w="1018" w:type="dxa"/>
            <w:vMerge w:val="continue"/>
            <w:tcBorders>
              <w:top w:val="nil"/>
              <w:left w:val="single" w:color="auto" w:sz="4" w:space="0"/>
              <w:bottom w:val="single" w:color="auto" w:sz="4" w:space="0"/>
              <w:right w:val="single" w:color="auto" w:sz="4" w:space="0"/>
            </w:tcBorders>
            <w:vAlign w:val="center"/>
          </w:tcPr>
          <w:p w14:paraId="3184EBF6">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D3EEB2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39A063F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7E1B131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1DA02A19">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2EB746FD">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A14596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1018" w:type="dxa"/>
            <w:vMerge w:val="restart"/>
            <w:tcBorders>
              <w:top w:val="nil"/>
              <w:left w:val="single" w:color="auto" w:sz="4" w:space="0"/>
              <w:bottom w:val="single" w:color="000000" w:sz="4" w:space="0"/>
              <w:right w:val="single" w:color="auto" w:sz="4" w:space="0"/>
            </w:tcBorders>
            <w:shd w:val="clear" w:color="auto" w:fill="auto"/>
            <w:vAlign w:val="center"/>
          </w:tcPr>
          <w:p w14:paraId="13BB47A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45EAD7E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2ABE248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54E16A3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02303D1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1.在财政衔接资金分配、使用、监管等方面存在机制创新；（2分）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2.国家、市级对我区财政衔接资金绩效评价中，被财政部、国家乡村振兴局及其第三方总结经验做法，并调研推广的。（3分）</w:t>
            </w:r>
          </w:p>
        </w:tc>
      </w:tr>
      <w:tr w14:paraId="702F5ED1">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03ABD5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13</w:t>
            </w:r>
          </w:p>
        </w:tc>
        <w:tc>
          <w:tcPr>
            <w:tcW w:w="1018" w:type="dxa"/>
            <w:vMerge w:val="continue"/>
            <w:tcBorders>
              <w:top w:val="nil"/>
              <w:left w:val="single" w:color="auto" w:sz="4" w:space="0"/>
              <w:bottom w:val="single" w:color="000000" w:sz="4" w:space="0"/>
              <w:right w:val="single" w:color="auto" w:sz="4" w:space="0"/>
            </w:tcBorders>
            <w:vAlign w:val="center"/>
          </w:tcPr>
          <w:p w14:paraId="1F35BACE">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A371C0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2A3C316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nil"/>
              <w:left w:val="nil"/>
              <w:bottom w:val="single" w:color="auto" w:sz="4" w:space="0"/>
              <w:right w:val="single" w:color="auto" w:sz="4" w:space="0"/>
            </w:tcBorders>
            <w:shd w:val="clear" w:color="auto" w:fill="auto"/>
            <w:vAlign w:val="center"/>
          </w:tcPr>
          <w:p w14:paraId="59CBD62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3145BA53">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考核材料、数据中存在虚假信息的，或经有关部门监督检查发现问题的，视情节严重程度扣1-10分。</w:t>
            </w:r>
          </w:p>
        </w:tc>
      </w:tr>
    </w:tbl>
    <w:p w14:paraId="61C8AB32">
      <w:pPr>
        <w:spacing w:before="120" w:beforeLines="50" w:line="360" w:lineRule="auto"/>
        <w:ind w:firstLine="482" w:firstLineChars="200"/>
        <w:jc w:val="left"/>
        <w:outlineLvl w:val="0"/>
        <w:rPr>
          <w:rFonts w:ascii="Arial Narrow" w:hAnsi="Arial Narrow" w:eastAsia="仿宋_GB2312"/>
          <w:b/>
          <w:sz w:val="24"/>
        </w:rPr>
      </w:pPr>
      <w:bookmarkStart w:id="15" w:name="_Toc169624365"/>
      <w:r>
        <w:rPr>
          <w:rFonts w:ascii="Arial Narrow" w:hAnsi="Arial Narrow" w:eastAsia="仿宋_GB2312"/>
          <w:b/>
          <w:sz w:val="24"/>
        </w:rPr>
        <w:t>（五）绩效评价标准和评价方法</w:t>
      </w:r>
      <w:bookmarkEnd w:id="15"/>
    </w:p>
    <w:p w14:paraId="7BFA59C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0A7ADD6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798C96B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72EF690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27EEF7A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076F0B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6A3D725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2EF0CA03">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1A44990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5D3B4B9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1C57FBB5">
      <w:pPr>
        <w:spacing w:line="360" w:lineRule="auto"/>
        <w:ind w:firstLine="482" w:firstLineChars="200"/>
        <w:jc w:val="left"/>
        <w:outlineLvl w:val="0"/>
        <w:rPr>
          <w:rFonts w:ascii="Arial Narrow" w:hAnsi="Arial Narrow" w:eastAsia="仿宋_GB2312"/>
          <w:b/>
          <w:sz w:val="24"/>
        </w:rPr>
      </w:pPr>
      <w:bookmarkStart w:id="18" w:name="_Toc437528932"/>
      <w:bookmarkStart w:id="19" w:name="_Toc169624366"/>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39D813E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08B4B5B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4ECA194B">
      <w:pPr>
        <w:pStyle w:val="13"/>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3B50F62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0C10E9DF">
      <w:pPr>
        <w:spacing w:line="360" w:lineRule="auto"/>
        <w:ind w:firstLine="482" w:firstLineChars="200"/>
        <w:jc w:val="left"/>
        <w:outlineLvl w:val="0"/>
        <w:rPr>
          <w:rFonts w:ascii="Arial Narrow" w:hAnsi="Arial Narrow" w:eastAsia="仿宋_GB2312"/>
          <w:b/>
          <w:sz w:val="24"/>
        </w:rPr>
      </w:pPr>
      <w:bookmarkStart w:id="20" w:name="_Toc437528933"/>
      <w:bookmarkStart w:id="21"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63A52166">
      <w:pPr>
        <w:spacing w:line="360" w:lineRule="auto"/>
        <w:ind w:left="420" w:leftChars="200"/>
        <w:jc w:val="left"/>
        <w:rPr>
          <w:rFonts w:hint="eastAsia" w:ascii="仿宋_GB2312" w:hAnsi="仿宋_GB2312" w:eastAsia="仿宋_GB2312" w:cs="仿宋_GB2312"/>
          <w:kern w:val="0"/>
          <w:sz w:val="24"/>
          <w:highlight w:val="none"/>
        </w:rPr>
      </w:pPr>
      <w:r>
        <w:rPr>
          <w:rFonts w:hint="eastAsia" w:ascii="仿宋_GB2312" w:hAnsi="仿宋_GB2312" w:eastAsia="仿宋_GB2312" w:cs="仿宋_GB2312"/>
          <w:kern w:val="0"/>
          <w:sz w:val="24"/>
          <w:highlight w:val="none"/>
          <w:lang w:val="en-US" w:eastAsia="zh-CN"/>
        </w:rPr>
        <w:t>花椒基地基础设施建设</w:t>
      </w:r>
      <w:r>
        <w:rPr>
          <w:rFonts w:hint="eastAsia" w:ascii="仿宋_GB2312" w:hAnsi="仿宋_GB2312" w:eastAsia="仿宋_GB2312" w:cs="仿宋_GB2312"/>
          <w:kern w:val="0"/>
          <w:sz w:val="24"/>
          <w:highlight w:val="none"/>
        </w:rPr>
        <w:t>项目绩效评价得分</w:t>
      </w:r>
      <w:r>
        <w:rPr>
          <w:rFonts w:hint="eastAsia" w:ascii="仿宋_GB2312" w:hAnsi="仿宋_GB2312" w:eastAsia="仿宋_GB2312" w:cs="仿宋_GB2312"/>
          <w:kern w:val="0"/>
          <w:sz w:val="24"/>
          <w:highlight w:val="none"/>
          <w:lang w:val="en-US" w:eastAsia="zh-CN"/>
        </w:rPr>
        <w:t>98.5</w:t>
      </w:r>
      <w:r>
        <w:rPr>
          <w:rFonts w:hint="eastAsia" w:ascii="仿宋_GB2312" w:hAnsi="仿宋_GB2312" w:eastAsia="仿宋_GB2312" w:cs="仿宋_GB2312"/>
          <w:kern w:val="0"/>
          <w:sz w:val="24"/>
          <w:highlight w:val="none"/>
        </w:rPr>
        <w:t>分，绩效评价等级为：</w:t>
      </w:r>
      <w:r>
        <w:rPr>
          <w:rFonts w:hint="eastAsia" w:ascii="仿宋_GB2312" w:hAnsi="仿宋_GB2312" w:eastAsia="仿宋_GB2312" w:cs="仿宋_GB2312"/>
          <w:kern w:val="0"/>
          <w:sz w:val="24"/>
          <w:highlight w:val="none"/>
          <w:lang w:val="en-US" w:eastAsia="zh-CN"/>
        </w:rPr>
        <w:t>优</w:t>
      </w:r>
      <w:r>
        <w:rPr>
          <w:rFonts w:hint="eastAsia" w:ascii="仿宋_GB2312" w:hAnsi="仿宋_GB2312" w:eastAsia="仿宋_GB2312" w:cs="仿宋_GB2312"/>
          <w:kern w:val="0"/>
          <w:sz w:val="24"/>
          <w:highlight w:val="none"/>
        </w:rPr>
        <w:t>；</w:t>
      </w:r>
    </w:p>
    <w:p w14:paraId="1F86A773">
      <w:pPr>
        <w:spacing w:line="360" w:lineRule="auto"/>
        <w:ind w:left="420" w:leftChars="200"/>
        <w:jc w:val="left"/>
        <w:rPr>
          <w:rFonts w:hint="eastAsia" w:ascii="仿宋_GB2312" w:hAnsi="仿宋_GB2312" w:eastAsia="仿宋_GB2312" w:cs="仿宋_GB2312"/>
          <w:kern w:val="0"/>
          <w:sz w:val="24"/>
          <w:highlight w:val="none"/>
          <w:lang w:val="en-US" w:eastAsia="zh-CN"/>
        </w:rPr>
      </w:pPr>
      <w:r>
        <w:rPr>
          <w:rFonts w:hint="eastAsia" w:ascii="仿宋_GB2312" w:hAnsi="仿宋_GB2312" w:eastAsia="仿宋_GB2312" w:cs="仿宋_GB2312"/>
          <w:kern w:val="0"/>
          <w:sz w:val="24"/>
          <w:highlight w:val="none"/>
          <w:lang w:val="en-US" w:eastAsia="zh-CN"/>
        </w:rPr>
        <w:t>龙虾综合种养殖基地灌溉设施建设项目绩效评价得分94.5分，绩效评价等级为：优；</w:t>
      </w:r>
    </w:p>
    <w:p w14:paraId="339F2C17">
      <w:pPr>
        <w:spacing w:line="360" w:lineRule="auto"/>
        <w:ind w:left="420" w:leftChars="200"/>
        <w:jc w:val="left"/>
        <w:rPr>
          <w:rFonts w:hint="eastAsia" w:ascii="仿宋_GB2312" w:hAnsi="仿宋_GB2312" w:eastAsia="仿宋_GB2312" w:cs="仿宋_GB2312"/>
          <w:kern w:val="0"/>
          <w:sz w:val="24"/>
          <w:highlight w:val="none"/>
          <w:lang w:val="en-US" w:eastAsia="zh-CN"/>
        </w:rPr>
      </w:pPr>
      <w:r>
        <w:rPr>
          <w:rFonts w:hint="eastAsia" w:ascii="仿宋_GB2312" w:hAnsi="仿宋_GB2312" w:eastAsia="仿宋_GB2312" w:cs="仿宋_GB2312"/>
          <w:kern w:val="0"/>
          <w:sz w:val="24"/>
          <w:highlight w:val="none"/>
          <w:lang w:val="en-US" w:eastAsia="zh-CN"/>
        </w:rPr>
        <w:t>“巴岳农庄”蔬菜配送中心扩建项目绩效评价得分95.5分，绩效评价等级为：优；</w:t>
      </w:r>
    </w:p>
    <w:p w14:paraId="40929A29">
      <w:pPr>
        <w:spacing w:line="360" w:lineRule="auto"/>
        <w:ind w:firstLine="482" w:firstLineChars="200"/>
        <w:outlineLvl w:val="0"/>
        <w:rPr>
          <w:rFonts w:ascii="Arial Narrow" w:hAnsi="Arial Narrow" w:eastAsia="仿宋_GB2312"/>
          <w:b/>
          <w:sz w:val="24"/>
        </w:rPr>
      </w:pPr>
      <w:bookmarkStart w:id="22"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2"/>
    </w:p>
    <w:p w14:paraId="1B770A8F">
      <w:pPr>
        <w:spacing w:line="360" w:lineRule="auto"/>
        <w:ind w:firstLine="482" w:firstLineChars="200"/>
        <w:jc w:val="left"/>
        <w:outlineLvl w:val="0"/>
        <w:rPr>
          <w:rFonts w:ascii="仿宋_GB2312" w:eastAsia="仿宋_GB2312"/>
          <w:b/>
          <w:sz w:val="24"/>
        </w:rPr>
      </w:pPr>
      <w:bookmarkStart w:id="23" w:name="_Toc169624369"/>
      <w:r>
        <w:rPr>
          <w:rFonts w:hint="eastAsia" w:ascii="仿宋_GB2312" w:eastAsia="仿宋_GB2312"/>
          <w:b/>
          <w:sz w:val="24"/>
        </w:rPr>
        <w:t>（一）资金管理</w:t>
      </w:r>
      <w:bookmarkEnd w:id="23"/>
    </w:p>
    <w:p w14:paraId="001CBB2F">
      <w:pPr>
        <w:adjustRightInd w:val="0"/>
        <w:snapToGrid w:val="0"/>
        <w:spacing w:line="360" w:lineRule="auto"/>
        <w:ind w:firstLine="480" w:firstLineChars="200"/>
        <w:rPr>
          <w:rStyle w:val="10"/>
          <w:rFonts w:hint="eastAsia"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69CC7826">
      <w:pPr>
        <w:adjustRightInd w:val="0"/>
        <w:snapToGrid w:val="0"/>
        <w:spacing w:line="360" w:lineRule="auto"/>
        <w:ind w:firstLine="480" w:firstLineChars="200"/>
        <w:rPr>
          <w:rStyle w:val="10"/>
          <w:rFonts w:hint="eastAsia" w:ascii="Arial Narrow" w:hAnsi="Arial Narrow" w:eastAsia="仿宋_GB2312"/>
          <w:color w:val="auto"/>
          <w:sz w:val="24"/>
          <w:u w:val="none"/>
        </w:rPr>
      </w:pPr>
      <w:r>
        <w:rPr>
          <w:rStyle w:val="10"/>
          <w:rFonts w:hint="eastAsia" w:ascii="Arial Narrow" w:hAnsi="Arial Narrow" w:eastAsia="仿宋_GB2312"/>
          <w:color w:val="auto"/>
          <w:sz w:val="24"/>
          <w:u w:val="none"/>
        </w:rPr>
        <w:t>项目按照《重庆市财政局关于提前下达2023年市财政衔接推进乡村振兴补助资金预算的通知》</w:t>
      </w:r>
      <w:r>
        <w:rPr>
          <w:rStyle w:val="10"/>
          <w:rFonts w:hint="eastAsia" w:ascii="Arial Narrow" w:hAnsi="Arial Narrow" w:eastAsia="仿宋_GB2312"/>
          <w:color w:val="auto"/>
          <w:sz w:val="24"/>
          <w:u w:val="none"/>
          <w:lang w:eastAsia="zh-CN"/>
        </w:rPr>
        <w:t>（</w:t>
      </w:r>
      <w:r>
        <w:rPr>
          <w:rStyle w:val="10"/>
          <w:rFonts w:hint="eastAsia" w:ascii="Arial Narrow" w:hAnsi="Arial Narrow" w:eastAsia="仿宋_GB2312"/>
          <w:color w:val="auto"/>
          <w:sz w:val="24"/>
          <w:u w:val="none"/>
        </w:rPr>
        <w:t>渝财农〔2022〕146</w:t>
      </w:r>
      <w:r>
        <w:rPr>
          <w:rStyle w:val="10"/>
          <w:rFonts w:hint="eastAsia" w:ascii="Arial Narrow" w:hAnsi="Arial Narrow" w:eastAsia="仿宋_GB2312"/>
          <w:color w:val="auto"/>
          <w:sz w:val="24"/>
          <w:u w:val="none"/>
          <w:lang w:eastAsia="zh-CN"/>
        </w:rPr>
        <w:t>)</w:t>
      </w:r>
      <w:r>
        <w:rPr>
          <w:rStyle w:val="10"/>
          <w:rFonts w:hint="eastAsia" w:ascii="Arial Narrow" w:hAnsi="Arial Narrow" w:eastAsia="仿宋_GB2312"/>
          <w:color w:val="auto"/>
          <w:sz w:val="24"/>
          <w:u w:val="none"/>
        </w:rPr>
        <w:t>、《重庆市铜梁区财政局关于提前下达2023年中央财政衔接推进乡村振兴补助资金预算的通知》（铜财〔2022〕550号）、《重庆市铜梁区财政局关于下达2023年区级财政衔接推进乡村振兴补助资金预算的通知》</w:t>
      </w:r>
      <w:r>
        <w:rPr>
          <w:rStyle w:val="10"/>
          <w:rFonts w:hint="eastAsia" w:ascii="Arial Narrow" w:hAnsi="Arial Narrow" w:eastAsia="仿宋_GB2312"/>
          <w:color w:val="auto"/>
          <w:sz w:val="24"/>
          <w:u w:val="none"/>
          <w:lang w:eastAsia="zh-CN"/>
        </w:rPr>
        <w:t>（</w:t>
      </w:r>
      <w:r>
        <w:rPr>
          <w:rStyle w:val="10"/>
          <w:rFonts w:hint="eastAsia" w:ascii="Arial Narrow" w:hAnsi="Arial Narrow" w:eastAsia="仿宋_GB2312"/>
          <w:color w:val="auto"/>
          <w:sz w:val="24"/>
          <w:u w:val="none"/>
        </w:rPr>
        <w:t>铜财〔2023〕46号</w:t>
      </w:r>
      <w:r>
        <w:rPr>
          <w:rStyle w:val="10"/>
          <w:rFonts w:hint="eastAsia" w:ascii="Arial Narrow" w:hAnsi="Arial Narrow" w:eastAsia="仿宋_GB2312"/>
          <w:color w:val="auto"/>
          <w:sz w:val="24"/>
          <w:u w:val="none"/>
          <w:lang w:eastAsia="zh-CN"/>
        </w:rPr>
        <w:t>)</w:t>
      </w:r>
      <w:r>
        <w:rPr>
          <w:rStyle w:val="10"/>
          <w:rFonts w:hint="eastAsia" w:ascii="Arial Narrow" w:hAnsi="Arial Narrow" w:eastAsia="仿宋_GB2312"/>
          <w:color w:val="auto"/>
          <w:sz w:val="24"/>
          <w:u w:val="none"/>
        </w:rPr>
        <w:t>等相关政策性文件规定落实衔接资金。</w:t>
      </w:r>
    </w:p>
    <w:p w14:paraId="5FE162E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3C7D3AB5">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cs="宋体"/>
          <w:kern w:val="0"/>
          <w:sz w:val="24"/>
          <w:highlight w:val="none"/>
          <w:lang w:val="en-US" w:eastAsia="zh-CN"/>
        </w:rPr>
        <w:t>花椒基地基础设施建设</w:t>
      </w:r>
      <w:r>
        <w:rPr>
          <w:rFonts w:hint="eastAsia" w:ascii="Arial Narrow" w:hAnsi="Arial Narrow" w:eastAsia="仿宋_GB2312"/>
          <w:sz w:val="24"/>
          <w:highlight w:val="none"/>
        </w:rPr>
        <w:t>项目区财政局于202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5</w:t>
      </w:r>
      <w:r>
        <w:rPr>
          <w:rFonts w:hint="eastAsia" w:ascii="Arial Narrow" w:hAnsi="Arial Narrow" w:eastAsia="仿宋_GB2312"/>
          <w:sz w:val="24"/>
          <w:highlight w:val="none"/>
        </w:rPr>
        <w:t>日发布《关于提前下达2023年市财政衔接推进乡村振兴补助资金预算的通知》（铜财〔202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w:t>
      </w:r>
      <w:r>
        <w:rPr>
          <w:rFonts w:hint="eastAsia" w:ascii="Arial Narrow" w:hAnsi="Arial Narrow" w:eastAsia="仿宋_GB2312"/>
          <w:sz w:val="24"/>
          <w:highlight w:val="none"/>
          <w:lang w:val="en-US" w:eastAsia="zh-CN"/>
        </w:rPr>
        <w:t>549</w:t>
      </w:r>
      <w:r>
        <w:rPr>
          <w:rFonts w:hint="eastAsia" w:ascii="Arial Narrow" w:hAnsi="Arial Narrow" w:eastAsia="仿宋_GB2312"/>
          <w:sz w:val="24"/>
          <w:highlight w:val="none"/>
        </w:rPr>
        <w:t>号），</w:t>
      </w:r>
      <w:r>
        <w:rPr>
          <w:rFonts w:hint="eastAsia" w:ascii="Arial Narrow" w:hAnsi="Arial Narrow" w:eastAsia="仿宋_GB2312"/>
          <w:sz w:val="24"/>
        </w:rPr>
        <w:t>业务主管部门于20</w:t>
      </w:r>
      <w:r>
        <w:rPr>
          <w:rFonts w:hint="eastAsia" w:ascii="Arial Narrow" w:hAnsi="Arial Narrow" w:eastAsia="仿宋_GB2312"/>
          <w:sz w:val="24"/>
          <w:lang w:val="en-US" w:eastAsia="zh-CN"/>
        </w:rPr>
        <w:t>22</w:t>
      </w:r>
      <w:r>
        <w:rPr>
          <w:rFonts w:hint="eastAsia" w:ascii="Arial Narrow" w:hAnsi="Arial Narrow" w:eastAsia="仿宋_GB2312"/>
          <w:sz w:val="24"/>
        </w:rPr>
        <w:t>年</w:t>
      </w:r>
      <w:r>
        <w:rPr>
          <w:rFonts w:hint="eastAsia" w:ascii="Arial Narrow" w:hAnsi="Arial Narrow" w:eastAsia="仿宋_GB2312"/>
          <w:sz w:val="24"/>
          <w:lang w:val="en-US" w:eastAsia="zh-CN"/>
        </w:rPr>
        <w:t>12</w:t>
      </w:r>
      <w:r>
        <w:rPr>
          <w:rFonts w:hint="eastAsia" w:ascii="Arial Narrow" w:hAnsi="Arial Narrow" w:eastAsia="仿宋_GB2312"/>
          <w:sz w:val="24"/>
        </w:rPr>
        <w:t>月</w:t>
      </w:r>
      <w:r>
        <w:rPr>
          <w:rFonts w:hint="eastAsia" w:ascii="Arial Narrow" w:hAnsi="Arial Narrow" w:eastAsia="仿宋_GB2312"/>
          <w:sz w:val="24"/>
          <w:lang w:val="en-US" w:eastAsia="zh-CN"/>
        </w:rPr>
        <w:t>29</w:t>
      </w:r>
      <w:r>
        <w:rPr>
          <w:rFonts w:hint="eastAsia" w:ascii="Arial Narrow" w:hAnsi="Arial Narrow" w:eastAsia="仿宋_GB2312"/>
          <w:sz w:val="24"/>
        </w:rPr>
        <w:t>日发布《关于下达 2023年提前批市级财政衔接推进乡村振兴补助资金项目安排计划的通知》（铜委农办〔202</w:t>
      </w:r>
      <w:r>
        <w:rPr>
          <w:rFonts w:hint="eastAsia" w:ascii="Arial Narrow" w:hAnsi="Arial Narrow" w:eastAsia="仿宋_GB2312"/>
          <w:sz w:val="24"/>
          <w:lang w:val="en-US" w:eastAsia="zh-CN"/>
        </w:rPr>
        <w:t>2</w:t>
      </w:r>
      <w:r>
        <w:rPr>
          <w:rFonts w:hint="eastAsia" w:ascii="Arial Narrow" w:hAnsi="Arial Narrow" w:eastAsia="仿宋_GB2312"/>
          <w:sz w:val="24"/>
        </w:rPr>
        <w:t>〕</w:t>
      </w:r>
      <w:r>
        <w:rPr>
          <w:rFonts w:hint="eastAsia" w:ascii="Arial Narrow" w:hAnsi="Arial Narrow" w:eastAsia="仿宋_GB2312"/>
          <w:sz w:val="24"/>
          <w:lang w:val="en-US" w:eastAsia="zh-CN"/>
        </w:rPr>
        <w:t>24</w:t>
      </w:r>
      <w:r>
        <w:rPr>
          <w:rFonts w:hint="eastAsia" w:ascii="Arial Narrow" w:hAnsi="Arial Narrow" w:eastAsia="仿宋_GB2312"/>
          <w:sz w:val="24"/>
        </w:rPr>
        <w:t>号），区财政局下达资金文件时间到区级业务主管部门下达项目及资金计划文件时间间隔</w:t>
      </w:r>
      <w:r>
        <w:rPr>
          <w:rFonts w:hint="eastAsia" w:ascii="Arial Narrow" w:hAnsi="Arial Narrow" w:eastAsia="仿宋_GB2312"/>
          <w:sz w:val="24"/>
          <w:lang w:val="en-US" w:eastAsia="zh-CN"/>
        </w:rPr>
        <w:t>小于</w:t>
      </w:r>
      <w:r>
        <w:rPr>
          <w:rFonts w:hint="eastAsia" w:ascii="Arial Narrow" w:hAnsi="Arial Narrow" w:eastAsia="仿宋_GB2312"/>
          <w:sz w:val="24"/>
        </w:rPr>
        <w:t>30日。</w:t>
      </w:r>
    </w:p>
    <w:p w14:paraId="10CF87C3">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lang w:val="en-US" w:eastAsia="zh-CN"/>
        </w:rPr>
        <w:t>其他两个项目</w:t>
      </w:r>
      <w:r>
        <w:rPr>
          <w:rFonts w:hint="eastAsia" w:ascii="Arial Narrow" w:hAnsi="Arial Narrow" w:eastAsia="仿宋_GB2312"/>
          <w:sz w:val="24"/>
        </w:rPr>
        <w:t>区财政局下达资金文件时间到区级业务主管部门下达项目及资金计划文件时间间隔</w:t>
      </w:r>
      <w:r>
        <w:rPr>
          <w:rFonts w:hint="eastAsia" w:ascii="Arial Narrow" w:hAnsi="Arial Narrow" w:eastAsia="仿宋_GB2312"/>
          <w:sz w:val="24"/>
          <w:lang w:val="en-US" w:eastAsia="zh-CN"/>
        </w:rPr>
        <w:t>均小于</w:t>
      </w:r>
      <w:r>
        <w:rPr>
          <w:rFonts w:hint="eastAsia" w:ascii="Arial Narrow" w:hAnsi="Arial Narrow" w:eastAsia="仿宋_GB2312"/>
          <w:sz w:val="24"/>
        </w:rPr>
        <w:t>30日。</w:t>
      </w:r>
    </w:p>
    <w:p w14:paraId="33FEE899">
      <w:pPr>
        <w:spacing w:line="360" w:lineRule="auto"/>
        <w:ind w:firstLine="482" w:firstLineChars="200"/>
        <w:jc w:val="left"/>
        <w:outlineLvl w:val="0"/>
        <w:rPr>
          <w:rFonts w:ascii="仿宋_GB2312" w:eastAsia="仿宋_GB2312"/>
          <w:b/>
          <w:sz w:val="24"/>
        </w:rPr>
      </w:pPr>
      <w:bookmarkStart w:id="24" w:name="_Toc169624370"/>
      <w:r>
        <w:rPr>
          <w:rFonts w:hint="eastAsia" w:ascii="仿宋_GB2312" w:eastAsia="仿宋_GB2312"/>
          <w:b/>
          <w:sz w:val="24"/>
        </w:rPr>
        <w:t>（二）项目管理</w:t>
      </w:r>
      <w:bookmarkEnd w:id="24"/>
    </w:p>
    <w:p w14:paraId="5539563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5241FB8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w:t>
      </w:r>
      <w:r>
        <w:rPr>
          <w:rFonts w:hint="eastAsia" w:ascii="Arial Narrow" w:hAnsi="Arial Narrow" w:eastAsia="仿宋_GB2312"/>
          <w:sz w:val="24"/>
          <w:lang w:val="en-US" w:eastAsia="zh-CN"/>
        </w:rPr>
        <w:t>了</w:t>
      </w:r>
      <w:r>
        <w:rPr>
          <w:rFonts w:hint="eastAsia" w:ascii="Arial Narrow" w:hAnsi="Arial Narrow" w:eastAsia="仿宋_GB2312"/>
          <w:sz w:val="24"/>
        </w:rPr>
        <w:t>切合实际的实施方案，具备实施条件，衔接资金未用于项目库之外的项目。</w:t>
      </w:r>
    </w:p>
    <w:p w14:paraId="6D76242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7A15486C">
      <w:pPr>
        <w:adjustRightInd w:val="0"/>
        <w:snapToGrid w:val="0"/>
        <w:spacing w:line="360" w:lineRule="auto"/>
        <w:ind w:firstLine="480" w:firstLineChars="200"/>
        <w:rPr>
          <w:rFonts w:ascii="Arial Narrow" w:hAnsi="Arial Narrow" w:eastAsia="仿宋_GB2312"/>
          <w:sz w:val="24"/>
        </w:rPr>
      </w:pPr>
      <w:r>
        <w:rPr>
          <w:rFonts w:hint="eastAsia" w:ascii="仿宋_GB2312" w:hAnsi="仿宋_GB2312" w:eastAsia="仿宋_GB2312" w:cs="仿宋_GB2312"/>
          <w:kern w:val="0"/>
          <w:sz w:val="24"/>
          <w:highlight w:val="none"/>
          <w:lang w:val="en-US" w:eastAsia="zh-CN"/>
        </w:rPr>
        <w:t>花椒基地基础设施建设</w:t>
      </w:r>
      <w:r>
        <w:rPr>
          <w:rFonts w:hint="eastAsia" w:ascii="Arial Narrow" w:hAnsi="Arial Narrow" w:eastAsia="仿宋_GB2312" w:cs="宋体"/>
          <w:kern w:val="0"/>
          <w:sz w:val="24"/>
          <w:highlight w:val="none"/>
        </w:rPr>
        <w:t>项目</w:t>
      </w:r>
      <w:r>
        <w:rPr>
          <w:rFonts w:hint="eastAsia" w:ascii="Arial Narrow" w:hAnsi="Arial Narrow" w:eastAsia="仿宋_GB2312" w:cs="宋体"/>
          <w:kern w:val="0"/>
          <w:sz w:val="24"/>
          <w:highlight w:val="none"/>
          <w:lang w:eastAsia="zh-CN"/>
        </w:rPr>
        <w:t>、</w:t>
      </w:r>
      <w:r>
        <w:rPr>
          <w:rFonts w:hint="eastAsia" w:ascii="Arial Narrow" w:hAnsi="Arial Narrow" w:eastAsia="仿宋_GB2312"/>
          <w:sz w:val="24"/>
          <w:lang w:eastAsia="zh-CN"/>
        </w:rPr>
        <w:t>“巴岳农庄”蔬菜配送中心扩建项目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及时制定了明确的绩效目标，实施过程中对绩效目标进行监控，对绩效目标偏离项目采取纠偏措施，在项目实施完毕后开展了绩效自评，并形成绩效自评表、自评报告。</w:t>
      </w:r>
    </w:p>
    <w:p w14:paraId="65331EA8">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lang w:eastAsia="zh-CN"/>
        </w:rPr>
        <w:t>龙虾综合种养殖基地灌溉设施建设项目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及时制定了明确的绩效目标，实施过程中对绩效目标进行监控，对绩效目标偏离项目采取纠偏措施，在项目实施完毕后开展了绩效自评，并形成绩效自评表、自评报告</w:t>
      </w:r>
      <w:r>
        <w:rPr>
          <w:rFonts w:hint="eastAsia" w:ascii="Arial Narrow" w:hAnsi="Arial Narrow" w:eastAsia="仿宋_GB2312"/>
          <w:sz w:val="24"/>
          <w:lang w:eastAsia="zh-CN"/>
        </w:rPr>
        <w:t>，</w:t>
      </w:r>
      <w:r>
        <w:rPr>
          <w:rFonts w:hint="eastAsia" w:ascii="Arial Narrow" w:hAnsi="Arial Narrow" w:eastAsia="仿宋_GB2312"/>
          <w:sz w:val="24"/>
          <w:lang w:val="en-US" w:eastAsia="zh-CN"/>
        </w:rPr>
        <w:t>但该项目</w:t>
      </w:r>
      <w:r>
        <w:rPr>
          <w:rFonts w:hint="eastAsia" w:ascii="Arial Narrow" w:hAnsi="Arial Narrow" w:eastAsia="仿宋_GB2312"/>
          <w:sz w:val="24"/>
          <w:lang w:eastAsia="zh-CN"/>
        </w:rPr>
        <w:t>绩效目标审核表未盖章</w:t>
      </w:r>
      <w:r>
        <w:rPr>
          <w:rFonts w:hint="eastAsia" w:ascii="Arial Narrow" w:hAnsi="Arial Narrow" w:eastAsia="仿宋_GB2312"/>
          <w:sz w:val="24"/>
        </w:rPr>
        <w:t>。</w:t>
      </w:r>
    </w:p>
    <w:p w14:paraId="6362D81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50CC0206">
      <w:pPr>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rPr>
        <w:t>项目实施方案不存在变更情况，实施过程中由</w:t>
      </w:r>
      <w:r>
        <w:rPr>
          <w:rFonts w:hint="eastAsia" w:ascii="Arial Narrow" w:hAnsi="Arial Narrow" w:eastAsia="仿宋_GB2312" w:cs="宋体"/>
          <w:kern w:val="0"/>
          <w:sz w:val="24"/>
          <w:lang w:val="en-US" w:eastAsia="zh-CN"/>
        </w:rPr>
        <w:t>实施单位</w:t>
      </w:r>
      <w:r>
        <w:rPr>
          <w:rFonts w:hint="eastAsia" w:ascii="Arial Narrow" w:hAnsi="Arial Narrow" w:eastAsia="仿宋_GB2312"/>
          <w:sz w:val="24"/>
        </w:rPr>
        <w:t>进行监督检查，检查中未发现重大问题，项目按照实施节点按时提交项目报账资料。</w:t>
      </w:r>
      <w:r>
        <w:rPr>
          <w:rFonts w:hint="eastAsia" w:ascii="Arial Narrow" w:hAnsi="Arial Narrow" w:eastAsia="仿宋_GB2312"/>
          <w:sz w:val="24"/>
          <w:lang w:val="en-US" w:eastAsia="zh-CN"/>
        </w:rPr>
        <w:t>部分项目未见日常检查情况记录表。</w:t>
      </w:r>
    </w:p>
    <w:p w14:paraId="63FCB69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4C5F2E7D">
      <w:pPr>
        <w:adjustRightInd w:val="0"/>
        <w:snapToGrid w:val="0"/>
        <w:spacing w:line="360" w:lineRule="auto"/>
        <w:ind w:firstLine="480" w:firstLineChars="200"/>
        <w:rPr>
          <w:rFonts w:hint="eastAsia" w:ascii="Arial Narrow" w:hAnsi="Arial Narrow" w:eastAsia="仿宋_GB2312"/>
          <w:sz w:val="24"/>
          <w:highlight w:val="none"/>
        </w:rPr>
      </w:pPr>
      <w:r>
        <w:rPr>
          <w:rFonts w:hint="eastAsia" w:ascii="Arial Narrow" w:hAnsi="Arial Narrow" w:eastAsia="仿宋_GB2312"/>
          <w:sz w:val="24"/>
          <w:highlight w:val="none"/>
          <w:lang w:val="en-US" w:eastAsia="zh-CN"/>
        </w:rPr>
        <w:t>项目预算执行率均达到100%，</w:t>
      </w:r>
      <w:r>
        <w:rPr>
          <w:rFonts w:hint="eastAsia" w:ascii="Arial Narrow" w:hAnsi="Arial Narrow" w:eastAsia="仿宋_GB2312"/>
          <w:sz w:val="24"/>
          <w:highlight w:val="none"/>
        </w:rPr>
        <w:t>未见明显异常。</w:t>
      </w:r>
    </w:p>
    <w:p w14:paraId="52136045">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5.跟踪督促及发现问题整改情况</w:t>
      </w:r>
    </w:p>
    <w:p w14:paraId="6A7F6D6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13EDC51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71600E9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项目实施单位对该项目账务处理规范，档案</w:t>
      </w:r>
      <w:r>
        <w:rPr>
          <w:rFonts w:hint="eastAsia" w:ascii="Arial Narrow" w:hAnsi="Arial Narrow" w:eastAsia="仿宋_GB2312"/>
          <w:sz w:val="24"/>
          <w:lang w:val="en-US" w:eastAsia="zh-CN"/>
        </w:rPr>
        <w:t>管理较为合规，但存在档案归档不及时的情况</w:t>
      </w:r>
      <w:r>
        <w:rPr>
          <w:rFonts w:hint="eastAsia" w:ascii="Arial Narrow" w:hAnsi="Arial Narrow" w:eastAsia="仿宋_GB2312"/>
          <w:sz w:val="24"/>
        </w:rPr>
        <w:t>。</w:t>
      </w:r>
    </w:p>
    <w:p w14:paraId="781C8FF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ascii="Arial Narrow" w:hAnsi="Arial Narrow" w:eastAsia="仿宋_GB2312"/>
          <w:sz w:val="24"/>
          <w:lang w:val="en-US" w:eastAsia="zh-CN"/>
        </w:rPr>
        <w:t>.</w:t>
      </w:r>
      <w:r>
        <w:rPr>
          <w:rFonts w:hint="eastAsia" w:ascii="Arial Narrow" w:hAnsi="Arial Narrow" w:eastAsia="仿宋_GB2312"/>
          <w:sz w:val="24"/>
        </w:rPr>
        <w:t>信息公开和公告公示制度落实情况</w:t>
      </w:r>
    </w:p>
    <w:p w14:paraId="4D325175">
      <w:pPr>
        <w:adjustRightInd w:val="0"/>
        <w:snapToGrid w:val="0"/>
        <w:spacing w:line="360" w:lineRule="auto"/>
        <w:ind w:firstLine="480" w:firstLineChars="200"/>
        <w:rPr>
          <w:rFonts w:ascii="Arial Narrow" w:hAnsi="Arial Narrow" w:eastAsia="仿宋_GB2312"/>
          <w:sz w:val="24"/>
        </w:rPr>
      </w:pPr>
      <w:bookmarkStart w:id="25" w:name="_Toc169624371"/>
      <w:r>
        <w:rPr>
          <w:rFonts w:hint="eastAsia" w:ascii="Arial Narrow" w:hAnsi="Arial Narrow" w:eastAsia="仿宋_GB2312"/>
          <w:sz w:val="24"/>
          <w:lang w:val="en-US" w:eastAsia="zh-CN"/>
        </w:rPr>
        <w:t>对</w:t>
      </w:r>
      <w:r>
        <w:rPr>
          <w:rFonts w:hint="eastAsia" w:ascii="Arial Narrow" w:hAnsi="Arial Narrow" w:eastAsia="仿宋_GB2312"/>
          <w:sz w:val="24"/>
        </w:rPr>
        <w:t>项目入库情况、</w:t>
      </w:r>
      <w:r>
        <w:rPr>
          <w:rFonts w:hint="eastAsia" w:ascii="Arial Narrow" w:hAnsi="Arial Narrow" w:eastAsia="仿宋_GB2312"/>
          <w:sz w:val="24"/>
          <w:lang w:val="en-US" w:eastAsia="zh-CN"/>
        </w:rPr>
        <w:t>实施方案、资金计划、</w:t>
      </w:r>
      <w:r>
        <w:rPr>
          <w:rFonts w:hint="eastAsia" w:ascii="Arial Narrow" w:hAnsi="Arial Narrow" w:eastAsia="仿宋_GB2312"/>
          <w:sz w:val="24"/>
        </w:rPr>
        <w:t>资金计划完成情况等进行了公告公示。</w:t>
      </w:r>
    </w:p>
    <w:p w14:paraId="6AEDCE44">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5"/>
      <w:r>
        <w:rPr>
          <w:rFonts w:hint="eastAsia" w:ascii="仿宋_GB2312" w:eastAsia="仿宋_GB2312"/>
          <w:b/>
          <w:sz w:val="24"/>
        </w:rPr>
        <w:t>使用成效及通报情况</w:t>
      </w:r>
    </w:p>
    <w:p w14:paraId="6BBD5D8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420ADE1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项目总体资金均专款专用，项目完成进度和及时性达到计划预期目的。完成项目的质量能够达标，完成进行了自评、项目资金完整。</w:t>
      </w:r>
    </w:p>
    <w:p w14:paraId="1C865C4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3A51E89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3DEE2E6A">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7D0E8E04">
      <w:pPr>
        <w:spacing w:line="360" w:lineRule="auto"/>
        <w:ind w:firstLine="482" w:firstLineChars="200"/>
        <w:jc w:val="left"/>
        <w:outlineLvl w:val="0"/>
        <w:rPr>
          <w:rFonts w:ascii="仿宋_GB2312" w:eastAsia="仿宋_GB2312"/>
          <w:b/>
          <w:sz w:val="24"/>
        </w:rPr>
      </w:pPr>
      <w:bookmarkStart w:id="26" w:name="_Toc169624372"/>
      <w:r>
        <w:rPr>
          <w:rFonts w:hint="eastAsia" w:ascii="仿宋_GB2312" w:eastAsia="仿宋_GB2312"/>
          <w:b/>
          <w:sz w:val="24"/>
        </w:rPr>
        <w:t>（一）存在问题</w:t>
      </w:r>
      <w:bookmarkEnd w:id="26"/>
    </w:p>
    <w:p w14:paraId="15F8788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ascii="Arial Narrow" w:hAnsi="Arial Narrow" w:eastAsia="仿宋_GB2312"/>
          <w:sz w:val="24"/>
          <w:lang w:val="en-US" w:eastAsia="zh-CN"/>
        </w:rPr>
        <w:t>部分项目未见日常检查情况记录表</w:t>
      </w:r>
      <w:r>
        <w:rPr>
          <w:rFonts w:hint="eastAsia" w:ascii="Arial Narrow" w:hAnsi="Arial Narrow" w:eastAsia="仿宋_GB2312"/>
          <w:sz w:val="24"/>
        </w:rPr>
        <w:t>。</w:t>
      </w:r>
    </w:p>
    <w:p w14:paraId="261167E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2.日常档案管理资料整理归档不及时。</w:t>
      </w:r>
    </w:p>
    <w:p w14:paraId="26AB1667">
      <w:pPr>
        <w:spacing w:line="360" w:lineRule="auto"/>
        <w:ind w:firstLine="482" w:firstLineChars="200"/>
        <w:jc w:val="left"/>
        <w:outlineLvl w:val="0"/>
        <w:rPr>
          <w:rFonts w:ascii="仿宋_GB2312" w:eastAsia="仿宋_GB2312"/>
          <w:b/>
          <w:sz w:val="24"/>
        </w:rPr>
      </w:pPr>
      <w:bookmarkStart w:id="27" w:name="_Toc169624373"/>
      <w:r>
        <w:rPr>
          <w:rFonts w:hint="eastAsia" w:ascii="仿宋_GB2312" w:eastAsia="仿宋_GB2312"/>
          <w:b/>
          <w:sz w:val="24"/>
        </w:rPr>
        <w:t>（二）建议</w:t>
      </w:r>
      <w:bookmarkEnd w:id="27"/>
    </w:p>
    <w:p w14:paraId="2B2E7888">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1.项目实施</w:t>
      </w:r>
      <w:r>
        <w:rPr>
          <w:rStyle w:val="10"/>
          <w:rFonts w:hint="eastAsia" w:ascii="Arial Narrow" w:hAnsi="Arial Narrow" w:eastAsia="仿宋_GB2312"/>
          <w:color w:val="auto"/>
          <w:sz w:val="24"/>
          <w:u w:val="none"/>
          <w:lang w:val="en-US" w:eastAsia="zh-CN"/>
        </w:rPr>
        <w:t>过程中应进行检查并形成</w:t>
      </w:r>
      <w:r>
        <w:rPr>
          <w:rFonts w:hint="eastAsia" w:ascii="Arial Narrow" w:hAnsi="Arial Narrow" w:eastAsia="仿宋_GB2312"/>
          <w:sz w:val="24"/>
          <w:lang w:val="en-US" w:eastAsia="zh-CN"/>
        </w:rPr>
        <w:t>日常检查情况记录表，便于及时进行整改</w:t>
      </w:r>
      <w:r>
        <w:rPr>
          <w:rStyle w:val="10"/>
          <w:rFonts w:hint="eastAsia" w:ascii="Arial Narrow" w:hAnsi="Arial Narrow" w:eastAsia="仿宋_GB2312"/>
          <w:color w:val="auto"/>
          <w:sz w:val="24"/>
          <w:u w:val="none"/>
        </w:rPr>
        <w:t>。</w:t>
      </w:r>
    </w:p>
    <w:p w14:paraId="03117C09">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lang w:val="en-US" w:eastAsia="zh-CN"/>
        </w:rPr>
        <w:t>2</w:t>
      </w:r>
      <w:r>
        <w:rPr>
          <w:rStyle w:val="10"/>
          <w:rFonts w:hint="eastAsia" w:ascii="Arial Narrow" w:hAnsi="Arial Narrow" w:eastAsia="仿宋_GB2312"/>
          <w:color w:val="auto"/>
          <w:sz w:val="24"/>
          <w:u w:val="none"/>
        </w:rPr>
        <w:t>.对项目日常管理资料及时归档整理装订成册或装订成盒。</w:t>
      </w:r>
    </w:p>
    <w:p w14:paraId="158A8FF3">
      <w:pPr>
        <w:adjustRightInd w:val="0"/>
        <w:snapToGrid w:val="0"/>
        <w:spacing w:line="360" w:lineRule="auto"/>
        <w:ind w:firstLine="480" w:firstLineChars="200"/>
        <w:rPr>
          <w:rStyle w:val="10"/>
          <w:rFonts w:ascii="Arial Narrow" w:hAnsi="Arial Narrow" w:eastAsia="仿宋_GB2312"/>
          <w:color w:val="auto"/>
          <w:sz w:val="24"/>
          <w:u w:val="none"/>
        </w:rPr>
      </w:pPr>
    </w:p>
    <w:p w14:paraId="6137CCF0">
      <w:pPr>
        <w:adjustRightInd w:val="0"/>
        <w:snapToGrid w:val="0"/>
        <w:spacing w:line="360" w:lineRule="auto"/>
        <w:ind w:firstLine="480" w:firstLineChars="200"/>
        <w:rPr>
          <w:rStyle w:val="10"/>
          <w:rFonts w:ascii="Arial Narrow" w:hAnsi="Arial Narrow" w:eastAsia="仿宋_GB2312"/>
          <w:color w:val="auto"/>
          <w:sz w:val="24"/>
          <w:u w:val="none"/>
        </w:rPr>
      </w:pPr>
    </w:p>
    <w:p w14:paraId="4994C551">
      <w:pPr>
        <w:adjustRightInd w:val="0"/>
        <w:snapToGrid w:val="0"/>
        <w:spacing w:line="360" w:lineRule="auto"/>
        <w:ind w:firstLine="420" w:firstLineChars="200"/>
        <w:rPr>
          <w:rStyle w:val="10"/>
          <w:color w:val="auto"/>
          <w:u w:val="none"/>
        </w:rPr>
      </w:pPr>
    </w:p>
    <w:p w14:paraId="59EF65A9">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绩效评价指标体系及评分结果表；</w:t>
      </w:r>
    </w:p>
    <w:p w14:paraId="4102608F">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w:t>
      </w:r>
      <w:r>
        <w:rPr>
          <w:rStyle w:val="10"/>
          <w:rFonts w:hint="eastAsia" w:ascii="Arial Narrow" w:hAnsi="Arial Narrow" w:eastAsia="仿宋_GB2312"/>
          <w:color w:val="auto"/>
          <w:sz w:val="24"/>
          <w:u w:val="none"/>
          <w:lang w:val="en-US" w:eastAsia="zh-CN"/>
        </w:rPr>
        <w:t>.</w:t>
      </w:r>
      <w:r>
        <w:rPr>
          <w:rStyle w:val="10"/>
          <w:rFonts w:ascii="Arial Narrow" w:hAnsi="Arial Narrow" w:eastAsia="仿宋_GB2312"/>
          <w:color w:val="auto"/>
          <w:sz w:val="24"/>
          <w:u w:val="none"/>
        </w:rPr>
        <w:t>会计师事务所营业执照和资质复印件。</w:t>
      </w:r>
    </w:p>
    <w:p w14:paraId="766D8775">
      <w:pPr>
        <w:adjustRightInd w:val="0"/>
        <w:snapToGrid w:val="0"/>
        <w:spacing w:line="360" w:lineRule="auto"/>
        <w:ind w:firstLine="720" w:firstLineChars="300"/>
        <w:rPr>
          <w:rStyle w:val="10"/>
          <w:rFonts w:ascii="Arial Narrow" w:hAnsi="Arial Narrow" w:eastAsia="仿宋_GB2312"/>
          <w:color w:val="auto"/>
          <w:sz w:val="24"/>
          <w:u w:val="none"/>
        </w:rPr>
      </w:pPr>
    </w:p>
    <w:p w14:paraId="01262CE6">
      <w:pPr>
        <w:adjustRightInd w:val="0"/>
        <w:snapToGrid w:val="0"/>
        <w:spacing w:line="360" w:lineRule="auto"/>
        <w:ind w:firstLine="720" w:firstLineChars="300"/>
        <w:rPr>
          <w:rStyle w:val="10"/>
          <w:rFonts w:ascii="Arial Narrow" w:hAnsi="Arial Narrow" w:eastAsia="仿宋_GB2312"/>
          <w:color w:val="auto"/>
          <w:sz w:val="24"/>
          <w:u w:val="none"/>
        </w:rPr>
      </w:pPr>
    </w:p>
    <w:p w14:paraId="3D49D433">
      <w:pPr>
        <w:adjustRightInd w:val="0"/>
        <w:snapToGrid w:val="0"/>
        <w:spacing w:line="360" w:lineRule="auto"/>
        <w:ind w:firstLine="720" w:firstLineChars="300"/>
        <w:rPr>
          <w:rStyle w:val="10"/>
          <w:rFonts w:ascii="Arial Narrow" w:hAnsi="Arial Narrow" w:eastAsia="仿宋_GB2312"/>
          <w:color w:val="auto"/>
          <w:sz w:val="24"/>
          <w:u w:val="none"/>
        </w:rPr>
      </w:pPr>
    </w:p>
    <w:p w14:paraId="51B7141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117FB692">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8" w:name="_GoBack"/>
      <w:bookmarkEnd w:id="28"/>
      <w:r>
        <w:rPr>
          <w:rStyle w:val="10"/>
          <w:rFonts w:hint="eastAsia" w:ascii="Arial Narrow" w:hAnsi="Arial Narrow" w:eastAsia="仿宋_GB2312"/>
          <w:color w:val="auto"/>
          <w:sz w:val="24"/>
          <w:u w:val="none"/>
        </w:rPr>
        <w:t>二四年六月</w:t>
      </w:r>
      <w:r>
        <w:rPr>
          <w:rStyle w:val="10"/>
          <w:rFonts w:hint="eastAsia" w:ascii="Arial Narrow" w:hAnsi="Arial Narrow" w:eastAsia="仿宋_GB2312"/>
          <w:color w:val="auto"/>
          <w:sz w:val="24"/>
          <w:u w:val="none"/>
          <w:lang w:val="en-US" w:eastAsia="zh-CN"/>
        </w:rPr>
        <w:t>二十八</w:t>
      </w:r>
      <w:r>
        <w:rPr>
          <w:rStyle w:val="10"/>
          <w:rFonts w:hint="eastAsia" w:ascii="Arial Narrow" w:hAnsi="Arial Narrow" w:eastAsia="仿宋_GB2312"/>
          <w:color w:val="auto"/>
          <w:sz w:val="24"/>
          <w:u w:val="none"/>
        </w:rPr>
        <w:t>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方正黑体简体">
    <w:altName w:val="微软雅黑"/>
    <w:panose1 w:val="02010601030101010101"/>
    <w:charset w:val="86"/>
    <w:family w:val="roma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F6B5E">
    <w:pPr>
      <w:pStyle w:val="4"/>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EDE82">
    <w:pPr>
      <w:pStyle w:val="4"/>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6B8CB">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C6B8CB">
                    <w:pPr>
                      <w:pStyle w:val="4"/>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B0F89">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69EE"/>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C083D"/>
    <w:rsid w:val="002C36AE"/>
    <w:rsid w:val="002C5020"/>
    <w:rsid w:val="002C7EFA"/>
    <w:rsid w:val="00324E2F"/>
    <w:rsid w:val="00331DC5"/>
    <w:rsid w:val="0037066E"/>
    <w:rsid w:val="00384C3C"/>
    <w:rsid w:val="003879CE"/>
    <w:rsid w:val="003A00D8"/>
    <w:rsid w:val="003B42BF"/>
    <w:rsid w:val="00414A58"/>
    <w:rsid w:val="004200C2"/>
    <w:rsid w:val="00420AA7"/>
    <w:rsid w:val="00421C71"/>
    <w:rsid w:val="00470930"/>
    <w:rsid w:val="004C1F3A"/>
    <w:rsid w:val="004C38B4"/>
    <w:rsid w:val="004D1145"/>
    <w:rsid w:val="004D2A6E"/>
    <w:rsid w:val="004E6833"/>
    <w:rsid w:val="004F7A0F"/>
    <w:rsid w:val="00501A64"/>
    <w:rsid w:val="00536985"/>
    <w:rsid w:val="00572DD6"/>
    <w:rsid w:val="005E133F"/>
    <w:rsid w:val="005F01BA"/>
    <w:rsid w:val="0061001E"/>
    <w:rsid w:val="0061417A"/>
    <w:rsid w:val="00655510"/>
    <w:rsid w:val="0069678B"/>
    <w:rsid w:val="006A58E0"/>
    <w:rsid w:val="006D14F7"/>
    <w:rsid w:val="006E75D6"/>
    <w:rsid w:val="006E7DA1"/>
    <w:rsid w:val="006F7CBD"/>
    <w:rsid w:val="0073019B"/>
    <w:rsid w:val="00730A8E"/>
    <w:rsid w:val="00740E9D"/>
    <w:rsid w:val="00741402"/>
    <w:rsid w:val="007A6BE6"/>
    <w:rsid w:val="00827385"/>
    <w:rsid w:val="00842151"/>
    <w:rsid w:val="00856815"/>
    <w:rsid w:val="008952B1"/>
    <w:rsid w:val="008D4F7C"/>
    <w:rsid w:val="008E609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58DD"/>
    <w:rsid w:val="00B134A6"/>
    <w:rsid w:val="00B25A79"/>
    <w:rsid w:val="00B7289F"/>
    <w:rsid w:val="00BA212E"/>
    <w:rsid w:val="00BB3674"/>
    <w:rsid w:val="00BC2692"/>
    <w:rsid w:val="00BC7BED"/>
    <w:rsid w:val="00BD6FFD"/>
    <w:rsid w:val="00C02FB6"/>
    <w:rsid w:val="00C107C7"/>
    <w:rsid w:val="00C12443"/>
    <w:rsid w:val="00C35442"/>
    <w:rsid w:val="00C36A73"/>
    <w:rsid w:val="00C60A62"/>
    <w:rsid w:val="00CB54FB"/>
    <w:rsid w:val="00CC769D"/>
    <w:rsid w:val="00D1562E"/>
    <w:rsid w:val="00D254D3"/>
    <w:rsid w:val="00D26E16"/>
    <w:rsid w:val="00D415D5"/>
    <w:rsid w:val="00DB55F0"/>
    <w:rsid w:val="00E065AA"/>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A79"/>
    <w:rsid w:val="00FD5F18"/>
    <w:rsid w:val="00FE1E65"/>
    <w:rsid w:val="00FE5705"/>
    <w:rsid w:val="00FF5AA5"/>
    <w:rsid w:val="02717C9D"/>
    <w:rsid w:val="0A3C78AC"/>
    <w:rsid w:val="0C955D75"/>
    <w:rsid w:val="0CE07522"/>
    <w:rsid w:val="0EAE3D77"/>
    <w:rsid w:val="0FAB1E4C"/>
    <w:rsid w:val="10FD0312"/>
    <w:rsid w:val="120E6874"/>
    <w:rsid w:val="18627CDB"/>
    <w:rsid w:val="1A9B4CEE"/>
    <w:rsid w:val="23824014"/>
    <w:rsid w:val="270731DD"/>
    <w:rsid w:val="28F931A5"/>
    <w:rsid w:val="2D4E1C6F"/>
    <w:rsid w:val="3315744B"/>
    <w:rsid w:val="337000EF"/>
    <w:rsid w:val="357129F4"/>
    <w:rsid w:val="371050B8"/>
    <w:rsid w:val="37D22AE1"/>
    <w:rsid w:val="39E009B9"/>
    <w:rsid w:val="3D7F55DD"/>
    <w:rsid w:val="414B48CD"/>
    <w:rsid w:val="43A21B2B"/>
    <w:rsid w:val="45947F31"/>
    <w:rsid w:val="46CB3763"/>
    <w:rsid w:val="48AE355C"/>
    <w:rsid w:val="4DF1278B"/>
    <w:rsid w:val="4E781D55"/>
    <w:rsid w:val="4FE90FDC"/>
    <w:rsid w:val="60087B46"/>
    <w:rsid w:val="61513989"/>
    <w:rsid w:val="62444A13"/>
    <w:rsid w:val="629B4EDD"/>
    <w:rsid w:val="65906E4D"/>
    <w:rsid w:val="6ACD3676"/>
    <w:rsid w:val="6C0B491D"/>
    <w:rsid w:val="722B1074"/>
    <w:rsid w:val="73FE01EE"/>
    <w:rsid w:val="760516D1"/>
    <w:rsid w:val="796843E6"/>
    <w:rsid w:val="7EE22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5962</Words>
  <Characters>6372</Characters>
  <Lines>61</Lines>
  <Paragraphs>17</Paragraphs>
  <TotalTime>18</TotalTime>
  <ScaleCrop>false</ScaleCrop>
  <LinksUpToDate>false</LinksUpToDate>
  <CharactersWithSpaces>6415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2024-11-20T01:18:49Z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