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59191">
      <w:pPr>
        <w:spacing w:line="360" w:lineRule="auto"/>
        <w:jc w:val="center"/>
        <w:rPr>
          <w:rFonts w:ascii="Arial Narrow" w:hAnsi="Arial Narrow" w:eastAsiaTheme="minorEastAsia"/>
          <w:b/>
          <w:bCs/>
          <w:sz w:val="36"/>
          <w:szCs w:val="36"/>
        </w:rPr>
      </w:pPr>
    </w:p>
    <w:p w14:paraId="385948F5">
      <w:pPr>
        <w:spacing w:line="360" w:lineRule="auto"/>
        <w:jc w:val="center"/>
        <w:rPr>
          <w:rFonts w:ascii="Arial Narrow" w:hAnsi="Arial Narrow" w:eastAsiaTheme="minorEastAsia"/>
          <w:b/>
          <w:bCs/>
          <w:sz w:val="36"/>
          <w:szCs w:val="36"/>
        </w:rPr>
      </w:pPr>
    </w:p>
    <w:p w14:paraId="3C6B924F">
      <w:pPr>
        <w:spacing w:line="360" w:lineRule="auto"/>
        <w:jc w:val="center"/>
        <w:rPr>
          <w:rFonts w:ascii="Arial Narrow" w:hAnsi="Arial Narrow" w:eastAsiaTheme="minorEastAsia"/>
          <w:b/>
          <w:bCs/>
          <w:sz w:val="36"/>
          <w:szCs w:val="36"/>
        </w:rPr>
      </w:pPr>
    </w:p>
    <w:p w14:paraId="272830ED">
      <w:pPr>
        <w:spacing w:line="360" w:lineRule="auto"/>
        <w:jc w:val="center"/>
        <w:rPr>
          <w:rFonts w:ascii="Arial Narrow" w:hAnsi="Arial Narrow" w:eastAsiaTheme="minorEastAsia"/>
          <w:b/>
          <w:bCs/>
          <w:sz w:val="44"/>
          <w:szCs w:val="44"/>
        </w:rPr>
      </w:pPr>
    </w:p>
    <w:p w14:paraId="5523A030">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重庆市铜梁区2023年蒲吕街道青山村蔬菜</w:t>
      </w:r>
    </w:p>
    <w:p w14:paraId="70F59E42">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基地实施项目财政专项衔接资金</w:t>
      </w:r>
    </w:p>
    <w:p w14:paraId="3452CF37">
      <w:pPr>
        <w:adjustRightInd w:val="0"/>
        <w:snapToGrid w:val="0"/>
        <w:spacing w:line="360" w:lineRule="auto"/>
        <w:jc w:val="center"/>
        <w:rPr>
          <w:rFonts w:ascii="Arial Narrow" w:hAnsi="Arial Narrow" w:eastAsiaTheme="minorEastAsia"/>
          <w:b/>
          <w:sz w:val="44"/>
          <w:szCs w:val="44"/>
        </w:rPr>
      </w:pPr>
    </w:p>
    <w:p w14:paraId="38A7D93A">
      <w:pPr>
        <w:adjustRightInd w:val="0"/>
        <w:snapToGrid w:val="0"/>
        <w:spacing w:line="360" w:lineRule="auto"/>
        <w:jc w:val="center"/>
        <w:rPr>
          <w:rFonts w:ascii="Arial Narrow" w:hAnsi="Arial Narrow" w:eastAsiaTheme="minorEastAsia"/>
          <w:b/>
          <w:sz w:val="44"/>
          <w:szCs w:val="44"/>
        </w:rPr>
      </w:pPr>
    </w:p>
    <w:p w14:paraId="317F9DAD">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7C96018B">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铭鸿咨字【2024】第0039号</w:t>
      </w:r>
    </w:p>
    <w:p w14:paraId="309F05C6">
      <w:pPr>
        <w:adjustRightInd w:val="0"/>
        <w:snapToGrid w:val="0"/>
        <w:spacing w:line="360" w:lineRule="auto"/>
        <w:jc w:val="center"/>
        <w:rPr>
          <w:rFonts w:ascii="Arial Narrow" w:hAnsi="Arial Narrow" w:eastAsiaTheme="minorEastAsia"/>
          <w:b/>
          <w:spacing w:val="100"/>
          <w:sz w:val="32"/>
          <w:szCs w:val="32"/>
        </w:rPr>
      </w:pPr>
    </w:p>
    <w:p w14:paraId="12889A11">
      <w:pPr>
        <w:adjustRightInd w:val="0"/>
        <w:snapToGrid w:val="0"/>
        <w:spacing w:line="360" w:lineRule="auto"/>
        <w:jc w:val="center"/>
        <w:rPr>
          <w:rFonts w:ascii="Arial Narrow" w:hAnsi="Arial Narrow" w:eastAsiaTheme="minorEastAsia"/>
          <w:b/>
          <w:spacing w:val="100"/>
          <w:sz w:val="32"/>
          <w:szCs w:val="32"/>
        </w:rPr>
      </w:pPr>
    </w:p>
    <w:p w14:paraId="06922588">
      <w:pPr>
        <w:adjustRightInd w:val="0"/>
        <w:snapToGrid w:val="0"/>
        <w:spacing w:line="360" w:lineRule="auto"/>
        <w:jc w:val="center"/>
        <w:rPr>
          <w:rFonts w:ascii="Arial Narrow" w:hAnsi="Arial Narrow" w:eastAsiaTheme="minorEastAsia"/>
          <w:b/>
          <w:spacing w:val="100"/>
          <w:sz w:val="32"/>
          <w:szCs w:val="32"/>
        </w:rPr>
      </w:pPr>
    </w:p>
    <w:p w14:paraId="00B21E19">
      <w:pPr>
        <w:adjustRightInd w:val="0"/>
        <w:snapToGrid w:val="0"/>
        <w:spacing w:line="360" w:lineRule="auto"/>
        <w:jc w:val="center"/>
        <w:rPr>
          <w:rFonts w:ascii="Arial Narrow" w:hAnsi="Arial Narrow" w:eastAsiaTheme="minorEastAsia"/>
          <w:b/>
          <w:spacing w:val="100"/>
          <w:sz w:val="32"/>
          <w:szCs w:val="32"/>
        </w:rPr>
      </w:pPr>
    </w:p>
    <w:p w14:paraId="64DFF67A">
      <w:pPr>
        <w:adjustRightInd w:val="0"/>
        <w:snapToGrid w:val="0"/>
        <w:spacing w:line="360" w:lineRule="auto"/>
        <w:jc w:val="center"/>
        <w:rPr>
          <w:rFonts w:ascii="Arial Narrow" w:hAnsi="Arial Narrow" w:eastAsiaTheme="minorEastAsia"/>
          <w:b/>
          <w:spacing w:val="100"/>
          <w:sz w:val="32"/>
          <w:szCs w:val="32"/>
        </w:rPr>
      </w:pPr>
    </w:p>
    <w:p w14:paraId="41844F45">
      <w:pPr>
        <w:adjustRightInd w:val="0"/>
        <w:snapToGrid w:val="0"/>
        <w:spacing w:line="360" w:lineRule="auto"/>
        <w:jc w:val="center"/>
        <w:rPr>
          <w:rFonts w:ascii="Arial Narrow" w:hAnsi="Arial Narrow" w:eastAsiaTheme="minorEastAsia"/>
          <w:b/>
          <w:spacing w:val="100"/>
          <w:sz w:val="32"/>
          <w:szCs w:val="32"/>
        </w:rPr>
      </w:pPr>
    </w:p>
    <w:p w14:paraId="7A1C1795">
      <w:pPr>
        <w:adjustRightInd w:val="0"/>
        <w:snapToGrid w:val="0"/>
        <w:spacing w:line="360" w:lineRule="auto"/>
        <w:jc w:val="center"/>
        <w:rPr>
          <w:rFonts w:ascii="Arial Narrow" w:hAnsi="Arial Narrow" w:eastAsiaTheme="minorEastAsia"/>
          <w:b/>
          <w:spacing w:val="100"/>
          <w:sz w:val="32"/>
          <w:szCs w:val="32"/>
        </w:rPr>
      </w:pPr>
    </w:p>
    <w:p w14:paraId="7B53C1AB">
      <w:pPr>
        <w:adjustRightInd w:val="0"/>
        <w:snapToGrid w:val="0"/>
        <w:spacing w:line="360" w:lineRule="auto"/>
        <w:jc w:val="center"/>
        <w:rPr>
          <w:rFonts w:ascii="Arial Narrow" w:hAnsi="Arial Narrow" w:eastAsiaTheme="minorEastAsia"/>
          <w:b/>
          <w:spacing w:val="100"/>
          <w:sz w:val="32"/>
          <w:szCs w:val="32"/>
        </w:rPr>
      </w:pPr>
    </w:p>
    <w:p w14:paraId="08723EB1">
      <w:pPr>
        <w:adjustRightInd w:val="0"/>
        <w:snapToGrid w:val="0"/>
        <w:spacing w:line="360" w:lineRule="auto"/>
        <w:jc w:val="center"/>
        <w:rPr>
          <w:rFonts w:ascii="Arial Narrow" w:hAnsi="Arial Narrow" w:eastAsiaTheme="minorEastAsia"/>
          <w:b/>
          <w:spacing w:val="100"/>
          <w:sz w:val="32"/>
          <w:szCs w:val="32"/>
        </w:rPr>
      </w:pPr>
    </w:p>
    <w:p w14:paraId="247B52FC">
      <w:pPr>
        <w:adjustRightInd w:val="0"/>
        <w:snapToGrid w:val="0"/>
        <w:spacing w:line="360" w:lineRule="auto"/>
        <w:jc w:val="center"/>
        <w:rPr>
          <w:rFonts w:ascii="Arial Narrow" w:hAnsi="Arial Narrow" w:eastAsiaTheme="minorEastAsia"/>
          <w:b/>
          <w:spacing w:val="100"/>
          <w:sz w:val="32"/>
          <w:szCs w:val="32"/>
        </w:rPr>
      </w:pPr>
    </w:p>
    <w:p w14:paraId="213BE778">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2C3E7543">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7C312458">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6D790B6F">
      <w:pPr>
        <w:spacing w:line="360" w:lineRule="auto"/>
        <w:jc w:val="center"/>
        <w:rPr>
          <w:rFonts w:ascii="Arial Narrow" w:hAnsi="Arial Narrow" w:eastAsiaTheme="minorEastAsia"/>
          <w:sz w:val="24"/>
        </w:rPr>
      </w:pPr>
    </w:p>
    <w:p w14:paraId="0F7C1F68">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"_Toc171671938" </w:instrText>
      </w:r>
      <w:r>
        <w:fldChar w:fldCharType="separate"/>
      </w:r>
      <w:r>
        <w:rPr>
          <w:rStyle w:val="11"/>
        </w:rPr>
        <w:t>一、基本情况</w:t>
      </w:r>
      <w:r>
        <w:tab/>
      </w:r>
      <w:r>
        <w:fldChar w:fldCharType="begin"/>
      </w:r>
      <w:r>
        <w:instrText xml:space="preserve"> PAGEREF _Toc171671938 \h </w:instrText>
      </w:r>
      <w:r>
        <w:fldChar w:fldCharType="separate"/>
      </w:r>
      <w:r>
        <w:t>1</w:t>
      </w:r>
      <w:r>
        <w:fldChar w:fldCharType="end"/>
      </w:r>
      <w:r>
        <w:fldChar w:fldCharType="end"/>
      </w:r>
    </w:p>
    <w:p w14:paraId="1E6499F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"_Toc171671939" </w:instrText>
      </w:r>
      <w:r>
        <w:fldChar w:fldCharType="separate"/>
      </w:r>
      <w:r>
        <w:rPr>
          <w:rStyle w:val="11"/>
          <w:rFonts w:cs="宋体"/>
          <w:kern w:val="0"/>
        </w:rPr>
        <w:t>（一）项目情况</w:t>
      </w:r>
      <w:r>
        <w:tab/>
      </w:r>
      <w:r>
        <w:fldChar w:fldCharType="begin"/>
      </w:r>
      <w:r>
        <w:instrText xml:space="preserve"> PAGEREF _Toc171671939 \h </w:instrText>
      </w:r>
      <w:r>
        <w:fldChar w:fldCharType="separate"/>
      </w:r>
      <w:r>
        <w:t>1</w:t>
      </w:r>
      <w:r>
        <w:fldChar w:fldCharType="end"/>
      </w:r>
      <w:r>
        <w:fldChar w:fldCharType="end"/>
      </w:r>
    </w:p>
    <w:p w14:paraId="41B4A31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"_Toc171671940" </w:instrText>
      </w:r>
      <w:r>
        <w:fldChar w:fldCharType="separate"/>
      </w:r>
      <w:r>
        <w:rPr>
          <w:rStyle w:val="11"/>
        </w:rPr>
        <w:t>二、绩效评价工作情况</w:t>
      </w:r>
      <w:r>
        <w:tab/>
      </w:r>
      <w:r>
        <w:fldChar w:fldCharType="begin"/>
      </w:r>
      <w:r>
        <w:instrText xml:space="preserve"> PAGEREF _Toc171671940 \h </w:instrText>
      </w:r>
      <w:r>
        <w:fldChar w:fldCharType="separate"/>
      </w:r>
      <w:r>
        <w:t>2</w:t>
      </w:r>
      <w:r>
        <w:fldChar w:fldCharType="end"/>
      </w:r>
      <w:r>
        <w:fldChar w:fldCharType="end"/>
      </w:r>
    </w:p>
    <w:p w14:paraId="7AF295BE">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"_Toc171671941" </w:instrText>
      </w:r>
      <w:r>
        <w:fldChar w:fldCharType="separate"/>
      </w:r>
      <w:r>
        <w:rPr>
          <w:rStyle w:val="11"/>
        </w:rPr>
        <w:t>（一）绩效评价目的</w:t>
      </w:r>
      <w:r>
        <w:tab/>
      </w:r>
      <w:r>
        <w:fldChar w:fldCharType="begin"/>
      </w:r>
      <w:r>
        <w:instrText xml:space="preserve"> PAGEREF _Toc171671941 \h </w:instrText>
      </w:r>
      <w:r>
        <w:fldChar w:fldCharType="separate"/>
      </w:r>
      <w:r>
        <w:t>2</w:t>
      </w:r>
      <w:r>
        <w:fldChar w:fldCharType="end"/>
      </w:r>
      <w:r>
        <w:fldChar w:fldCharType="end"/>
      </w:r>
    </w:p>
    <w:p w14:paraId="12232B5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"_Toc171671942" </w:instrText>
      </w:r>
      <w:r>
        <w:fldChar w:fldCharType="separate"/>
      </w:r>
      <w:r>
        <w:rPr>
          <w:rStyle w:val="11"/>
        </w:rPr>
        <w:t>（二）绩效评价的基本内容</w:t>
      </w:r>
      <w:r>
        <w:tab/>
      </w:r>
      <w:r>
        <w:fldChar w:fldCharType="begin"/>
      </w:r>
      <w:r>
        <w:instrText xml:space="preserve"> PAGEREF _Toc171671942 \h </w:instrText>
      </w:r>
      <w:r>
        <w:fldChar w:fldCharType="separate"/>
      </w:r>
      <w:r>
        <w:t>2</w:t>
      </w:r>
      <w:r>
        <w:fldChar w:fldCharType="end"/>
      </w:r>
      <w:r>
        <w:fldChar w:fldCharType="end"/>
      </w:r>
    </w:p>
    <w:p w14:paraId="3B0FF30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"_Toc171671943" </w:instrText>
      </w:r>
      <w:r>
        <w:fldChar w:fldCharType="separate"/>
      </w:r>
      <w:r>
        <w:rPr>
          <w:rStyle w:val="11"/>
        </w:rPr>
        <w:t>（三）绩效评价依据</w:t>
      </w:r>
      <w:r>
        <w:tab/>
      </w:r>
      <w:r>
        <w:fldChar w:fldCharType="begin"/>
      </w:r>
      <w:r>
        <w:instrText xml:space="preserve"> PAGEREF _Toc171671943 \h </w:instrText>
      </w:r>
      <w:r>
        <w:fldChar w:fldCharType="separate"/>
      </w:r>
      <w:r>
        <w:t>2</w:t>
      </w:r>
      <w:r>
        <w:fldChar w:fldCharType="end"/>
      </w:r>
      <w:r>
        <w:fldChar w:fldCharType="end"/>
      </w:r>
    </w:p>
    <w:p w14:paraId="259733E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"_Toc171671944" </w:instrText>
      </w:r>
      <w:r>
        <w:fldChar w:fldCharType="separate"/>
      </w:r>
      <w:r>
        <w:rPr>
          <w:rStyle w:val="11"/>
        </w:rPr>
        <w:t>（四）绩效评价原则和指标体系</w:t>
      </w:r>
      <w:r>
        <w:tab/>
      </w:r>
      <w:r>
        <w:fldChar w:fldCharType="begin"/>
      </w:r>
      <w:r>
        <w:instrText xml:space="preserve"> PAGEREF _Toc171671944 \h </w:instrText>
      </w:r>
      <w:r>
        <w:fldChar w:fldCharType="separate"/>
      </w:r>
      <w:r>
        <w:t>2</w:t>
      </w:r>
      <w:r>
        <w:fldChar w:fldCharType="end"/>
      </w:r>
      <w:r>
        <w:fldChar w:fldCharType="end"/>
      </w:r>
    </w:p>
    <w:p w14:paraId="4C97333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"_Toc171671945" </w:instrText>
      </w:r>
      <w:r>
        <w:fldChar w:fldCharType="separate"/>
      </w:r>
      <w:r>
        <w:rPr>
          <w:rStyle w:val="11"/>
        </w:rPr>
        <w:t>（五）绩效评价标准和评价方法</w:t>
      </w:r>
      <w:r>
        <w:tab/>
      </w:r>
      <w:r>
        <w:fldChar w:fldCharType="begin"/>
      </w:r>
      <w:r>
        <w:instrText xml:space="preserve"> PAGEREF _Toc171671945 \h </w:instrText>
      </w:r>
      <w:r>
        <w:fldChar w:fldCharType="separate"/>
      </w:r>
      <w:r>
        <w:t>5</w:t>
      </w:r>
      <w:r>
        <w:fldChar w:fldCharType="end"/>
      </w:r>
      <w:r>
        <w:fldChar w:fldCharType="end"/>
      </w:r>
    </w:p>
    <w:p w14:paraId="75C0A80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"_Toc171671946" </w:instrText>
      </w:r>
      <w:r>
        <w:fldChar w:fldCharType="separate"/>
      </w:r>
      <w:r>
        <w:rPr>
          <w:rStyle w:val="11"/>
        </w:rPr>
        <w:t>（六）绩效评价工作过程</w:t>
      </w:r>
      <w:r>
        <w:tab/>
      </w:r>
      <w:r>
        <w:fldChar w:fldCharType="begin"/>
      </w:r>
      <w:r>
        <w:instrText xml:space="preserve"> PAGEREF _Toc171671946 \h </w:instrText>
      </w:r>
      <w:r>
        <w:fldChar w:fldCharType="separate"/>
      </w:r>
      <w:r>
        <w:t>5</w:t>
      </w:r>
      <w:r>
        <w:fldChar w:fldCharType="end"/>
      </w:r>
      <w:r>
        <w:fldChar w:fldCharType="end"/>
      </w:r>
    </w:p>
    <w:p w14:paraId="69C8A3A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"_Toc171671947" </w:instrText>
      </w:r>
      <w:r>
        <w:fldChar w:fldCharType="separate"/>
      </w:r>
      <w:r>
        <w:rPr>
          <w:rStyle w:val="11"/>
        </w:rPr>
        <w:t>三、项目评价结论</w:t>
      </w:r>
      <w:r>
        <w:tab/>
      </w:r>
      <w:r>
        <w:fldChar w:fldCharType="begin"/>
      </w:r>
      <w:r>
        <w:instrText xml:space="preserve"> PAGEREF _Toc171671947 \h </w:instrText>
      </w:r>
      <w:r>
        <w:fldChar w:fldCharType="separate"/>
      </w:r>
      <w:r>
        <w:t>6</w:t>
      </w:r>
      <w:r>
        <w:fldChar w:fldCharType="end"/>
      </w:r>
      <w:r>
        <w:fldChar w:fldCharType="end"/>
      </w:r>
    </w:p>
    <w:p w14:paraId="4674178C">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"_Toc171671948" </w:instrText>
      </w:r>
      <w:r>
        <w:fldChar w:fldCharType="separate"/>
      </w:r>
      <w:r>
        <w:rPr>
          <w:rStyle w:val="11"/>
        </w:rPr>
        <w:t>四、综合评价情况</w:t>
      </w:r>
      <w:r>
        <w:tab/>
      </w:r>
      <w:r>
        <w:fldChar w:fldCharType="begin"/>
      </w:r>
      <w:r>
        <w:instrText xml:space="preserve"> PAGEREF _Toc171671948 \h </w:instrText>
      </w:r>
      <w:r>
        <w:fldChar w:fldCharType="separate"/>
      </w:r>
      <w:r>
        <w:t>6</w:t>
      </w:r>
      <w:r>
        <w:fldChar w:fldCharType="end"/>
      </w:r>
      <w:r>
        <w:fldChar w:fldCharType="end"/>
      </w:r>
    </w:p>
    <w:p w14:paraId="2099F7F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"_Toc171671949" </w:instrText>
      </w:r>
      <w:r>
        <w:fldChar w:fldCharType="separate"/>
      </w:r>
      <w:r>
        <w:rPr>
          <w:rStyle w:val="11"/>
        </w:rPr>
        <w:t>（一）资金管理</w:t>
      </w:r>
      <w:r>
        <w:tab/>
      </w:r>
      <w:r>
        <w:fldChar w:fldCharType="begin"/>
      </w:r>
      <w:r>
        <w:instrText xml:space="preserve"> PAGEREF _Toc171671949 \h </w:instrText>
      </w:r>
      <w:r>
        <w:fldChar w:fldCharType="separate"/>
      </w:r>
      <w:r>
        <w:t>6</w:t>
      </w:r>
      <w:r>
        <w:fldChar w:fldCharType="end"/>
      </w:r>
      <w:r>
        <w:fldChar w:fldCharType="end"/>
      </w:r>
    </w:p>
    <w:p w14:paraId="43E1F66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"_Toc171671950" </w:instrText>
      </w:r>
      <w:r>
        <w:fldChar w:fldCharType="separate"/>
      </w:r>
      <w:r>
        <w:rPr>
          <w:rStyle w:val="11"/>
        </w:rPr>
        <w:t>（二）项目管理</w:t>
      </w:r>
      <w:r>
        <w:tab/>
      </w:r>
      <w:r>
        <w:fldChar w:fldCharType="begin"/>
      </w:r>
      <w:r>
        <w:instrText xml:space="preserve"> PAGEREF _Toc171671950 \h </w:instrText>
      </w:r>
      <w:r>
        <w:fldChar w:fldCharType="separate"/>
      </w:r>
      <w:r>
        <w:t>6</w:t>
      </w:r>
      <w:r>
        <w:fldChar w:fldCharType="end"/>
      </w:r>
      <w:r>
        <w:fldChar w:fldCharType="end"/>
      </w:r>
    </w:p>
    <w:p w14:paraId="08C0F024">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"_Toc171671951" </w:instrText>
      </w:r>
      <w:r>
        <w:fldChar w:fldCharType="separate"/>
      </w:r>
      <w:r>
        <w:rPr>
          <w:rStyle w:val="11"/>
        </w:rPr>
        <w:t>（三）使用成效及通报情况</w:t>
      </w:r>
      <w:r>
        <w:tab/>
      </w:r>
      <w:r>
        <w:fldChar w:fldCharType="begin"/>
      </w:r>
      <w:r>
        <w:instrText xml:space="preserve"> PAGEREF _Toc171671951 \h </w:instrText>
      </w:r>
      <w:r>
        <w:fldChar w:fldCharType="separate"/>
      </w:r>
      <w:r>
        <w:t>7</w:t>
      </w:r>
      <w:r>
        <w:fldChar w:fldCharType="end"/>
      </w:r>
      <w:r>
        <w:fldChar w:fldCharType="end"/>
      </w:r>
    </w:p>
    <w:p w14:paraId="0AC94D0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"_Toc171671952" </w:instrText>
      </w:r>
      <w:r>
        <w:fldChar w:fldCharType="separate"/>
      </w:r>
      <w:r>
        <w:rPr>
          <w:rStyle w:val="11"/>
        </w:rPr>
        <w:t>五、存在的问题和建议</w:t>
      </w:r>
      <w:r>
        <w:tab/>
      </w:r>
      <w:r>
        <w:fldChar w:fldCharType="begin"/>
      </w:r>
      <w:r>
        <w:instrText xml:space="preserve"> PAGEREF _Toc171671952 \h </w:instrText>
      </w:r>
      <w:r>
        <w:fldChar w:fldCharType="separate"/>
      </w:r>
      <w:r>
        <w:t>7</w:t>
      </w:r>
      <w:r>
        <w:fldChar w:fldCharType="end"/>
      </w:r>
      <w:r>
        <w:fldChar w:fldCharType="end"/>
      </w:r>
    </w:p>
    <w:p w14:paraId="277F5D1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"_Toc171671953" </w:instrText>
      </w:r>
      <w:r>
        <w:fldChar w:fldCharType="separate"/>
      </w:r>
      <w:r>
        <w:rPr>
          <w:rStyle w:val="11"/>
        </w:rPr>
        <w:t>（一）存在问题</w:t>
      </w:r>
      <w:r>
        <w:tab/>
      </w:r>
      <w:r>
        <w:fldChar w:fldCharType="begin"/>
      </w:r>
      <w:r>
        <w:instrText xml:space="preserve"> PAGEREF _Toc171671953 \h </w:instrText>
      </w:r>
      <w:r>
        <w:fldChar w:fldCharType="separate"/>
      </w:r>
      <w:r>
        <w:t>7</w:t>
      </w:r>
      <w:r>
        <w:fldChar w:fldCharType="end"/>
      </w:r>
      <w:r>
        <w:fldChar w:fldCharType="end"/>
      </w:r>
    </w:p>
    <w:p w14:paraId="0B58124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"_Toc171671954" </w:instrText>
      </w:r>
      <w:r>
        <w:fldChar w:fldCharType="separate"/>
      </w:r>
      <w:r>
        <w:rPr>
          <w:rStyle w:val="11"/>
        </w:rPr>
        <w:t>（二）建议</w:t>
      </w:r>
      <w:r>
        <w:tab/>
      </w:r>
      <w:r>
        <w:fldChar w:fldCharType="begin"/>
      </w:r>
      <w:r>
        <w:instrText xml:space="preserve"> PAGEREF _Toc171671954 \h </w:instrText>
      </w:r>
      <w:r>
        <w:fldChar w:fldCharType="separate"/>
      </w:r>
      <w:r>
        <w:t>7</w:t>
      </w:r>
      <w:r>
        <w:fldChar w:fldCharType="end"/>
      </w:r>
      <w:r>
        <w:fldChar w:fldCharType="end"/>
      </w:r>
    </w:p>
    <w:p w14:paraId="6322FB69">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0FCF7F0F">
      <w:pPr>
        <w:spacing w:line="360" w:lineRule="auto"/>
        <w:jc w:val="right"/>
        <w:rPr>
          <w:rFonts w:ascii="Arial Narrow" w:hAnsi="Arial Narrow" w:eastAsiaTheme="minorEastAsia"/>
          <w:bCs/>
          <w:w w:val="80"/>
          <w:sz w:val="28"/>
          <w:szCs w:val="28"/>
        </w:rPr>
      </w:pPr>
    </w:p>
    <w:p w14:paraId="3DD2769C">
      <w:pPr>
        <w:spacing w:line="360" w:lineRule="auto"/>
        <w:jc w:val="right"/>
        <w:rPr>
          <w:rFonts w:ascii="Arial Narrow" w:hAnsi="Arial Narrow" w:eastAsiaTheme="minorEastAsia"/>
          <w:bCs/>
          <w:w w:val="80"/>
          <w:sz w:val="28"/>
          <w:szCs w:val="28"/>
        </w:rPr>
      </w:pPr>
    </w:p>
    <w:p w14:paraId="20331E56">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43024D6A">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6B010F56">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鸿咨字〔2024〕第0039号</w:t>
      </w:r>
    </w:p>
    <w:p w14:paraId="0F510237">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3966E2EB">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重庆市铜梁区2023年蒲吕街道青山村蔬菜基地实施项目</w:t>
      </w:r>
    </w:p>
    <w:p w14:paraId="42482661">
      <w:pPr>
        <w:adjustRightInd w:val="0"/>
        <w:snapToGrid w:val="0"/>
        <w:spacing w:line="360" w:lineRule="auto"/>
        <w:jc w:val="center"/>
        <w:rPr>
          <w:rFonts w:ascii="Arial Narrow" w:hAnsi="Arial Narrow" w:eastAsiaTheme="minorEastAsia"/>
          <w:b/>
          <w:sz w:val="36"/>
          <w:szCs w:val="36"/>
        </w:rPr>
      </w:pPr>
      <w:r>
        <w:rPr>
          <w:rFonts w:ascii="Arial Narrow" w:hAnsi="Arial Narrow" w:eastAsiaTheme="minorEastAsia"/>
          <w:b/>
          <w:sz w:val="36"/>
          <w:szCs w:val="36"/>
        </w:rPr>
        <w:t>绩效评价报告</w:t>
      </w:r>
    </w:p>
    <w:p w14:paraId="40DEF91B">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hint="eastAsia"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hint="eastAsia" w:ascii="宋体" w:hAnsi="宋体" w:eastAsia="宋体" w:cs="宋体"/>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hint="eastAsia" w:ascii="宋体" w:hAnsi="宋体" w:eastAsia="宋体" w:cs="宋体"/>
          <w:color w:val="auto"/>
        </w:rPr>
        <w:t>振兴局</w:t>
      </w:r>
      <w:r>
        <w:rPr>
          <w:rFonts w:hint="eastAsia" w:ascii="仿宋" w:hAnsi="仿宋" w:eastAsia="仿宋" w:cs="仿宋"/>
          <w:color w:val="auto"/>
        </w:rPr>
        <w:t>”</w:t>
      </w:r>
      <w:r>
        <w:rPr>
          <w:rFonts w:ascii="Arial Narrow" w:hAnsi="Arial Narrow" w:eastAsiaTheme="minorEastAsia"/>
          <w:color w:val="auto"/>
        </w:rPr>
        <w:t>）渝快助农贷风险补偿金等4个项目进行绩效评价，现将评价情况报告如下：</w:t>
      </w:r>
    </w:p>
    <w:p w14:paraId="26538574">
      <w:pPr>
        <w:spacing w:before="240" w:beforeLines="100" w:line="360" w:lineRule="auto"/>
        <w:ind w:firstLine="482" w:firstLineChars="200"/>
        <w:jc w:val="left"/>
        <w:outlineLvl w:val="0"/>
        <w:rPr>
          <w:rFonts w:ascii="Arial Narrow" w:hAnsi="Arial Narrow" w:eastAsiaTheme="minorEastAsia"/>
          <w:b/>
          <w:sz w:val="24"/>
        </w:rPr>
      </w:pPr>
      <w:bookmarkStart w:id="3" w:name="_Toc171671938"/>
      <w:r>
        <w:rPr>
          <w:rFonts w:ascii="Arial Narrow" w:hAnsi="Arial Narrow" w:eastAsiaTheme="minorEastAsia"/>
          <w:b/>
          <w:sz w:val="24"/>
        </w:rPr>
        <w:t>一、基本情况</w:t>
      </w:r>
      <w:bookmarkEnd w:id="3"/>
    </w:p>
    <w:p w14:paraId="3FC62069">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71939"/>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p>
    <w:p w14:paraId="3D7BAE1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1.铜梁区2023年蒲吕街道青山村蔬菜基地实施项目</w:t>
      </w:r>
    </w:p>
    <w:p w14:paraId="7D71E3F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铜梁区蒲吕街道青山村股份经济合作联合社</w:t>
      </w:r>
    </w:p>
    <w:p w14:paraId="370E564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项目内容：在蒲吕街道青山村2-7组实施</w:t>
      </w:r>
      <w:r>
        <w:rPr>
          <w:rFonts w:hint="eastAsia" w:ascii="Arial Narrow" w:hAnsi="Arial Narrow" w:cs="宋体" w:eastAsiaTheme="minorEastAsia"/>
          <w:kern w:val="0"/>
          <w:sz w:val="24"/>
          <w:lang w:eastAsia="zh-CN"/>
        </w:rPr>
        <w:t>以下</w:t>
      </w:r>
      <w:r>
        <w:rPr>
          <w:rFonts w:ascii="Arial Narrow" w:hAnsi="Arial Narrow" w:cs="宋体" w:eastAsiaTheme="minorEastAsia"/>
          <w:kern w:val="0"/>
          <w:sz w:val="24"/>
        </w:rPr>
        <w:t>项目内容：新建单栋钢管大棚2624平米；露地滴灌13200平米；露地喷灌13200平米；15KW三相水泵2台；1.6Mpa 110PE2000米；灌溉地三口蓄水约6409立方米，含土石方开挖利用余渣筑边坡，其斜度约70-75度，垂直深度约1.5-2.0米宽，及四周和底部铺设土工膜2400平米，及安装引水管道；灌溉池四周硬化生产便道长600米、宽1.5米、厚0.1米C20自拌混凝土硬化。</w:t>
      </w:r>
    </w:p>
    <w:p w14:paraId="5F45882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项目资金安排情况：该项目2023年计划投入50.389211万元，其中财政补助资金50万元，其余部分为自筹资金。</w:t>
      </w:r>
    </w:p>
    <w:p w14:paraId="6F177FA7">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项目起止时间：2023年5月25日-2023年11月30日</w:t>
      </w:r>
    </w:p>
    <w:p w14:paraId="676B67B9">
      <w:pPr>
        <w:spacing w:line="360" w:lineRule="auto"/>
        <w:ind w:firstLine="480" w:firstLineChars="200"/>
        <w:rPr>
          <w:rFonts w:ascii="Arial Narrow" w:hAnsi="Arial Narrow" w:cs="宋体" w:eastAsiaTheme="minorEastAsia"/>
          <w:kern w:val="0"/>
          <w:sz w:val="24"/>
        </w:rPr>
      </w:pPr>
    </w:p>
    <w:p w14:paraId="59DDCBEF">
      <w:pPr>
        <w:spacing w:line="360" w:lineRule="auto"/>
        <w:ind w:firstLine="482" w:firstLineChars="200"/>
        <w:jc w:val="left"/>
        <w:outlineLvl w:val="0"/>
        <w:rPr>
          <w:rFonts w:ascii="Arial Narrow" w:hAnsi="Arial Narrow" w:eastAsiaTheme="minorEastAsia"/>
          <w:b/>
          <w:sz w:val="24"/>
        </w:rPr>
      </w:pPr>
      <w:bookmarkStart w:id="5" w:name="_Toc171671940"/>
      <w:r>
        <w:rPr>
          <w:rFonts w:ascii="Arial Narrow" w:hAnsi="Arial Narrow" w:eastAsiaTheme="minorEastAsia"/>
          <w:b/>
          <w:sz w:val="24"/>
        </w:rPr>
        <w:t>二、绩效评价工作情况</w:t>
      </w:r>
      <w:bookmarkEnd w:id="5"/>
    </w:p>
    <w:p w14:paraId="61967DED">
      <w:pPr>
        <w:spacing w:line="360" w:lineRule="auto"/>
        <w:ind w:firstLine="482" w:firstLineChars="200"/>
        <w:jc w:val="left"/>
        <w:outlineLvl w:val="0"/>
        <w:rPr>
          <w:rFonts w:ascii="Arial Narrow" w:hAnsi="Arial Narrow" w:eastAsiaTheme="minorEastAsia"/>
          <w:b/>
          <w:sz w:val="24"/>
        </w:rPr>
      </w:pPr>
      <w:bookmarkStart w:id="6" w:name="_Toc171671941"/>
      <w:bookmarkStart w:id="7" w:name="_Toc513775099"/>
      <w:r>
        <w:rPr>
          <w:rFonts w:ascii="Arial Narrow" w:hAnsi="Arial Narrow" w:eastAsiaTheme="minorEastAsia"/>
          <w:b/>
          <w:sz w:val="24"/>
        </w:rPr>
        <w:t>（一）绩效评价目的</w:t>
      </w:r>
      <w:bookmarkEnd w:id="6"/>
      <w:bookmarkEnd w:id="7"/>
    </w:p>
    <w:p w14:paraId="1F552F0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63B55960">
      <w:pPr>
        <w:spacing w:line="360" w:lineRule="auto"/>
        <w:ind w:firstLine="482" w:firstLineChars="200"/>
        <w:jc w:val="left"/>
        <w:outlineLvl w:val="0"/>
        <w:rPr>
          <w:rFonts w:ascii="Arial Narrow" w:hAnsi="Arial Narrow" w:eastAsiaTheme="minorEastAsia"/>
          <w:b/>
          <w:sz w:val="24"/>
        </w:rPr>
      </w:pPr>
      <w:bookmarkStart w:id="8" w:name="_Toc171671942"/>
      <w:bookmarkStart w:id="9" w:name="_Toc513775100"/>
      <w:r>
        <w:rPr>
          <w:rFonts w:ascii="Arial Narrow" w:hAnsi="Arial Narrow" w:eastAsiaTheme="minorEastAsia"/>
          <w:b/>
          <w:sz w:val="24"/>
        </w:rPr>
        <w:t>（二）绩效评价的基本内容</w:t>
      </w:r>
      <w:bookmarkEnd w:id="8"/>
    </w:p>
    <w:p w14:paraId="2C7A6118">
      <w:pPr>
        <w:pStyle w:val="14"/>
        <w:spacing w:line="360" w:lineRule="auto"/>
        <w:ind w:firstLine="480" w:firstLineChars="200"/>
        <w:rPr>
          <w:rFonts w:ascii="Arial Narrow" w:hAnsi="Arial Narrow" w:eastAsiaTheme="minorEastAsia"/>
          <w:color w:val="auto"/>
        </w:rPr>
      </w:pPr>
      <w:bookmarkStart w:id="10" w:name="_Toc166332968"/>
      <w:r>
        <w:rPr>
          <w:rFonts w:ascii="Arial Narrow" w:hAnsi="Arial Narrow" w:eastAsiaTheme="minorEastAsia"/>
          <w:color w:val="auto"/>
        </w:rPr>
        <w:t>1.绩效目标的设定情况；</w:t>
      </w:r>
    </w:p>
    <w:p w14:paraId="35D89A9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62F904E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6E5219D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7347AB1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32D69A85">
      <w:pPr>
        <w:spacing w:line="360" w:lineRule="auto"/>
        <w:ind w:firstLine="482" w:firstLineChars="200"/>
        <w:jc w:val="left"/>
        <w:outlineLvl w:val="0"/>
        <w:rPr>
          <w:rFonts w:ascii="Arial Narrow" w:hAnsi="Arial Narrow" w:eastAsiaTheme="minorEastAsia"/>
          <w:b/>
          <w:sz w:val="24"/>
        </w:rPr>
      </w:pPr>
      <w:bookmarkStart w:id="11" w:name="_Toc171671943"/>
      <w:r>
        <w:rPr>
          <w:rFonts w:ascii="Arial Narrow" w:hAnsi="Arial Narrow" w:eastAsiaTheme="minorEastAsia"/>
          <w:b/>
          <w:sz w:val="24"/>
        </w:rPr>
        <w:t>（三）绩效评价依据</w:t>
      </w:r>
      <w:bookmarkEnd w:id="9"/>
      <w:bookmarkEnd w:id="10"/>
      <w:bookmarkEnd w:id="11"/>
      <w:bookmarkStart w:id="12" w:name="_Toc335040595"/>
    </w:p>
    <w:bookmarkEnd w:id="12"/>
    <w:p w14:paraId="1A1BD9E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62A487F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4F6CA39F">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6AD1DEA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仿宋" w:hAnsi="仿宋" w:eastAsia="仿宋" w:cs="仿宋"/>
          <w:color w:val="auto"/>
        </w:rPr>
        <w:t>(试行)</w:t>
      </w:r>
      <w:r>
        <w:rPr>
          <w:rFonts w:ascii="Arial Narrow" w:hAnsi="Arial Narrow" w:eastAsiaTheme="minorEastAsia"/>
          <w:color w:val="auto"/>
        </w:rPr>
        <w:t>》（铜财〔2022〕41号）</w:t>
      </w:r>
    </w:p>
    <w:p w14:paraId="060A6D4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63F459D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794B90F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446E4AA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399A6BB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7409A7D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3" w:name="_Hlk162597612"/>
      <w:r>
        <w:rPr>
          <w:rFonts w:ascii="Arial Narrow" w:hAnsi="Arial Narrow" w:eastAsiaTheme="minorEastAsia"/>
          <w:color w:val="auto"/>
        </w:rPr>
        <w:t>〔2016〕</w:t>
      </w:r>
      <w:bookmarkEnd w:id="13"/>
      <w:r>
        <w:rPr>
          <w:rFonts w:ascii="Arial Narrow" w:hAnsi="Arial Narrow" w:eastAsiaTheme="minorEastAsia"/>
          <w:color w:val="auto"/>
        </w:rPr>
        <w:t>10号）</w:t>
      </w:r>
    </w:p>
    <w:p w14:paraId="4AC92B6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7D26F737">
      <w:pPr>
        <w:spacing w:line="360" w:lineRule="auto"/>
        <w:ind w:firstLine="482" w:firstLineChars="200"/>
        <w:jc w:val="left"/>
        <w:outlineLvl w:val="0"/>
        <w:rPr>
          <w:rFonts w:ascii="Arial Narrow" w:hAnsi="Arial Narrow" w:eastAsiaTheme="minorEastAsia"/>
          <w:b/>
          <w:sz w:val="24"/>
        </w:rPr>
      </w:pPr>
      <w:bookmarkStart w:id="14" w:name="_Toc171671944"/>
      <w:r>
        <w:rPr>
          <w:rFonts w:ascii="Arial Narrow" w:hAnsi="Arial Narrow" w:eastAsiaTheme="minorEastAsia"/>
          <w:b/>
          <w:sz w:val="24"/>
        </w:rPr>
        <w:t>（四）绩效评价原则和指标体系</w:t>
      </w:r>
      <w:bookmarkEnd w:id="14"/>
    </w:p>
    <w:p w14:paraId="77B61C3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464CA70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50D622C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3716D6B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0F746CA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3FC2166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5014867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435AFAAE">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仿宋" w:hAnsi="仿宋" w:eastAsia="仿宋" w:cs="仿宋"/>
          <w:color w:val="auto"/>
        </w:rPr>
        <w:t>)</w:t>
      </w:r>
      <w:r>
        <w:rPr>
          <w:rFonts w:ascii="Arial Narrow" w:hAnsi="Arial Narrow" w:eastAsiaTheme="minorEastAsia"/>
          <w:color w:val="auto"/>
        </w:rPr>
        <w:t>，本次绩效评价及考核指标体系如下：</w:t>
      </w:r>
    </w:p>
    <w:p w14:paraId="6F32E873">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148EF290">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0D7BC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3B3FE8F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623DD45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E974E8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497AF48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7FF910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65F0B84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AD8068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37C26A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0D62D4C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2C7BFC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0F5A88D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42C0BF6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7D21E8B3">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78C56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08AFEDE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EA3BF1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41D6F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58CE403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449C66C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35522F14">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EB175C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CE1953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4C2D8E9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7B7B4EE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234B6F0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11B11EB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1DBEEB40">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863D09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27AF75AC">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616C54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B52EB1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6022587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7167DB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4CC8B138">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49002C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0C822217">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B38ABD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1F804CA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7427767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890D40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5BD7E66C">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6DA64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56C9203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FCE7B9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099286A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706665A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4A9B5B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3AF99D68">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07803B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B19466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D9F99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10D302D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263FF71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评价定期开展监督检查情况、发现问题整改情况。据未处理问题比例扣减。根据抽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BCC6AA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231BEC63">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FB0C2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70EC8658">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2F3CF0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0B8150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BE3413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50F97F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5912A0F3">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825DF5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472A664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C0DD93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927CC1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5DE4AE2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73404F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410D0A51">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31B6F8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BB6201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08A6874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603ED51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057FB7A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D74553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73C43C4A">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E913A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D7E7406">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7FF114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F85AE7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697DFB2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06D9A6A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FD53F72">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94CB1D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6B535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011EE52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59E5994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BB418F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69CDCED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6326FDF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027FD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1AE6C5C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4F265F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7C0223D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1262A12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58CB776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499C465A">
      <w:pPr>
        <w:spacing w:before="120" w:beforeLines="50" w:line="360" w:lineRule="auto"/>
        <w:ind w:firstLine="482" w:firstLineChars="200"/>
        <w:jc w:val="left"/>
        <w:outlineLvl w:val="0"/>
        <w:rPr>
          <w:rFonts w:ascii="Arial Narrow" w:hAnsi="Arial Narrow" w:eastAsiaTheme="minorEastAsia"/>
          <w:b/>
          <w:sz w:val="24"/>
        </w:rPr>
      </w:pPr>
      <w:bookmarkStart w:id="15" w:name="_Toc171671945"/>
      <w:r>
        <w:rPr>
          <w:rFonts w:ascii="Arial Narrow" w:hAnsi="Arial Narrow" w:eastAsiaTheme="minorEastAsia"/>
          <w:b/>
          <w:sz w:val="24"/>
        </w:rPr>
        <w:t>（五）绩效评价标准和评价方法</w:t>
      </w:r>
      <w:bookmarkEnd w:id="15"/>
    </w:p>
    <w:p w14:paraId="6A2EE1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6BFD5A2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2F2AA9D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6" w:name="_Hlk162596803"/>
      <w:r>
        <w:rPr>
          <w:rFonts w:ascii="Arial Narrow" w:hAnsi="Arial Narrow" w:eastAsiaTheme="minorEastAsia"/>
          <w:color w:val="auto"/>
        </w:rPr>
        <w:t>≥90</w:t>
      </w:r>
      <w:bookmarkEnd w:id="16"/>
      <w:r>
        <w:rPr>
          <w:rFonts w:ascii="Arial Narrow" w:hAnsi="Arial Narrow" w:eastAsiaTheme="minorEastAsia"/>
          <w:color w:val="auto"/>
        </w:rPr>
        <w:t>）、良</w:t>
      </w:r>
      <w:bookmarkStart w:id="17" w:name="_Hlk168473502"/>
      <w:r>
        <w:rPr>
          <w:rFonts w:ascii="Arial Narrow" w:hAnsi="Arial Narrow" w:eastAsiaTheme="minorEastAsia"/>
          <w:color w:val="auto"/>
        </w:rPr>
        <w:t>（90＞得分≥80）</w:t>
      </w:r>
      <w:bookmarkEnd w:id="17"/>
      <w:r>
        <w:rPr>
          <w:rFonts w:ascii="Arial Narrow" w:hAnsi="Arial Narrow" w:eastAsiaTheme="minorEastAsia"/>
          <w:color w:val="auto"/>
        </w:rPr>
        <w:t>、中（80＞得分≥60）、差（得分＜60）四个等级，按百分制综合得分高低按分值划段确定。</w:t>
      </w:r>
    </w:p>
    <w:p w14:paraId="13F5ECF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5ED7AAD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1F9E8A2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6C6F11E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052E9EA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679422F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63F18D1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0DE40610">
      <w:pPr>
        <w:spacing w:line="360" w:lineRule="auto"/>
        <w:ind w:firstLine="482" w:firstLineChars="200"/>
        <w:jc w:val="left"/>
        <w:outlineLvl w:val="0"/>
        <w:rPr>
          <w:rFonts w:ascii="Arial Narrow" w:hAnsi="Arial Narrow" w:eastAsiaTheme="minorEastAsia"/>
          <w:b/>
          <w:sz w:val="24"/>
        </w:rPr>
      </w:pPr>
      <w:bookmarkStart w:id="18" w:name="_Toc437528932"/>
      <w:bookmarkStart w:id="19" w:name="_Toc171671946"/>
      <w:r>
        <w:rPr>
          <w:rFonts w:ascii="Arial Narrow" w:hAnsi="Arial Narrow" w:eastAsiaTheme="minorEastAsia"/>
          <w:b/>
          <w:sz w:val="24"/>
        </w:rPr>
        <w:t>（六）绩效评价</w:t>
      </w:r>
      <w:bookmarkEnd w:id="18"/>
      <w:r>
        <w:rPr>
          <w:rFonts w:ascii="Arial Narrow" w:hAnsi="Arial Narrow" w:eastAsiaTheme="minorEastAsia"/>
          <w:b/>
          <w:sz w:val="24"/>
        </w:rPr>
        <w:t>工作过程</w:t>
      </w:r>
      <w:bookmarkEnd w:id="19"/>
    </w:p>
    <w:p w14:paraId="5A8F1BF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w:t>
      </w:r>
      <w:r>
        <w:rPr>
          <w:rFonts w:hint="eastAsia" w:ascii="Arial Narrow" w:hAnsi="Arial Narrow" w:eastAsiaTheme="minorEastAsia"/>
          <w:color w:val="auto"/>
        </w:rPr>
        <w:t>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3034F61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1D218ED3">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19D9B2A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2D85240B">
      <w:pPr>
        <w:spacing w:line="360" w:lineRule="auto"/>
        <w:ind w:firstLine="482" w:firstLineChars="200"/>
        <w:jc w:val="left"/>
        <w:outlineLvl w:val="0"/>
        <w:rPr>
          <w:rFonts w:ascii="Arial Narrow" w:hAnsi="Arial Narrow" w:eastAsiaTheme="minorEastAsia"/>
          <w:b/>
          <w:sz w:val="24"/>
        </w:rPr>
      </w:pPr>
      <w:bookmarkStart w:id="20" w:name="_Toc437528933"/>
      <w:bookmarkStart w:id="21" w:name="_Toc171671947"/>
      <w:r>
        <w:rPr>
          <w:rFonts w:ascii="Arial Narrow" w:hAnsi="Arial Narrow" w:eastAsiaTheme="minorEastAsia"/>
          <w:b/>
          <w:sz w:val="24"/>
        </w:rPr>
        <w:t>三、项目评价</w:t>
      </w:r>
      <w:bookmarkEnd w:id="20"/>
      <w:r>
        <w:rPr>
          <w:rFonts w:ascii="Arial Narrow" w:hAnsi="Arial Narrow" w:eastAsiaTheme="minorEastAsia"/>
          <w:b/>
          <w:sz w:val="24"/>
        </w:rPr>
        <w:t>结论</w:t>
      </w:r>
      <w:bookmarkEnd w:id="21"/>
    </w:p>
    <w:p w14:paraId="0C4256C6">
      <w:pPr>
        <w:spacing w:line="360" w:lineRule="auto"/>
        <w:ind w:firstLine="424" w:firstLineChars="177"/>
        <w:jc w:val="left"/>
        <w:rPr>
          <w:rFonts w:ascii="Arial Narrow" w:hAnsi="Arial Narrow" w:cs="宋体" w:eastAsiaTheme="minorEastAsia"/>
          <w:kern w:val="0"/>
          <w:sz w:val="24"/>
        </w:rPr>
      </w:pPr>
      <w:r>
        <w:rPr>
          <w:rFonts w:ascii="Arial Narrow" w:hAnsi="Arial Narrow" w:eastAsiaTheme="minorEastAsia"/>
          <w:sz w:val="24"/>
        </w:rPr>
        <w:t>铜梁区2023年蒲吕街道青山村蔬菜基地实施项目绩效评价得分9</w:t>
      </w:r>
      <w:r>
        <w:rPr>
          <w:rFonts w:hint="eastAsia" w:ascii="Arial Narrow" w:hAnsi="Arial Narrow" w:eastAsiaTheme="minorEastAsia"/>
          <w:sz w:val="24"/>
        </w:rPr>
        <w:t>7</w:t>
      </w:r>
      <w:r>
        <w:rPr>
          <w:rFonts w:ascii="Arial Narrow" w:hAnsi="Arial Narrow" w:eastAsiaTheme="minorEastAsia"/>
          <w:sz w:val="24"/>
        </w:rPr>
        <w:t>.</w:t>
      </w:r>
      <w:r>
        <w:rPr>
          <w:rFonts w:hint="eastAsia" w:ascii="Arial Narrow" w:hAnsi="Arial Narrow" w:eastAsiaTheme="minorEastAsia"/>
          <w:sz w:val="24"/>
        </w:rPr>
        <w:t>5</w:t>
      </w:r>
      <w:r>
        <w:rPr>
          <w:rFonts w:ascii="Arial Narrow" w:hAnsi="Arial Narrow" w:eastAsiaTheme="minorEastAsia"/>
          <w:sz w:val="24"/>
        </w:rPr>
        <w:t>0分，绩效评价等级为：优</w:t>
      </w:r>
      <w:r>
        <w:rPr>
          <w:rFonts w:ascii="Arial Narrow" w:hAnsi="Arial Narrow" w:cs="宋体" w:eastAsiaTheme="minorEastAsia"/>
          <w:kern w:val="0"/>
          <w:sz w:val="24"/>
        </w:rPr>
        <w:t>。</w:t>
      </w:r>
    </w:p>
    <w:p w14:paraId="0987325A">
      <w:pPr>
        <w:spacing w:line="360" w:lineRule="auto"/>
        <w:ind w:firstLine="482" w:firstLineChars="200"/>
        <w:outlineLvl w:val="0"/>
        <w:rPr>
          <w:rFonts w:ascii="Arial Narrow" w:hAnsi="Arial Narrow" w:eastAsiaTheme="minorEastAsia"/>
          <w:b/>
          <w:sz w:val="24"/>
        </w:rPr>
      </w:pPr>
      <w:bookmarkStart w:id="22" w:name="_Toc171671948"/>
      <w:r>
        <w:rPr>
          <w:rFonts w:ascii="Arial Narrow" w:hAnsi="Arial Narrow" w:eastAsiaTheme="minorEastAsia"/>
          <w:b/>
          <w:sz w:val="24"/>
        </w:rPr>
        <w:t>四、综合评价情况</w:t>
      </w:r>
      <w:bookmarkEnd w:id="22"/>
    </w:p>
    <w:p w14:paraId="23887312">
      <w:pPr>
        <w:spacing w:line="360" w:lineRule="auto"/>
        <w:ind w:firstLine="482" w:firstLineChars="200"/>
        <w:jc w:val="left"/>
        <w:outlineLvl w:val="0"/>
        <w:rPr>
          <w:rFonts w:ascii="Arial Narrow" w:hAnsi="Arial Narrow" w:eastAsiaTheme="minorEastAsia"/>
          <w:b/>
          <w:sz w:val="24"/>
        </w:rPr>
      </w:pPr>
      <w:bookmarkStart w:id="23" w:name="_Toc171671949"/>
      <w:r>
        <w:rPr>
          <w:rFonts w:ascii="Arial Narrow" w:hAnsi="Arial Narrow" w:eastAsiaTheme="minorEastAsia"/>
          <w:b/>
          <w:sz w:val="24"/>
        </w:rPr>
        <w:t>（一）资金管理</w:t>
      </w:r>
      <w:bookmarkEnd w:id="23"/>
    </w:p>
    <w:p w14:paraId="0BF76102">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3CC7DCB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w:t>
      </w:r>
      <w:r>
        <w:rPr>
          <w:rFonts w:hint="eastAsia" w:asciiTheme="minorEastAsia" w:hAnsiTheme="minorEastAsia" w:eastAsiaTheme="minorEastAsia" w:cstheme="minorEastAsia"/>
          <w:sz w:val="24"/>
        </w:rPr>
        <w:t>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仿宋" w:hAnsi="仿宋" w:eastAsia="仿宋" w:cs="仿宋"/>
          <w:sz w:val="24"/>
          <w:lang w:eastAsia="zh-CN"/>
        </w:rPr>
        <w:t>（</w:t>
      </w:r>
      <w:r>
        <w:rPr>
          <w:rFonts w:ascii="Arial Narrow" w:hAnsi="Arial Narrow" w:eastAsiaTheme="minorEastAsia"/>
          <w:sz w:val="24"/>
        </w:rPr>
        <w:t>铜财〔2023〕46号</w:t>
      </w:r>
      <w:r>
        <w:rPr>
          <w:rFonts w:hint="eastAsia" w:ascii="仿宋" w:hAnsi="仿宋" w:eastAsia="仿宋" w:cs="仿宋"/>
          <w:sz w:val="24"/>
          <w:lang w:eastAsia="zh-CN"/>
        </w:rPr>
        <w:t>）</w:t>
      </w:r>
      <w:r>
        <w:rPr>
          <w:rFonts w:ascii="Arial Narrow" w:hAnsi="Arial Narrow" w:eastAsiaTheme="minorEastAsia"/>
          <w:sz w:val="24"/>
        </w:rPr>
        <w:t>等相关政策性文件规定落实衔接资金。</w:t>
      </w:r>
    </w:p>
    <w:p w14:paraId="4DA9DB8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257F2E7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项目资金从区财政局下达资金文件时间到区级业务主管部门下达项目及资金计划文件时间间隔小于30天。</w:t>
      </w:r>
    </w:p>
    <w:p w14:paraId="502DA928">
      <w:pPr>
        <w:spacing w:line="360" w:lineRule="auto"/>
        <w:ind w:firstLine="482" w:firstLineChars="200"/>
        <w:jc w:val="left"/>
        <w:outlineLvl w:val="0"/>
        <w:rPr>
          <w:rFonts w:ascii="Arial Narrow" w:hAnsi="Arial Narrow" w:eastAsiaTheme="minorEastAsia"/>
          <w:b/>
          <w:sz w:val="24"/>
        </w:rPr>
      </w:pPr>
      <w:bookmarkStart w:id="24" w:name="_Toc171671950"/>
      <w:r>
        <w:rPr>
          <w:rFonts w:ascii="Arial Narrow" w:hAnsi="Arial Narrow" w:eastAsiaTheme="minorEastAsia"/>
          <w:b/>
          <w:sz w:val="24"/>
        </w:rPr>
        <w:t>（二）项目管理</w:t>
      </w:r>
      <w:bookmarkEnd w:id="24"/>
    </w:p>
    <w:p w14:paraId="5A3E709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640208D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2E74327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0B4B2AA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1A27027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5EDBFCB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eastAsia="zh-CN"/>
        </w:rPr>
        <w:t>过程</w:t>
      </w:r>
      <w:r>
        <w:rPr>
          <w:rFonts w:ascii="Arial Narrow" w:hAnsi="Arial Narrow" w:eastAsiaTheme="minorEastAsia"/>
          <w:sz w:val="24"/>
        </w:rPr>
        <w:t>中由重庆市铜梁区蒲吕街道办事处进行监督检查，检查中未发现重大问题，项目按照实施节点按时提交项目报账资料，项目资料归档整理及时。</w:t>
      </w:r>
    </w:p>
    <w:p w14:paraId="1873191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2F42EF0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青山村蔬菜基地实施项目补助资金在七月末、十月末资金支出进度均超过全区平均水平，十二月中旬的资金预算执行率达到100%。</w:t>
      </w:r>
    </w:p>
    <w:p w14:paraId="4612D62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335A841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40ECB21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1369176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p>
    <w:p w14:paraId="031F900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29785B3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重庆市铜梁区蒲吕街道办事处对项目入库情况、资金计划完成情况等进行了公告公示。</w:t>
      </w:r>
    </w:p>
    <w:p w14:paraId="60959C94">
      <w:pPr>
        <w:spacing w:line="360" w:lineRule="auto"/>
        <w:ind w:firstLine="482" w:firstLineChars="200"/>
        <w:jc w:val="left"/>
        <w:outlineLvl w:val="0"/>
        <w:rPr>
          <w:rFonts w:ascii="Arial Narrow" w:hAnsi="Arial Narrow" w:eastAsiaTheme="minorEastAsia"/>
          <w:b/>
          <w:sz w:val="24"/>
        </w:rPr>
      </w:pPr>
      <w:bookmarkStart w:id="25" w:name="_Toc171671951"/>
      <w:r>
        <w:rPr>
          <w:rFonts w:ascii="Arial Narrow" w:hAnsi="Arial Narrow" w:eastAsiaTheme="minorEastAsia"/>
          <w:b/>
          <w:sz w:val="24"/>
        </w:rPr>
        <w:t>（三）使用成效及通报情况</w:t>
      </w:r>
      <w:bookmarkEnd w:id="25"/>
    </w:p>
    <w:p w14:paraId="0C65746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5C32D16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62E45AA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619EB0B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项目实施管理日常表现良好，未被通报和问题反馈情况 。</w:t>
      </w:r>
    </w:p>
    <w:p w14:paraId="4791984E">
      <w:pPr>
        <w:spacing w:line="360" w:lineRule="auto"/>
        <w:ind w:firstLine="482" w:firstLineChars="200"/>
        <w:outlineLvl w:val="0"/>
        <w:rPr>
          <w:rFonts w:ascii="Arial Narrow" w:hAnsi="Arial Narrow" w:eastAsiaTheme="minorEastAsia"/>
          <w:b/>
          <w:sz w:val="24"/>
        </w:rPr>
      </w:pPr>
      <w:bookmarkStart w:id="26" w:name="_Toc171671952"/>
      <w:r>
        <w:rPr>
          <w:rFonts w:ascii="Arial Narrow" w:hAnsi="Arial Narrow" w:eastAsiaTheme="minorEastAsia"/>
          <w:b/>
          <w:sz w:val="24"/>
        </w:rPr>
        <w:t>五、存在的问题和建议</w:t>
      </w:r>
      <w:bookmarkEnd w:id="26"/>
    </w:p>
    <w:p w14:paraId="4FC7A0F3">
      <w:pPr>
        <w:spacing w:line="360" w:lineRule="auto"/>
        <w:ind w:firstLine="482" w:firstLineChars="200"/>
        <w:jc w:val="left"/>
        <w:outlineLvl w:val="0"/>
        <w:rPr>
          <w:rFonts w:ascii="Arial Narrow" w:hAnsi="Arial Narrow" w:eastAsiaTheme="minorEastAsia"/>
          <w:b/>
          <w:sz w:val="24"/>
        </w:rPr>
      </w:pPr>
      <w:bookmarkStart w:id="27" w:name="_Toc171671953"/>
      <w:r>
        <w:rPr>
          <w:rFonts w:ascii="Arial Narrow" w:hAnsi="Arial Narrow" w:eastAsiaTheme="minorEastAsia"/>
          <w:b/>
          <w:sz w:val="24"/>
        </w:rPr>
        <w:t>（一）存在问题</w:t>
      </w:r>
      <w:bookmarkEnd w:id="27"/>
    </w:p>
    <w:p w14:paraId="245592D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项目资金拨付进度较晚，最后一笔款于2023年12月支出。</w:t>
      </w:r>
    </w:p>
    <w:p w14:paraId="2305F5C0">
      <w:pPr>
        <w:spacing w:line="360" w:lineRule="auto"/>
        <w:ind w:firstLine="482" w:firstLineChars="200"/>
        <w:jc w:val="left"/>
        <w:outlineLvl w:val="0"/>
        <w:rPr>
          <w:rFonts w:ascii="Arial Narrow" w:hAnsi="Arial Narrow" w:eastAsiaTheme="minorEastAsia"/>
          <w:b/>
          <w:sz w:val="24"/>
        </w:rPr>
      </w:pPr>
      <w:bookmarkStart w:id="28" w:name="_Toc171671954"/>
      <w:r>
        <w:rPr>
          <w:rFonts w:ascii="Arial Narrow" w:hAnsi="Arial Narrow" w:eastAsiaTheme="minorEastAsia"/>
          <w:b/>
          <w:sz w:val="24"/>
        </w:rPr>
        <w:t>（二）建议</w:t>
      </w:r>
      <w:bookmarkEnd w:id="28"/>
    </w:p>
    <w:p w14:paraId="19D54D4A">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严格按照财政资金预算执行，及时拨付项目资金。针对财政专项资金,建议实施单位在规定时间内支付项目资金,杜绝资金滞留、挤占、截留、挪用等现象的发生。</w:t>
      </w:r>
    </w:p>
    <w:p w14:paraId="08A4B423">
      <w:pPr>
        <w:adjustRightInd w:val="0"/>
        <w:snapToGrid w:val="0"/>
        <w:spacing w:line="360" w:lineRule="auto"/>
        <w:ind w:firstLine="420" w:firstLineChars="200"/>
        <w:rPr>
          <w:rStyle w:val="11"/>
          <w:rFonts w:ascii="Arial Narrow" w:hAnsi="Arial Narrow" w:eastAsiaTheme="minorEastAsia"/>
          <w:color w:val="auto"/>
          <w:u w:val="none"/>
        </w:rPr>
      </w:pPr>
    </w:p>
    <w:p w14:paraId="4163FCD4">
      <w:pPr>
        <w:adjustRightInd w:val="0"/>
        <w:snapToGrid w:val="0"/>
        <w:spacing w:line="360" w:lineRule="auto"/>
        <w:ind w:firstLine="420" w:firstLineChars="200"/>
        <w:rPr>
          <w:rStyle w:val="11"/>
          <w:rFonts w:ascii="Arial Narrow" w:hAnsi="Arial Narrow" w:eastAsiaTheme="minorEastAsia"/>
          <w:color w:val="auto"/>
          <w:u w:val="none"/>
        </w:rPr>
      </w:pPr>
    </w:p>
    <w:p w14:paraId="7724FF2D">
      <w:pPr>
        <w:adjustRightInd w:val="0"/>
        <w:snapToGrid w:val="0"/>
        <w:spacing w:line="360" w:lineRule="auto"/>
        <w:ind w:firstLine="420" w:firstLineChars="200"/>
        <w:rPr>
          <w:rStyle w:val="11"/>
          <w:rFonts w:ascii="Arial Narrow" w:hAnsi="Arial Narrow" w:eastAsiaTheme="minorEastAsia"/>
          <w:color w:val="auto"/>
          <w:u w:val="none"/>
        </w:rPr>
      </w:pPr>
    </w:p>
    <w:p w14:paraId="7E6FC814">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r>
        <w:rPr>
          <w:rStyle w:val="11"/>
          <w:rFonts w:ascii="Arial Narrow" w:hAnsi="Arial Narrow" w:eastAsiaTheme="minorEastAsia"/>
          <w:color w:val="auto"/>
          <w:sz w:val="24"/>
          <w:u w:val="none"/>
        </w:rPr>
        <w:t>；</w:t>
      </w:r>
    </w:p>
    <w:p w14:paraId="5C32DA8F">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3CBC084A">
      <w:pPr>
        <w:adjustRightInd w:val="0"/>
        <w:snapToGrid w:val="0"/>
        <w:spacing w:line="360" w:lineRule="auto"/>
        <w:ind w:firstLine="720" w:firstLineChars="300"/>
        <w:rPr>
          <w:rStyle w:val="11"/>
          <w:rFonts w:ascii="Arial Narrow" w:hAnsi="Arial Narrow" w:eastAsiaTheme="minorEastAsia"/>
          <w:color w:val="auto"/>
          <w:sz w:val="24"/>
          <w:u w:val="none"/>
        </w:rPr>
      </w:pPr>
    </w:p>
    <w:p w14:paraId="4C215336">
      <w:pPr>
        <w:adjustRightInd w:val="0"/>
        <w:snapToGrid w:val="0"/>
        <w:spacing w:line="360" w:lineRule="auto"/>
        <w:ind w:firstLine="720" w:firstLineChars="300"/>
        <w:rPr>
          <w:rStyle w:val="11"/>
          <w:rFonts w:ascii="Arial Narrow" w:hAnsi="Arial Narrow" w:eastAsiaTheme="minorEastAsia"/>
          <w:color w:val="auto"/>
          <w:sz w:val="24"/>
          <w:u w:val="none"/>
        </w:rPr>
      </w:pPr>
    </w:p>
    <w:p w14:paraId="430A240B">
      <w:pPr>
        <w:adjustRightInd w:val="0"/>
        <w:snapToGrid w:val="0"/>
        <w:spacing w:line="360" w:lineRule="auto"/>
        <w:ind w:firstLine="720" w:firstLineChars="300"/>
        <w:rPr>
          <w:rStyle w:val="11"/>
          <w:rFonts w:ascii="Arial Narrow" w:hAnsi="Arial Narrow" w:eastAsiaTheme="minorEastAsia"/>
          <w:color w:val="auto"/>
          <w:sz w:val="24"/>
          <w:u w:val="none"/>
        </w:rPr>
      </w:pPr>
    </w:p>
    <w:p w14:paraId="3D58D21A">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重庆铭鸿金全会计师事务所有限责任公司</w:t>
      </w:r>
    </w:p>
    <w:p w14:paraId="4A5A9354">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29" w:name="_GoBack"/>
      <w:bookmarkEnd w:id="29"/>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8EAA8">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E6D8C">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91441">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A91441">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C4A8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AB0"/>
    <w:rsid w:val="00003CC9"/>
    <w:rsid w:val="00007A67"/>
    <w:rsid w:val="00023EC4"/>
    <w:rsid w:val="000343D6"/>
    <w:rsid w:val="00060BD2"/>
    <w:rsid w:val="000637E7"/>
    <w:rsid w:val="00063E0B"/>
    <w:rsid w:val="00066A05"/>
    <w:rsid w:val="0007600E"/>
    <w:rsid w:val="000769EE"/>
    <w:rsid w:val="0008236A"/>
    <w:rsid w:val="00086903"/>
    <w:rsid w:val="00096EF3"/>
    <w:rsid w:val="000B69A7"/>
    <w:rsid w:val="000D1A3B"/>
    <w:rsid w:val="000E4529"/>
    <w:rsid w:val="000E6A52"/>
    <w:rsid w:val="000F2B58"/>
    <w:rsid w:val="000F46E9"/>
    <w:rsid w:val="000F48F5"/>
    <w:rsid w:val="0010003E"/>
    <w:rsid w:val="00104568"/>
    <w:rsid w:val="00125922"/>
    <w:rsid w:val="0013351F"/>
    <w:rsid w:val="00134388"/>
    <w:rsid w:val="00143A99"/>
    <w:rsid w:val="00152152"/>
    <w:rsid w:val="001575CE"/>
    <w:rsid w:val="00164C87"/>
    <w:rsid w:val="001755B2"/>
    <w:rsid w:val="001819DF"/>
    <w:rsid w:val="001A42EB"/>
    <w:rsid w:val="001A5651"/>
    <w:rsid w:val="001C6F32"/>
    <w:rsid w:val="001D6F62"/>
    <w:rsid w:val="001E0132"/>
    <w:rsid w:val="001F3624"/>
    <w:rsid w:val="001F43AE"/>
    <w:rsid w:val="0020106A"/>
    <w:rsid w:val="00204413"/>
    <w:rsid w:val="00216472"/>
    <w:rsid w:val="00224D96"/>
    <w:rsid w:val="00226E7E"/>
    <w:rsid w:val="002360A5"/>
    <w:rsid w:val="00245725"/>
    <w:rsid w:val="00254FC8"/>
    <w:rsid w:val="002663D6"/>
    <w:rsid w:val="00270304"/>
    <w:rsid w:val="00276D1C"/>
    <w:rsid w:val="00282997"/>
    <w:rsid w:val="002914F2"/>
    <w:rsid w:val="00294F41"/>
    <w:rsid w:val="002B1561"/>
    <w:rsid w:val="002C083D"/>
    <w:rsid w:val="002C36AE"/>
    <w:rsid w:val="002C4BF0"/>
    <w:rsid w:val="002C5020"/>
    <w:rsid w:val="002C7EFA"/>
    <w:rsid w:val="002E09F1"/>
    <w:rsid w:val="002F5600"/>
    <w:rsid w:val="00314819"/>
    <w:rsid w:val="00314D84"/>
    <w:rsid w:val="00324E2F"/>
    <w:rsid w:val="00331DC5"/>
    <w:rsid w:val="003403BC"/>
    <w:rsid w:val="00362EF1"/>
    <w:rsid w:val="00364CA3"/>
    <w:rsid w:val="0037066E"/>
    <w:rsid w:val="00384C3C"/>
    <w:rsid w:val="003853CF"/>
    <w:rsid w:val="003879CE"/>
    <w:rsid w:val="00393028"/>
    <w:rsid w:val="00397659"/>
    <w:rsid w:val="003A00D8"/>
    <w:rsid w:val="003A0EB6"/>
    <w:rsid w:val="003A1ECE"/>
    <w:rsid w:val="003B42BF"/>
    <w:rsid w:val="003B7638"/>
    <w:rsid w:val="003C31C4"/>
    <w:rsid w:val="004077FE"/>
    <w:rsid w:val="0041175A"/>
    <w:rsid w:val="00414A58"/>
    <w:rsid w:val="004200C2"/>
    <w:rsid w:val="00420AA7"/>
    <w:rsid w:val="00421311"/>
    <w:rsid w:val="00421C71"/>
    <w:rsid w:val="0044730F"/>
    <w:rsid w:val="00470930"/>
    <w:rsid w:val="00477B31"/>
    <w:rsid w:val="004918E4"/>
    <w:rsid w:val="004A7B95"/>
    <w:rsid w:val="004C1F3A"/>
    <w:rsid w:val="004C38B4"/>
    <w:rsid w:val="004D1145"/>
    <w:rsid w:val="004D2A6E"/>
    <w:rsid w:val="004E6833"/>
    <w:rsid w:val="004F367F"/>
    <w:rsid w:val="004F7A0F"/>
    <w:rsid w:val="00501A64"/>
    <w:rsid w:val="00536985"/>
    <w:rsid w:val="00565296"/>
    <w:rsid w:val="00572DD6"/>
    <w:rsid w:val="00577297"/>
    <w:rsid w:val="005A5616"/>
    <w:rsid w:val="005E133F"/>
    <w:rsid w:val="005E4847"/>
    <w:rsid w:val="005E702D"/>
    <w:rsid w:val="005F01BA"/>
    <w:rsid w:val="005F3C4E"/>
    <w:rsid w:val="0060606D"/>
    <w:rsid w:val="0061001E"/>
    <w:rsid w:val="00613DCA"/>
    <w:rsid w:val="0061417A"/>
    <w:rsid w:val="006553BC"/>
    <w:rsid w:val="00655510"/>
    <w:rsid w:val="00662ED7"/>
    <w:rsid w:val="00667CAA"/>
    <w:rsid w:val="0068522F"/>
    <w:rsid w:val="0069156D"/>
    <w:rsid w:val="0069678B"/>
    <w:rsid w:val="0069741B"/>
    <w:rsid w:val="006A58E0"/>
    <w:rsid w:val="006D14F7"/>
    <w:rsid w:val="006E75D6"/>
    <w:rsid w:val="006E7DA1"/>
    <w:rsid w:val="006F7CBD"/>
    <w:rsid w:val="00717B7E"/>
    <w:rsid w:val="0072082C"/>
    <w:rsid w:val="0073019B"/>
    <w:rsid w:val="00730A8E"/>
    <w:rsid w:val="00740E9D"/>
    <w:rsid w:val="00741402"/>
    <w:rsid w:val="007545D5"/>
    <w:rsid w:val="00786924"/>
    <w:rsid w:val="00792A63"/>
    <w:rsid w:val="007A6BE6"/>
    <w:rsid w:val="007B1504"/>
    <w:rsid w:val="007D0A35"/>
    <w:rsid w:val="00813C7C"/>
    <w:rsid w:val="00824435"/>
    <w:rsid w:val="00827385"/>
    <w:rsid w:val="00842151"/>
    <w:rsid w:val="00856815"/>
    <w:rsid w:val="00866999"/>
    <w:rsid w:val="00893897"/>
    <w:rsid w:val="008952B1"/>
    <w:rsid w:val="008A3E89"/>
    <w:rsid w:val="008D0C1C"/>
    <w:rsid w:val="008D4F7C"/>
    <w:rsid w:val="008E609D"/>
    <w:rsid w:val="0090729E"/>
    <w:rsid w:val="009135F8"/>
    <w:rsid w:val="009309C0"/>
    <w:rsid w:val="00931593"/>
    <w:rsid w:val="0093667D"/>
    <w:rsid w:val="00973421"/>
    <w:rsid w:val="0097685B"/>
    <w:rsid w:val="00983CB7"/>
    <w:rsid w:val="0099506C"/>
    <w:rsid w:val="009957B8"/>
    <w:rsid w:val="0099666C"/>
    <w:rsid w:val="009B4F6B"/>
    <w:rsid w:val="009C0564"/>
    <w:rsid w:val="009E4A98"/>
    <w:rsid w:val="009F1C42"/>
    <w:rsid w:val="00A066D6"/>
    <w:rsid w:val="00A14650"/>
    <w:rsid w:val="00A352D4"/>
    <w:rsid w:val="00A43B8B"/>
    <w:rsid w:val="00A554AB"/>
    <w:rsid w:val="00A922C5"/>
    <w:rsid w:val="00A95CA5"/>
    <w:rsid w:val="00AB0136"/>
    <w:rsid w:val="00AC3880"/>
    <w:rsid w:val="00AD0284"/>
    <w:rsid w:val="00AD03BB"/>
    <w:rsid w:val="00AE470F"/>
    <w:rsid w:val="00AF58DD"/>
    <w:rsid w:val="00B134A6"/>
    <w:rsid w:val="00B25A79"/>
    <w:rsid w:val="00B37BAB"/>
    <w:rsid w:val="00B7289F"/>
    <w:rsid w:val="00B779A4"/>
    <w:rsid w:val="00B847AA"/>
    <w:rsid w:val="00B977FA"/>
    <w:rsid w:val="00BA142A"/>
    <w:rsid w:val="00BA212E"/>
    <w:rsid w:val="00BA4A27"/>
    <w:rsid w:val="00BB3674"/>
    <w:rsid w:val="00BC2692"/>
    <w:rsid w:val="00BC4B5A"/>
    <w:rsid w:val="00BC7BED"/>
    <w:rsid w:val="00BD6FFD"/>
    <w:rsid w:val="00BD75F7"/>
    <w:rsid w:val="00BF4A94"/>
    <w:rsid w:val="00C02FB6"/>
    <w:rsid w:val="00C107C7"/>
    <w:rsid w:val="00C12443"/>
    <w:rsid w:val="00C35442"/>
    <w:rsid w:val="00C36A73"/>
    <w:rsid w:val="00C43388"/>
    <w:rsid w:val="00C60A62"/>
    <w:rsid w:val="00C8677E"/>
    <w:rsid w:val="00C87D50"/>
    <w:rsid w:val="00CB46FB"/>
    <w:rsid w:val="00CB54FB"/>
    <w:rsid w:val="00CC769D"/>
    <w:rsid w:val="00CE181A"/>
    <w:rsid w:val="00CF0849"/>
    <w:rsid w:val="00D1562E"/>
    <w:rsid w:val="00D254D3"/>
    <w:rsid w:val="00D26E16"/>
    <w:rsid w:val="00D415D5"/>
    <w:rsid w:val="00D5792F"/>
    <w:rsid w:val="00D61F80"/>
    <w:rsid w:val="00D63C37"/>
    <w:rsid w:val="00D70C9D"/>
    <w:rsid w:val="00D87042"/>
    <w:rsid w:val="00DB3B16"/>
    <w:rsid w:val="00DB55F0"/>
    <w:rsid w:val="00DD1941"/>
    <w:rsid w:val="00DE16F0"/>
    <w:rsid w:val="00E035A0"/>
    <w:rsid w:val="00E065AA"/>
    <w:rsid w:val="00E1143D"/>
    <w:rsid w:val="00E23D6E"/>
    <w:rsid w:val="00E27A95"/>
    <w:rsid w:val="00E53B0A"/>
    <w:rsid w:val="00E63FFA"/>
    <w:rsid w:val="00E66C12"/>
    <w:rsid w:val="00E67B82"/>
    <w:rsid w:val="00E709E2"/>
    <w:rsid w:val="00E80BDA"/>
    <w:rsid w:val="00E872F3"/>
    <w:rsid w:val="00E91097"/>
    <w:rsid w:val="00E9436C"/>
    <w:rsid w:val="00EA195F"/>
    <w:rsid w:val="00EA1C10"/>
    <w:rsid w:val="00EA30BF"/>
    <w:rsid w:val="00EB474C"/>
    <w:rsid w:val="00EB52C5"/>
    <w:rsid w:val="00ED0A8C"/>
    <w:rsid w:val="00EE279E"/>
    <w:rsid w:val="00F020F6"/>
    <w:rsid w:val="00F31057"/>
    <w:rsid w:val="00F36680"/>
    <w:rsid w:val="00F4160A"/>
    <w:rsid w:val="00F45323"/>
    <w:rsid w:val="00F54C3F"/>
    <w:rsid w:val="00F612AC"/>
    <w:rsid w:val="00F61D28"/>
    <w:rsid w:val="00F64D50"/>
    <w:rsid w:val="00F6551E"/>
    <w:rsid w:val="00F84DF0"/>
    <w:rsid w:val="00F85329"/>
    <w:rsid w:val="00F85A77"/>
    <w:rsid w:val="00F91D4D"/>
    <w:rsid w:val="00F9541A"/>
    <w:rsid w:val="00F96185"/>
    <w:rsid w:val="00FA6718"/>
    <w:rsid w:val="00FD1A79"/>
    <w:rsid w:val="00FD5F18"/>
    <w:rsid w:val="00FE1E65"/>
    <w:rsid w:val="00FE3262"/>
    <w:rsid w:val="00FE5705"/>
    <w:rsid w:val="00FF09B7"/>
    <w:rsid w:val="00FF5AA5"/>
    <w:rsid w:val="02717C9D"/>
    <w:rsid w:val="0C955D75"/>
    <w:rsid w:val="10FD0312"/>
    <w:rsid w:val="120E6874"/>
    <w:rsid w:val="13DD0CDE"/>
    <w:rsid w:val="270731DD"/>
    <w:rsid w:val="2E7D7CF5"/>
    <w:rsid w:val="357129F4"/>
    <w:rsid w:val="371050B8"/>
    <w:rsid w:val="38C46C35"/>
    <w:rsid w:val="3A7045C7"/>
    <w:rsid w:val="44757F5F"/>
    <w:rsid w:val="45947F31"/>
    <w:rsid w:val="4DF1278B"/>
    <w:rsid w:val="60087B46"/>
    <w:rsid w:val="629B4EDD"/>
    <w:rsid w:val="65656182"/>
    <w:rsid w:val="6C0B491D"/>
    <w:rsid w:val="6DB25EEB"/>
    <w:rsid w:val="74051A0C"/>
    <w:rsid w:val="765B3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5539</Words>
  <Characters>5925</Characters>
  <Lines>51</Lines>
  <Paragraphs>14</Paragraphs>
  <TotalTime>1</TotalTime>
  <ScaleCrop>false</ScaleCrop>
  <LinksUpToDate>false</LinksUpToDate>
  <CharactersWithSpaces>5955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2024-07-29T09:48:00Z</cp:lastPrinted>
  <dcterms:modified xsi:type="dcterms:W3CDTF">2024-11-20T01:29:10Z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