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C9B0B">
      <w:pPr>
        <w:spacing w:line="360" w:lineRule="auto"/>
        <w:jc w:val="center"/>
        <w:rPr>
          <w:rFonts w:ascii="Arial Narrow" w:hAnsi="Arial Narrow" w:eastAsiaTheme="minorEastAsia"/>
          <w:b/>
          <w:bCs/>
          <w:sz w:val="36"/>
          <w:szCs w:val="36"/>
        </w:rPr>
      </w:pPr>
    </w:p>
    <w:p w14:paraId="0868DE55">
      <w:pPr>
        <w:spacing w:line="360" w:lineRule="auto"/>
        <w:jc w:val="center"/>
        <w:rPr>
          <w:rFonts w:ascii="Arial Narrow" w:hAnsi="Arial Narrow" w:eastAsiaTheme="minorEastAsia"/>
          <w:b/>
          <w:bCs/>
          <w:sz w:val="36"/>
          <w:szCs w:val="36"/>
        </w:rPr>
      </w:pPr>
    </w:p>
    <w:p w14:paraId="2DBEC7C1">
      <w:pPr>
        <w:spacing w:line="360" w:lineRule="auto"/>
        <w:jc w:val="center"/>
        <w:rPr>
          <w:rFonts w:ascii="Arial Narrow" w:hAnsi="Arial Narrow" w:eastAsiaTheme="minorEastAsia"/>
          <w:b/>
          <w:bCs/>
          <w:sz w:val="36"/>
          <w:szCs w:val="36"/>
        </w:rPr>
      </w:pPr>
    </w:p>
    <w:p w14:paraId="449A798E">
      <w:pPr>
        <w:spacing w:line="360" w:lineRule="auto"/>
        <w:jc w:val="center"/>
        <w:rPr>
          <w:rFonts w:ascii="Arial Narrow" w:hAnsi="Arial Narrow" w:eastAsiaTheme="minorEastAsia"/>
          <w:b/>
          <w:bCs/>
          <w:sz w:val="36"/>
          <w:szCs w:val="36"/>
        </w:rPr>
      </w:pPr>
    </w:p>
    <w:p w14:paraId="05BC76B4">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重庆市铜梁区白羊镇水碾村咸菜晾晒长廊建设项目财政专项衔接资金</w:t>
      </w:r>
    </w:p>
    <w:p w14:paraId="12FCBAED">
      <w:pPr>
        <w:adjustRightInd w:val="0"/>
        <w:snapToGrid w:val="0"/>
        <w:spacing w:line="360" w:lineRule="auto"/>
        <w:jc w:val="center"/>
        <w:rPr>
          <w:rFonts w:ascii="Arial Narrow" w:hAnsi="Arial Narrow" w:eastAsiaTheme="minorEastAsia"/>
          <w:b/>
          <w:sz w:val="44"/>
          <w:szCs w:val="44"/>
        </w:rPr>
      </w:pPr>
    </w:p>
    <w:p w14:paraId="60D4D88F">
      <w:pPr>
        <w:adjustRightInd w:val="0"/>
        <w:snapToGrid w:val="0"/>
        <w:spacing w:line="360" w:lineRule="auto"/>
        <w:jc w:val="center"/>
        <w:rPr>
          <w:rFonts w:ascii="Arial Narrow" w:hAnsi="Arial Narrow" w:eastAsiaTheme="minorEastAsia"/>
          <w:b/>
          <w:sz w:val="44"/>
          <w:szCs w:val="44"/>
        </w:rPr>
      </w:pPr>
    </w:p>
    <w:p w14:paraId="26DCEB5F">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0" w:name="_Toc488637980"/>
      <w:bookmarkStart w:id="1" w:name="_Toc488804777"/>
      <w:r>
        <w:rPr>
          <w:rFonts w:ascii="Arial Narrow" w:hAnsi="Arial Narrow" w:eastAsiaTheme="minorEastAsia"/>
          <w:b/>
          <w:w w:val="102"/>
          <w:sz w:val="44"/>
          <w:szCs w:val="44"/>
        </w:rPr>
        <w:t>报告</w:t>
      </w:r>
    </w:p>
    <w:p w14:paraId="75AAA6C2">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铭鸿咨字【2024】第0035号</w:t>
      </w:r>
    </w:p>
    <w:p w14:paraId="3A04CFAB">
      <w:pPr>
        <w:adjustRightInd w:val="0"/>
        <w:snapToGrid w:val="0"/>
        <w:spacing w:line="360" w:lineRule="auto"/>
        <w:jc w:val="center"/>
        <w:rPr>
          <w:rFonts w:ascii="Arial Narrow" w:hAnsi="Arial Narrow" w:eastAsiaTheme="minorEastAsia"/>
          <w:b/>
          <w:spacing w:val="100"/>
          <w:sz w:val="32"/>
          <w:szCs w:val="32"/>
        </w:rPr>
      </w:pPr>
    </w:p>
    <w:p w14:paraId="2B6F0D93">
      <w:pPr>
        <w:adjustRightInd w:val="0"/>
        <w:snapToGrid w:val="0"/>
        <w:spacing w:line="360" w:lineRule="auto"/>
        <w:jc w:val="center"/>
        <w:rPr>
          <w:rFonts w:ascii="Arial Narrow" w:hAnsi="Arial Narrow" w:eastAsiaTheme="minorEastAsia"/>
          <w:b/>
          <w:spacing w:val="100"/>
          <w:sz w:val="32"/>
          <w:szCs w:val="32"/>
        </w:rPr>
      </w:pPr>
    </w:p>
    <w:p w14:paraId="1D8756F2">
      <w:pPr>
        <w:adjustRightInd w:val="0"/>
        <w:snapToGrid w:val="0"/>
        <w:spacing w:line="360" w:lineRule="auto"/>
        <w:jc w:val="center"/>
        <w:rPr>
          <w:rFonts w:ascii="Arial Narrow" w:hAnsi="Arial Narrow" w:eastAsiaTheme="minorEastAsia"/>
          <w:b/>
          <w:spacing w:val="100"/>
          <w:sz w:val="32"/>
          <w:szCs w:val="32"/>
        </w:rPr>
      </w:pPr>
    </w:p>
    <w:p w14:paraId="2EBECC9F">
      <w:pPr>
        <w:adjustRightInd w:val="0"/>
        <w:snapToGrid w:val="0"/>
        <w:spacing w:line="360" w:lineRule="auto"/>
        <w:jc w:val="center"/>
        <w:rPr>
          <w:rFonts w:ascii="Arial Narrow" w:hAnsi="Arial Narrow" w:eastAsiaTheme="minorEastAsia"/>
          <w:b/>
          <w:spacing w:val="100"/>
          <w:sz w:val="32"/>
          <w:szCs w:val="32"/>
        </w:rPr>
      </w:pPr>
    </w:p>
    <w:p w14:paraId="1D83318E">
      <w:pPr>
        <w:adjustRightInd w:val="0"/>
        <w:snapToGrid w:val="0"/>
        <w:spacing w:line="360" w:lineRule="auto"/>
        <w:jc w:val="center"/>
        <w:rPr>
          <w:rFonts w:ascii="Arial Narrow" w:hAnsi="Arial Narrow" w:eastAsiaTheme="minorEastAsia"/>
          <w:b/>
          <w:spacing w:val="100"/>
          <w:sz w:val="32"/>
          <w:szCs w:val="32"/>
        </w:rPr>
      </w:pPr>
    </w:p>
    <w:p w14:paraId="3606D4FD">
      <w:pPr>
        <w:adjustRightInd w:val="0"/>
        <w:snapToGrid w:val="0"/>
        <w:spacing w:line="360" w:lineRule="auto"/>
        <w:jc w:val="center"/>
        <w:rPr>
          <w:rFonts w:ascii="Arial Narrow" w:hAnsi="Arial Narrow" w:eastAsiaTheme="minorEastAsia"/>
          <w:b/>
          <w:spacing w:val="100"/>
          <w:sz w:val="32"/>
          <w:szCs w:val="32"/>
        </w:rPr>
      </w:pPr>
    </w:p>
    <w:p w14:paraId="14136657">
      <w:pPr>
        <w:adjustRightInd w:val="0"/>
        <w:snapToGrid w:val="0"/>
        <w:spacing w:line="360" w:lineRule="auto"/>
        <w:jc w:val="center"/>
        <w:rPr>
          <w:rFonts w:ascii="Arial Narrow" w:hAnsi="Arial Narrow" w:eastAsiaTheme="minorEastAsia"/>
          <w:b/>
          <w:spacing w:val="100"/>
          <w:sz w:val="32"/>
          <w:szCs w:val="32"/>
        </w:rPr>
      </w:pPr>
    </w:p>
    <w:p w14:paraId="275E95D6">
      <w:pPr>
        <w:adjustRightInd w:val="0"/>
        <w:snapToGrid w:val="0"/>
        <w:spacing w:line="360" w:lineRule="auto"/>
        <w:jc w:val="center"/>
        <w:rPr>
          <w:rFonts w:ascii="Arial Narrow" w:hAnsi="Arial Narrow" w:eastAsiaTheme="minorEastAsia"/>
          <w:b/>
          <w:spacing w:val="100"/>
          <w:sz w:val="32"/>
          <w:szCs w:val="32"/>
        </w:rPr>
      </w:pPr>
    </w:p>
    <w:p w14:paraId="0DAD1F06">
      <w:pPr>
        <w:adjustRightInd w:val="0"/>
        <w:snapToGrid w:val="0"/>
        <w:spacing w:line="360" w:lineRule="auto"/>
        <w:jc w:val="center"/>
        <w:rPr>
          <w:rFonts w:ascii="Arial Narrow" w:hAnsi="Arial Narrow" w:eastAsiaTheme="minorEastAsia"/>
          <w:b/>
          <w:spacing w:val="100"/>
          <w:sz w:val="32"/>
          <w:szCs w:val="32"/>
        </w:rPr>
      </w:pPr>
    </w:p>
    <w:p w14:paraId="57831D96">
      <w:pPr>
        <w:spacing w:line="360" w:lineRule="auto"/>
        <w:jc w:val="center"/>
        <w:rPr>
          <w:rFonts w:ascii="Arial Narrow" w:hAnsi="Arial Narrow" w:eastAsiaTheme="minorEastAsia"/>
          <w:sz w:val="32"/>
          <w:szCs w:val="32"/>
        </w:rPr>
      </w:pPr>
    </w:p>
    <w:p w14:paraId="3E122918">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重庆铭鸿金全会计师事务所有限公司有限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66162FE2">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eastAsia="zh-CN"/>
        </w:rPr>
        <w:t>四</w:t>
      </w:r>
      <w:r>
        <w:rPr>
          <w:rFonts w:ascii="Arial Narrow" w:hAnsi="Arial Narrow" w:eastAsiaTheme="minorEastAsia"/>
          <w:sz w:val="32"/>
          <w:szCs w:val="32"/>
        </w:rPr>
        <w:t>年六月</w:t>
      </w:r>
    </w:p>
    <w:p w14:paraId="0C210117">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0"/>
      <w:bookmarkEnd w:id="1"/>
      <w:r>
        <w:rPr>
          <w:rFonts w:ascii="Arial Narrow" w:hAnsi="Arial Narrow" w:eastAsiaTheme="minorEastAsia"/>
          <w:sz w:val="44"/>
          <w:szCs w:val="44"/>
        </w:rPr>
        <w:t>目   录</w:t>
      </w:r>
    </w:p>
    <w:p w14:paraId="108941E6">
      <w:pPr>
        <w:spacing w:line="360" w:lineRule="auto"/>
        <w:jc w:val="center"/>
        <w:rPr>
          <w:rFonts w:ascii="Arial Narrow" w:hAnsi="Arial Narrow" w:eastAsiaTheme="minorEastAsia"/>
          <w:sz w:val="24"/>
        </w:rPr>
      </w:pPr>
    </w:p>
    <w:p w14:paraId="4DCD7492">
      <w:pPr>
        <w:pStyle w:val="7"/>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"_Toc171669930" </w:instrText>
      </w:r>
      <w:r>
        <w:fldChar w:fldCharType="separate"/>
      </w:r>
      <w:r>
        <w:rPr>
          <w:rStyle w:val="11"/>
        </w:rPr>
        <w:t>一、基本情况</w:t>
      </w:r>
      <w:r>
        <w:tab/>
      </w:r>
      <w:r>
        <w:fldChar w:fldCharType="begin"/>
      </w:r>
      <w:r>
        <w:instrText xml:space="preserve"> PAGEREF _Toc171669930 \h </w:instrText>
      </w:r>
      <w:r>
        <w:fldChar w:fldCharType="separate"/>
      </w:r>
      <w:r>
        <w:t>1</w:t>
      </w:r>
      <w:r>
        <w:fldChar w:fldCharType="end"/>
      </w:r>
      <w:r>
        <w:fldChar w:fldCharType="end"/>
      </w:r>
    </w:p>
    <w:p w14:paraId="30A6BF0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"_Toc171669931" </w:instrText>
      </w:r>
      <w:r>
        <w:fldChar w:fldCharType="separate"/>
      </w:r>
      <w:r>
        <w:rPr>
          <w:rStyle w:val="11"/>
          <w:rFonts w:cs="宋体"/>
          <w:kern w:val="0"/>
        </w:rPr>
        <w:t>（一）项目情况</w:t>
      </w:r>
      <w:r>
        <w:tab/>
      </w:r>
      <w:r>
        <w:fldChar w:fldCharType="begin"/>
      </w:r>
      <w:r>
        <w:instrText xml:space="preserve"> PAGEREF _Toc171669931 \h </w:instrText>
      </w:r>
      <w:r>
        <w:fldChar w:fldCharType="separate"/>
      </w:r>
      <w:r>
        <w:t>1</w:t>
      </w:r>
      <w:r>
        <w:fldChar w:fldCharType="end"/>
      </w:r>
      <w:r>
        <w:fldChar w:fldCharType="end"/>
      </w:r>
    </w:p>
    <w:p w14:paraId="32FB25E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"_Toc171669932" </w:instrText>
      </w:r>
      <w:r>
        <w:fldChar w:fldCharType="separate"/>
      </w:r>
      <w:r>
        <w:rPr>
          <w:rStyle w:val="11"/>
        </w:rPr>
        <w:t>二、绩效评价工作情况</w:t>
      </w:r>
      <w:r>
        <w:tab/>
      </w:r>
      <w:r>
        <w:fldChar w:fldCharType="begin"/>
      </w:r>
      <w:r>
        <w:instrText xml:space="preserve"> PAGEREF _Toc171669932 \h </w:instrText>
      </w:r>
      <w:r>
        <w:fldChar w:fldCharType="separate"/>
      </w:r>
      <w:r>
        <w:t>2</w:t>
      </w:r>
      <w:r>
        <w:fldChar w:fldCharType="end"/>
      </w:r>
      <w:r>
        <w:fldChar w:fldCharType="end"/>
      </w:r>
    </w:p>
    <w:p w14:paraId="68FCA24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"_Toc171669933" </w:instrText>
      </w:r>
      <w:r>
        <w:fldChar w:fldCharType="separate"/>
      </w:r>
      <w:r>
        <w:rPr>
          <w:rStyle w:val="11"/>
        </w:rPr>
        <w:t>（一）绩效评价目的</w:t>
      </w:r>
      <w:r>
        <w:tab/>
      </w:r>
      <w:r>
        <w:fldChar w:fldCharType="begin"/>
      </w:r>
      <w:r>
        <w:instrText xml:space="preserve"> PAGEREF _Toc171669933 \h </w:instrText>
      </w:r>
      <w:r>
        <w:fldChar w:fldCharType="separate"/>
      </w:r>
      <w:r>
        <w:t>2</w:t>
      </w:r>
      <w:r>
        <w:fldChar w:fldCharType="end"/>
      </w:r>
      <w:r>
        <w:fldChar w:fldCharType="end"/>
      </w:r>
    </w:p>
    <w:p w14:paraId="2D3EA4A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"_Toc171669934" </w:instrText>
      </w:r>
      <w:r>
        <w:fldChar w:fldCharType="separate"/>
      </w:r>
      <w:r>
        <w:rPr>
          <w:rStyle w:val="11"/>
        </w:rPr>
        <w:t>（二）绩效评价的基本内容</w:t>
      </w:r>
      <w:r>
        <w:tab/>
      </w:r>
      <w:r>
        <w:fldChar w:fldCharType="begin"/>
      </w:r>
      <w:r>
        <w:instrText xml:space="preserve"> PAGEREF _Toc171669934 \h </w:instrText>
      </w:r>
      <w:r>
        <w:fldChar w:fldCharType="separate"/>
      </w:r>
      <w:r>
        <w:t>2</w:t>
      </w:r>
      <w:r>
        <w:fldChar w:fldCharType="end"/>
      </w:r>
      <w:r>
        <w:fldChar w:fldCharType="end"/>
      </w:r>
    </w:p>
    <w:p w14:paraId="0C82461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"_Toc171669935" </w:instrText>
      </w:r>
      <w:r>
        <w:fldChar w:fldCharType="separate"/>
      </w:r>
      <w:r>
        <w:rPr>
          <w:rStyle w:val="11"/>
        </w:rPr>
        <w:t>（三）绩效评价依据</w:t>
      </w:r>
      <w:r>
        <w:tab/>
      </w:r>
      <w:r>
        <w:fldChar w:fldCharType="begin"/>
      </w:r>
      <w:r>
        <w:instrText xml:space="preserve"> PAGEREF _Toc171669935 \h </w:instrText>
      </w:r>
      <w:r>
        <w:fldChar w:fldCharType="separate"/>
      </w:r>
      <w:r>
        <w:t>2</w:t>
      </w:r>
      <w:r>
        <w:fldChar w:fldCharType="end"/>
      </w:r>
      <w:r>
        <w:fldChar w:fldCharType="end"/>
      </w:r>
    </w:p>
    <w:p w14:paraId="59F1CDC8">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"_Toc171669936" </w:instrText>
      </w:r>
      <w:r>
        <w:fldChar w:fldCharType="separate"/>
      </w:r>
      <w:r>
        <w:rPr>
          <w:rStyle w:val="11"/>
        </w:rPr>
        <w:t>（四）绩效评价原则和指标体系</w:t>
      </w:r>
      <w:r>
        <w:tab/>
      </w:r>
      <w:r>
        <w:fldChar w:fldCharType="begin"/>
      </w:r>
      <w:r>
        <w:instrText xml:space="preserve"> PAGEREF _Toc171669936 \h </w:instrText>
      </w:r>
      <w:r>
        <w:fldChar w:fldCharType="separate"/>
      </w:r>
      <w:r>
        <w:t>3</w:t>
      </w:r>
      <w:r>
        <w:fldChar w:fldCharType="end"/>
      </w:r>
      <w:r>
        <w:fldChar w:fldCharType="end"/>
      </w:r>
    </w:p>
    <w:p w14:paraId="6F96CC3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"_Toc171669937" </w:instrText>
      </w:r>
      <w:r>
        <w:fldChar w:fldCharType="separate"/>
      </w:r>
      <w:r>
        <w:rPr>
          <w:rStyle w:val="11"/>
        </w:rPr>
        <w:t>（五）绩效评价标准和评价方法</w:t>
      </w:r>
      <w:r>
        <w:tab/>
      </w:r>
      <w:r>
        <w:fldChar w:fldCharType="begin"/>
      </w:r>
      <w:r>
        <w:instrText xml:space="preserve"> PAGEREF _Toc171669937 \h </w:instrText>
      </w:r>
      <w:r>
        <w:fldChar w:fldCharType="separate"/>
      </w:r>
      <w:r>
        <w:t>5</w:t>
      </w:r>
      <w:r>
        <w:fldChar w:fldCharType="end"/>
      </w:r>
      <w:r>
        <w:fldChar w:fldCharType="end"/>
      </w:r>
    </w:p>
    <w:p w14:paraId="24BC51B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"_Toc171669938" </w:instrText>
      </w:r>
      <w:r>
        <w:fldChar w:fldCharType="separate"/>
      </w:r>
      <w:r>
        <w:rPr>
          <w:rStyle w:val="11"/>
        </w:rPr>
        <w:t>（六）绩效评价工作过程</w:t>
      </w:r>
      <w:r>
        <w:tab/>
      </w:r>
      <w:r>
        <w:fldChar w:fldCharType="begin"/>
      </w:r>
      <w:r>
        <w:instrText xml:space="preserve"> PAGEREF _Toc171669938 \h </w:instrText>
      </w:r>
      <w:r>
        <w:fldChar w:fldCharType="separate"/>
      </w:r>
      <w:r>
        <w:t>6</w:t>
      </w:r>
      <w:r>
        <w:fldChar w:fldCharType="end"/>
      </w:r>
      <w:r>
        <w:fldChar w:fldCharType="end"/>
      </w:r>
    </w:p>
    <w:p w14:paraId="212BA1B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"_Toc171669939" </w:instrText>
      </w:r>
      <w:r>
        <w:fldChar w:fldCharType="separate"/>
      </w:r>
      <w:r>
        <w:rPr>
          <w:rStyle w:val="11"/>
        </w:rPr>
        <w:t>三、项目评价结论</w:t>
      </w:r>
      <w:r>
        <w:tab/>
      </w:r>
      <w:r>
        <w:fldChar w:fldCharType="begin"/>
      </w:r>
      <w:r>
        <w:instrText xml:space="preserve"> PAGEREF _Toc171669939 \h </w:instrText>
      </w:r>
      <w:r>
        <w:fldChar w:fldCharType="separate"/>
      </w:r>
      <w:r>
        <w:t>6</w:t>
      </w:r>
      <w:r>
        <w:fldChar w:fldCharType="end"/>
      </w:r>
      <w:r>
        <w:fldChar w:fldCharType="end"/>
      </w:r>
    </w:p>
    <w:p w14:paraId="683CF615">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"_Toc171669940" </w:instrText>
      </w:r>
      <w:r>
        <w:fldChar w:fldCharType="separate"/>
      </w:r>
      <w:r>
        <w:rPr>
          <w:rStyle w:val="11"/>
        </w:rPr>
        <w:t>四、综合评价情况</w:t>
      </w:r>
      <w:r>
        <w:tab/>
      </w:r>
      <w:r>
        <w:fldChar w:fldCharType="begin"/>
      </w:r>
      <w:r>
        <w:instrText xml:space="preserve"> PAGEREF _Toc171669940 \h </w:instrText>
      </w:r>
      <w:r>
        <w:fldChar w:fldCharType="separate"/>
      </w:r>
      <w:r>
        <w:t>6</w:t>
      </w:r>
      <w:r>
        <w:fldChar w:fldCharType="end"/>
      </w:r>
      <w:r>
        <w:fldChar w:fldCharType="end"/>
      </w:r>
    </w:p>
    <w:p w14:paraId="3550768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"_Toc171669941" </w:instrText>
      </w:r>
      <w:r>
        <w:fldChar w:fldCharType="separate"/>
      </w:r>
      <w:r>
        <w:rPr>
          <w:rStyle w:val="11"/>
        </w:rPr>
        <w:t>（一）资金管理</w:t>
      </w:r>
      <w:r>
        <w:tab/>
      </w:r>
      <w:r>
        <w:fldChar w:fldCharType="begin"/>
      </w:r>
      <w:r>
        <w:instrText xml:space="preserve"> PAGEREF _Toc171669941 \h </w:instrText>
      </w:r>
      <w:r>
        <w:fldChar w:fldCharType="separate"/>
      </w:r>
      <w:r>
        <w:t>6</w:t>
      </w:r>
      <w:r>
        <w:fldChar w:fldCharType="end"/>
      </w:r>
      <w:r>
        <w:fldChar w:fldCharType="end"/>
      </w:r>
    </w:p>
    <w:p w14:paraId="3D379EF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"_Toc171669942" </w:instrText>
      </w:r>
      <w:r>
        <w:fldChar w:fldCharType="separate"/>
      </w:r>
      <w:r>
        <w:rPr>
          <w:rStyle w:val="11"/>
        </w:rPr>
        <w:t>（二）项目管理</w:t>
      </w:r>
      <w:r>
        <w:tab/>
      </w:r>
      <w:r>
        <w:fldChar w:fldCharType="begin"/>
      </w:r>
      <w:r>
        <w:instrText xml:space="preserve"> PAGEREF _Toc171669942 \h </w:instrText>
      </w:r>
      <w:r>
        <w:fldChar w:fldCharType="separate"/>
      </w:r>
      <w:r>
        <w:t>6</w:t>
      </w:r>
      <w:r>
        <w:fldChar w:fldCharType="end"/>
      </w:r>
      <w:r>
        <w:fldChar w:fldCharType="end"/>
      </w:r>
    </w:p>
    <w:p w14:paraId="722572A0">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"_Toc171669943" </w:instrText>
      </w:r>
      <w:r>
        <w:fldChar w:fldCharType="separate"/>
      </w:r>
      <w:r>
        <w:rPr>
          <w:rStyle w:val="11"/>
        </w:rPr>
        <w:t>（三）使用成效及通报情况</w:t>
      </w:r>
      <w:r>
        <w:tab/>
      </w:r>
      <w:r>
        <w:fldChar w:fldCharType="begin"/>
      </w:r>
      <w:r>
        <w:instrText xml:space="preserve"> PAGEREF _Toc171669943 \h </w:instrText>
      </w:r>
      <w:r>
        <w:fldChar w:fldCharType="separate"/>
      </w:r>
      <w:r>
        <w:t>7</w:t>
      </w:r>
      <w:r>
        <w:fldChar w:fldCharType="end"/>
      </w:r>
      <w:r>
        <w:fldChar w:fldCharType="end"/>
      </w:r>
    </w:p>
    <w:p w14:paraId="5A10045A">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"_Toc171669944" </w:instrText>
      </w:r>
      <w:r>
        <w:fldChar w:fldCharType="separate"/>
      </w:r>
      <w:r>
        <w:rPr>
          <w:rStyle w:val="11"/>
        </w:rPr>
        <w:t>五、存在的问题和建议</w:t>
      </w:r>
      <w:r>
        <w:tab/>
      </w:r>
      <w:r>
        <w:fldChar w:fldCharType="begin"/>
      </w:r>
      <w:r>
        <w:instrText xml:space="preserve"> PAGEREF _Toc171669944 \h </w:instrText>
      </w:r>
      <w:r>
        <w:fldChar w:fldCharType="separate"/>
      </w:r>
      <w:r>
        <w:t>7</w:t>
      </w:r>
      <w:r>
        <w:fldChar w:fldCharType="end"/>
      </w:r>
      <w:r>
        <w:fldChar w:fldCharType="end"/>
      </w:r>
    </w:p>
    <w:p w14:paraId="61A3ECB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"_Toc171669945" </w:instrText>
      </w:r>
      <w:r>
        <w:fldChar w:fldCharType="separate"/>
      </w:r>
      <w:r>
        <w:rPr>
          <w:rStyle w:val="11"/>
        </w:rPr>
        <w:t>（一）存在问题</w:t>
      </w:r>
      <w:r>
        <w:tab/>
      </w:r>
      <w:r>
        <w:fldChar w:fldCharType="begin"/>
      </w:r>
      <w:r>
        <w:instrText xml:space="preserve"> PAGEREF _Toc171669945 \h </w:instrText>
      </w:r>
      <w:r>
        <w:fldChar w:fldCharType="separate"/>
      </w:r>
      <w:r>
        <w:t>7</w:t>
      </w:r>
      <w:r>
        <w:fldChar w:fldCharType="end"/>
      </w:r>
      <w:r>
        <w:fldChar w:fldCharType="end"/>
      </w:r>
    </w:p>
    <w:p w14:paraId="04D9C82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"_Toc171669946" </w:instrText>
      </w:r>
      <w:r>
        <w:fldChar w:fldCharType="separate"/>
      </w:r>
      <w:r>
        <w:rPr>
          <w:rStyle w:val="11"/>
        </w:rPr>
        <w:t>（二）建议</w:t>
      </w:r>
      <w:r>
        <w:tab/>
      </w:r>
      <w:r>
        <w:fldChar w:fldCharType="begin"/>
      </w:r>
      <w:r>
        <w:instrText xml:space="preserve"> PAGEREF _Toc171669946 \h </w:instrText>
      </w:r>
      <w:r>
        <w:fldChar w:fldCharType="separate"/>
      </w:r>
      <w:r>
        <w:t>7</w:t>
      </w:r>
      <w:r>
        <w:fldChar w:fldCharType="end"/>
      </w:r>
      <w:r>
        <w:fldChar w:fldCharType="end"/>
      </w:r>
    </w:p>
    <w:p w14:paraId="04254824">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54C2B9FD">
      <w:pPr>
        <w:spacing w:line="360" w:lineRule="auto"/>
        <w:jc w:val="right"/>
        <w:rPr>
          <w:rFonts w:ascii="Arial Narrow" w:hAnsi="Arial Narrow" w:eastAsiaTheme="minorEastAsia"/>
          <w:bCs/>
          <w:w w:val="80"/>
          <w:sz w:val="28"/>
          <w:szCs w:val="28"/>
        </w:rPr>
      </w:pPr>
    </w:p>
    <w:p w14:paraId="71E79AA8">
      <w:pPr>
        <w:spacing w:line="360" w:lineRule="auto"/>
        <w:jc w:val="right"/>
        <w:rPr>
          <w:rFonts w:ascii="Arial Narrow" w:hAnsi="Arial Narrow" w:eastAsiaTheme="minorEastAsia"/>
          <w:bCs/>
          <w:w w:val="80"/>
          <w:sz w:val="28"/>
          <w:szCs w:val="28"/>
        </w:rPr>
      </w:pPr>
    </w:p>
    <w:p w14:paraId="0F063D4C">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25296554">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731E0561">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鸿咨字〔2024〕第0035号</w:t>
      </w:r>
    </w:p>
    <w:p w14:paraId="226529B6">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604729B8">
      <w:pPr>
        <w:adjustRightInd w:val="0"/>
        <w:snapToGrid w:val="0"/>
        <w:spacing w:line="360" w:lineRule="auto"/>
        <w:jc w:val="center"/>
        <w:rPr>
          <w:rStyle w:val="11"/>
          <w:rFonts w:ascii="Arial Narrow" w:hAnsi="Arial Narrow" w:eastAsiaTheme="minorEastAsia"/>
          <w:b/>
          <w:color w:val="auto"/>
          <w:sz w:val="36"/>
          <w:szCs w:val="36"/>
          <w:u w:val="none"/>
        </w:rPr>
      </w:pPr>
      <w:r>
        <w:rPr>
          <w:rStyle w:val="11"/>
          <w:rFonts w:ascii="Arial Narrow" w:hAnsi="Arial Narrow" w:eastAsiaTheme="minorEastAsia"/>
          <w:b/>
          <w:color w:val="auto"/>
          <w:sz w:val="36"/>
          <w:szCs w:val="36"/>
          <w:u w:val="none"/>
        </w:rPr>
        <w:t>重庆市铜梁区白羊镇2023年财政专项衔接资金</w:t>
      </w:r>
    </w:p>
    <w:p w14:paraId="53B87D2B">
      <w:pPr>
        <w:adjustRightInd w:val="0"/>
        <w:snapToGrid w:val="0"/>
        <w:spacing w:line="360" w:lineRule="auto"/>
        <w:jc w:val="center"/>
        <w:rPr>
          <w:rFonts w:ascii="Arial Narrow" w:hAnsi="Arial Narrow" w:eastAsiaTheme="minorEastAsia"/>
          <w:b/>
          <w:sz w:val="36"/>
          <w:szCs w:val="36"/>
        </w:rPr>
      </w:pPr>
      <w:r>
        <w:rPr>
          <w:rFonts w:ascii="Arial Narrow" w:hAnsi="Arial Narrow" w:eastAsiaTheme="minorEastAsia"/>
          <w:b/>
          <w:sz w:val="36"/>
          <w:szCs w:val="36"/>
        </w:rPr>
        <w:t>绩效评价报告</w:t>
      </w:r>
    </w:p>
    <w:p w14:paraId="5E47FC61">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lang w:eastAsia="zh-CN"/>
        </w:rPr>
        <w:t>“</w:t>
      </w:r>
      <w:r>
        <w:rPr>
          <w:rFonts w:ascii="Arial Narrow" w:hAnsi="Arial Narrow" w:eastAsiaTheme="minorEastAsia"/>
          <w:color w:val="auto"/>
        </w:rPr>
        <w:t>全面实施绩效管理</w:t>
      </w:r>
      <w:r>
        <w:rPr>
          <w:rFonts w:hint="eastAsia" w:ascii="仿宋" w:hAnsi="仿宋" w:eastAsia="仿宋" w:cs="仿宋"/>
          <w:color w:val="auto"/>
          <w:lang w:eastAsia="zh-CN"/>
        </w:rPr>
        <w:t>”</w:t>
      </w:r>
      <w:r>
        <w:rPr>
          <w:rFonts w:ascii="Arial Narrow" w:hAnsi="Arial Narrow" w:eastAsiaTheme="minorEastAsia"/>
          <w:color w:val="auto"/>
        </w:rPr>
        <w:t>决策部署，进一步提高政府投入资金的使用效益，促进公共服务资源的优化配置，根据《中华人民共和国预算法》、《项目支出绩效评价管理办法》（财预〔2020〕10号）</w:t>
      </w:r>
      <w:r>
        <w:rPr>
          <w:rFonts w:hint="eastAsia" w:ascii="Arial Narrow" w:hAnsi="Arial Narrow" w:eastAsiaTheme="minorEastAsia"/>
          <w:color w:val="auto"/>
          <w:lang w:eastAsia="zh-CN"/>
        </w:rPr>
        <w:t>、</w:t>
      </w:r>
      <w:r>
        <w:rPr>
          <w:rFonts w:ascii="Arial Narrow" w:hAnsi="Arial Narrow" w:eastAsiaTheme="minorEastAsia"/>
          <w:color w:val="auto"/>
        </w:rPr>
        <w:t>《重庆市市级政策和项目预算绩效管理办法（试行）》（渝财绩〔2019〕19号），受重庆市铜梁区财政局（以下简称</w:t>
      </w:r>
      <w:r>
        <w:rPr>
          <w:rFonts w:hint="eastAsia" w:ascii="仿宋" w:hAnsi="仿宋" w:eastAsia="仿宋" w:cs="仿宋"/>
          <w:color w:val="auto"/>
          <w:lang w:eastAsia="zh-CN"/>
        </w:rPr>
        <w:t>“</w:t>
      </w:r>
      <w:r>
        <w:rPr>
          <w:rFonts w:ascii="Arial Narrow" w:hAnsi="Arial Narrow" w:eastAsiaTheme="minorEastAsia"/>
          <w:color w:val="auto"/>
        </w:rPr>
        <w:t>财政局</w:t>
      </w:r>
      <w:r>
        <w:rPr>
          <w:rFonts w:hint="eastAsia" w:ascii="仿宋" w:hAnsi="仿宋" w:eastAsia="仿宋" w:cs="仿宋"/>
          <w:color w:val="auto"/>
          <w:lang w:eastAsia="zh-CN"/>
        </w:rPr>
        <w:t>”</w:t>
      </w:r>
      <w:r>
        <w:rPr>
          <w:rFonts w:ascii="Arial Narrow" w:hAnsi="Arial Narrow" w:eastAsiaTheme="minorEastAsia"/>
          <w:color w:val="auto"/>
        </w:rPr>
        <w:t>）的委托，我们对重庆市铜梁区乡村振兴局（以下简称</w:t>
      </w:r>
      <w:r>
        <w:rPr>
          <w:rFonts w:hint="eastAsia" w:ascii="仿宋" w:hAnsi="仿宋" w:eastAsia="仿宋" w:cs="仿宋"/>
          <w:color w:val="auto"/>
          <w:lang w:eastAsia="zh-CN"/>
        </w:rPr>
        <w:t>“</w:t>
      </w:r>
      <w:r>
        <w:rPr>
          <w:rFonts w:ascii="Arial Narrow" w:hAnsi="Arial Narrow" w:eastAsiaTheme="minorEastAsia"/>
          <w:color w:val="auto"/>
        </w:rPr>
        <w:t>振兴局</w:t>
      </w:r>
      <w:r>
        <w:rPr>
          <w:rFonts w:hint="eastAsia" w:ascii="仿宋" w:hAnsi="仿宋" w:eastAsia="仿宋" w:cs="仿宋"/>
          <w:color w:val="auto"/>
          <w:lang w:eastAsia="zh-CN"/>
        </w:rPr>
        <w:t>”</w:t>
      </w:r>
      <w:r>
        <w:rPr>
          <w:rFonts w:ascii="Arial Narrow" w:hAnsi="Arial Narrow" w:eastAsiaTheme="minorEastAsia"/>
          <w:color w:val="auto"/>
        </w:rPr>
        <w:t>）铜梁区2023年白羊镇水碾村咸菜晾晒长廊建设项目进行绩效评价，现将评价情况报告如下：</w:t>
      </w:r>
    </w:p>
    <w:p w14:paraId="642703D4">
      <w:pPr>
        <w:spacing w:before="240" w:beforeLines="100" w:line="360" w:lineRule="auto"/>
        <w:ind w:firstLine="482" w:firstLineChars="200"/>
        <w:jc w:val="left"/>
        <w:outlineLvl w:val="0"/>
        <w:rPr>
          <w:rFonts w:ascii="Arial Narrow" w:hAnsi="Arial Narrow" w:eastAsiaTheme="minorEastAsia"/>
          <w:b/>
          <w:sz w:val="24"/>
        </w:rPr>
      </w:pPr>
      <w:bookmarkStart w:id="3" w:name="_Toc171669930"/>
      <w:r>
        <w:rPr>
          <w:rFonts w:ascii="Arial Narrow" w:hAnsi="Arial Narrow" w:eastAsiaTheme="minorEastAsia"/>
          <w:b/>
          <w:sz w:val="24"/>
        </w:rPr>
        <w:t>一、基本情况</w:t>
      </w:r>
      <w:bookmarkEnd w:id="3"/>
    </w:p>
    <w:p w14:paraId="7E293DCF">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4" w:name="_Toc171669931"/>
      <w:r>
        <w:rPr>
          <w:rFonts w:ascii="Arial Narrow" w:hAnsi="Arial Narrow" w:cs="宋体" w:eastAsiaTheme="minorEastAsia"/>
          <w:b/>
          <w:bCs/>
          <w:kern w:val="0"/>
          <w:sz w:val="24"/>
        </w:rPr>
        <w:t>（一）</w:t>
      </w:r>
      <w:r>
        <w:rPr>
          <w:rFonts w:ascii="Arial Narrow" w:hAnsi="Arial Narrow" w:cs="宋体" w:eastAsiaTheme="minorEastAsia"/>
          <w:kern w:val="0"/>
          <w:sz w:val="24"/>
        </w:rPr>
        <w:t>项目情况</w:t>
      </w:r>
      <w:bookmarkEnd w:id="4"/>
    </w:p>
    <w:p w14:paraId="05FE1A0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w:t>
      </w:r>
      <w:r>
        <w:rPr>
          <w:rFonts w:ascii="Arial Narrow" w:hAnsi="Arial Narrow" w:eastAsiaTheme="minorEastAsia"/>
        </w:rPr>
        <w:t xml:space="preserve"> </w:t>
      </w:r>
      <w:r>
        <w:rPr>
          <w:rFonts w:ascii="Arial Narrow" w:hAnsi="Arial Narrow" w:cs="宋体" w:eastAsiaTheme="minorEastAsia"/>
          <w:kern w:val="0"/>
          <w:sz w:val="24"/>
        </w:rPr>
        <w:t>2023年白羊镇水碾村咸菜晾晒长廊建设项目</w:t>
      </w:r>
    </w:p>
    <w:p w14:paraId="5C6189B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w:t>
      </w:r>
      <w:r>
        <w:rPr>
          <w:rFonts w:hint="eastAsia" w:ascii="Arial Narrow" w:hAnsi="Arial Narrow" w:cs="宋体" w:eastAsiaTheme="minorEastAsia"/>
          <w:kern w:val="0"/>
          <w:sz w:val="24"/>
        </w:rPr>
        <w:t>重庆市</w:t>
      </w:r>
      <w:r>
        <w:rPr>
          <w:rFonts w:ascii="Arial Narrow" w:hAnsi="Arial Narrow" w:cs="宋体" w:eastAsiaTheme="minorEastAsia"/>
          <w:kern w:val="0"/>
          <w:sz w:val="24"/>
        </w:rPr>
        <w:t>铜梁区白羊镇水碾村股份经济合作联合社</w:t>
      </w:r>
    </w:p>
    <w:p w14:paraId="5D1CC904">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项目地点：白羊镇水碾村9组</w:t>
      </w:r>
    </w:p>
    <w:p w14:paraId="6EE3C90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建设内容：（1）修建500米长、2米宽的观光便道：在原有产业便道路面基础上铺设0.05米厚的透水混凝土地面；（2）建立晾晒杆</w:t>
      </w:r>
      <w:r>
        <w:rPr>
          <w:rFonts w:hint="eastAsia" w:ascii="Arial Narrow" w:hAnsi="Arial Narrow" w:cs="宋体" w:eastAsiaTheme="minorEastAsia"/>
          <w:kern w:val="0"/>
          <w:sz w:val="24"/>
          <w:lang w:val="en-US" w:eastAsia="zh-CN"/>
        </w:rPr>
        <w:t>管</w:t>
      </w:r>
      <w:r>
        <w:rPr>
          <w:rFonts w:ascii="Arial Narrow" w:hAnsi="Arial Narrow" w:cs="宋体" w:eastAsiaTheme="minorEastAsia"/>
          <w:kern w:val="0"/>
          <w:sz w:val="24"/>
        </w:rPr>
        <w:t>网：在原有产业便道路两侧，每隔2.5米，埋50*50*30的C20混凝土墩子，内置300*300*10的预埋铁件。立柱总高3米，离铺设透水混凝土后路面高2.5米，立柱顶用100*100*5的镀锌板封顶。每2.5米安一根立柱，立柱离地外侧0.8米和1.5米处用横穿钢管连接。依据立柱分布，每2.5米安装一个拱梁，拱梁顶连接处5根横穿钢管，拱梁与立柱连接处横管采用镀锌角钢连接。长廊3处入口安装镀锌钢板材质匾额及公告栏，</w:t>
      </w:r>
      <w:r>
        <w:rPr>
          <w:rFonts w:hint="eastAsia" w:ascii="Arial Narrow" w:hAnsi="Arial Narrow" w:cs="宋体" w:eastAsiaTheme="minorEastAsia"/>
          <w:kern w:val="0"/>
          <w:sz w:val="24"/>
          <w:lang w:val="en-US" w:eastAsia="zh-CN"/>
        </w:rPr>
        <w:t>部分</w:t>
      </w:r>
      <w:r>
        <w:rPr>
          <w:rFonts w:ascii="Arial Narrow" w:hAnsi="Arial Narrow" w:cs="宋体" w:eastAsiaTheme="minorEastAsia"/>
          <w:kern w:val="0"/>
          <w:sz w:val="24"/>
        </w:rPr>
        <w:t>区域安装公园道路导视牌、安全警示牌等。购买一台不锈钢多功能切菜机。</w:t>
      </w:r>
    </w:p>
    <w:p w14:paraId="351C2CB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项目资金安排情况：该项目2023年计划投入40万元，实际投入40万元，均为上级补助资金。</w:t>
      </w:r>
    </w:p>
    <w:p w14:paraId="237C0F91">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项目起止时间：2023年8月-2023年12月</w:t>
      </w:r>
    </w:p>
    <w:p w14:paraId="5E58689D">
      <w:pPr>
        <w:spacing w:line="360" w:lineRule="auto"/>
        <w:ind w:firstLine="482" w:firstLineChars="200"/>
        <w:jc w:val="left"/>
        <w:outlineLvl w:val="0"/>
        <w:rPr>
          <w:rFonts w:ascii="Arial Narrow" w:hAnsi="Arial Narrow" w:eastAsiaTheme="minorEastAsia"/>
          <w:b/>
          <w:sz w:val="24"/>
        </w:rPr>
      </w:pPr>
      <w:bookmarkStart w:id="5" w:name="_Toc171669932"/>
      <w:r>
        <w:rPr>
          <w:rFonts w:ascii="Arial Narrow" w:hAnsi="Arial Narrow" w:eastAsiaTheme="minorEastAsia"/>
          <w:b/>
          <w:sz w:val="24"/>
        </w:rPr>
        <w:t>二、绩效评价工作情况</w:t>
      </w:r>
      <w:bookmarkEnd w:id="5"/>
    </w:p>
    <w:p w14:paraId="77A32B3E">
      <w:pPr>
        <w:spacing w:line="360" w:lineRule="auto"/>
        <w:ind w:firstLine="482" w:firstLineChars="200"/>
        <w:jc w:val="left"/>
        <w:outlineLvl w:val="0"/>
        <w:rPr>
          <w:rFonts w:ascii="Arial Narrow" w:hAnsi="Arial Narrow" w:eastAsiaTheme="minorEastAsia"/>
          <w:b/>
          <w:sz w:val="24"/>
        </w:rPr>
      </w:pPr>
      <w:bookmarkStart w:id="6" w:name="_Toc513775099"/>
      <w:bookmarkStart w:id="7" w:name="_Toc171669933"/>
      <w:r>
        <w:rPr>
          <w:rFonts w:ascii="Arial Narrow" w:hAnsi="Arial Narrow" w:eastAsiaTheme="minorEastAsia"/>
          <w:b/>
          <w:sz w:val="24"/>
        </w:rPr>
        <w:t>（一）绩效评价目的</w:t>
      </w:r>
      <w:bookmarkEnd w:id="6"/>
      <w:bookmarkEnd w:id="7"/>
    </w:p>
    <w:p w14:paraId="60D0870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1FA24B10">
      <w:pPr>
        <w:spacing w:line="360" w:lineRule="auto"/>
        <w:ind w:firstLine="482" w:firstLineChars="200"/>
        <w:jc w:val="left"/>
        <w:outlineLvl w:val="0"/>
        <w:rPr>
          <w:rFonts w:ascii="Arial Narrow" w:hAnsi="Arial Narrow" w:eastAsiaTheme="minorEastAsia"/>
          <w:b/>
          <w:sz w:val="24"/>
        </w:rPr>
      </w:pPr>
      <w:bookmarkStart w:id="8" w:name="_Toc171669934"/>
      <w:bookmarkStart w:id="9" w:name="_Toc513775100"/>
      <w:r>
        <w:rPr>
          <w:rFonts w:ascii="Arial Narrow" w:hAnsi="Arial Narrow" w:eastAsiaTheme="minorEastAsia"/>
          <w:b/>
          <w:sz w:val="24"/>
        </w:rPr>
        <w:t>（二）绩效评价的基本内容</w:t>
      </w:r>
      <w:bookmarkEnd w:id="8"/>
    </w:p>
    <w:p w14:paraId="07CD0B7E">
      <w:pPr>
        <w:pStyle w:val="14"/>
        <w:spacing w:line="360" w:lineRule="auto"/>
        <w:ind w:firstLine="480" w:firstLineChars="200"/>
        <w:rPr>
          <w:rFonts w:ascii="Arial Narrow" w:hAnsi="Arial Narrow" w:eastAsiaTheme="minorEastAsia"/>
          <w:color w:val="auto"/>
        </w:rPr>
      </w:pPr>
      <w:bookmarkStart w:id="10" w:name="_Toc166332968"/>
      <w:r>
        <w:rPr>
          <w:rFonts w:ascii="Arial Narrow" w:hAnsi="Arial Narrow" w:eastAsiaTheme="minorEastAsia"/>
          <w:color w:val="auto"/>
        </w:rPr>
        <w:t>1.绩效目标的设定情况；</w:t>
      </w:r>
    </w:p>
    <w:p w14:paraId="6ED605A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2.资金投入和使用情况；</w:t>
      </w:r>
    </w:p>
    <w:p w14:paraId="627838F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3.为实现绩效目标制定的制度、采取的措施等；</w:t>
      </w:r>
    </w:p>
    <w:p w14:paraId="4B959AB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4.绩效目标的实现程度及效果；</w:t>
      </w:r>
    </w:p>
    <w:p w14:paraId="5F1F5DD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5.根据实际情况需要评价的其他内容。</w:t>
      </w:r>
    </w:p>
    <w:p w14:paraId="0D5913BC">
      <w:pPr>
        <w:spacing w:line="360" w:lineRule="auto"/>
        <w:ind w:firstLine="482" w:firstLineChars="200"/>
        <w:jc w:val="left"/>
        <w:outlineLvl w:val="0"/>
        <w:rPr>
          <w:rFonts w:ascii="Arial Narrow" w:hAnsi="Arial Narrow" w:eastAsiaTheme="minorEastAsia"/>
          <w:b/>
          <w:sz w:val="24"/>
        </w:rPr>
      </w:pPr>
      <w:bookmarkStart w:id="11" w:name="_Toc171669935"/>
      <w:r>
        <w:rPr>
          <w:rFonts w:ascii="Arial Narrow" w:hAnsi="Arial Narrow" w:eastAsiaTheme="minorEastAsia"/>
          <w:b/>
          <w:sz w:val="24"/>
        </w:rPr>
        <w:t>（三）绩效评价依据</w:t>
      </w:r>
      <w:bookmarkEnd w:id="9"/>
      <w:bookmarkEnd w:id="10"/>
      <w:bookmarkEnd w:id="11"/>
      <w:bookmarkStart w:id="12" w:name="_Toc335040595"/>
    </w:p>
    <w:bookmarkEnd w:id="12"/>
    <w:p w14:paraId="288BB4A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33E7855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 《重庆市铜梁区财政局关于开展2023年度项目财政重点绩效评价的通知》（铜财〔2024〕237号）</w:t>
      </w:r>
    </w:p>
    <w:p w14:paraId="67310BA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r>
        <w:rPr>
          <w:rFonts w:ascii="Arial Narrow" w:hAnsi="Arial Narrow" w:eastAsiaTheme="minorEastAsia"/>
          <w:color w:val="auto"/>
        </w:rPr>
        <w:t xml:space="preserve"> </w:t>
      </w:r>
    </w:p>
    <w:p w14:paraId="3F838B4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w:t>
      </w:r>
      <w:r>
        <w:rPr>
          <w:rFonts w:hint="eastAsia" w:ascii="Arial Narrow" w:hAnsi="Arial Narrow" w:eastAsiaTheme="minorEastAsia"/>
          <w:color w:val="auto"/>
          <w:lang w:eastAsia="zh-CN"/>
        </w:rPr>
        <w:t>（</w:t>
      </w:r>
      <w:r>
        <w:rPr>
          <w:rFonts w:ascii="Arial Narrow" w:hAnsi="Arial Narrow" w:eastAsiaTheme="minorEastAsia"/>
          <w:color w:val="auto"/>
        </w:rPr>
        <w:t>试行</w:t>
      </w:r>
      <w:r>
        <w:rPr>
          <w:rFonts w:hint="eastAsia" w:ascii="Arial Narrow" w:hAnsi="Arial Narrow" w:eastAsiaTheme="minorEastAsia"/>
          <w:color w:val="auto"/>
          <w:lang w:eastAsia="zh-CN"/>
        </w:rPr>
        <w:t>）</w:t>
      </w:r>
      <w:r>
        <w:rPr>
          <w:rFonts w:ascii="Arial Narrow" w:hAnsi="Arial Narrow" w:eastAsiaTheme="minorEastAsia"/>
          <w:color w:val="auto"/>
        </w:rPr>
        <w:t>》（铜财〔2022〕41号）</w:t>
      </w:r>
    </w:p>
    <w:p w14:paraId="5E72556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67AD4EA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0326DDC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 《铜梁区财政衔接推进乡村振兴补助资金项目公告公示实施办法》（铜委农办〔2021〕19号）</w:t>
      </w:r>
    </w:p>
    <w:p w14:paraId="48DCD70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0786477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22D0348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3" w:name="_Hlk162597612"/>
      <w:r>
        <w:rPr>
          <w:rFonts w:ascii="Arial Narrow" w:hAnsi="Arial Narrow" w:eastAsiaTheme="minorEastAsia"/>
          <w:color w:val="auto"/>
        </w:rPr>
        <w:t>〔2016〕</w:t>
      </w:r>
      <w:bookmarkEnd w:id="13"/>
      <w:r>
        <w:rPr>
          <w:rFonts w:ascii="Arial Narrow" w:hAnsi="Arial Narrow" w:eastAsiaTheme="minorEastAsia"/>
          <w:color w:val="auto"/>
        </w:rPr>
        <w:t>10号）</w:t>
      </w:r>
    </w:p>
    <w:p w14:paraId="0AFEC24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 评价工作人员通过现场调查、核实等获得的资料等</w:t>
      </w:r>
    </w:p>
    <w:p w14:paraId="6EC18BDC">
      <w:pPr>
        <w:spacing w:line="360" w:lineRule="auto"/>
        <w:ind w:firstLine="482" w:firstLineChars="200"/>
        <w:jc w:val="left"/>
        <w:outlineLvl w:val="0"/>
        <w:rPr>
          <w:rFonts w:ascii="Arial Narrow" w:hAnsi="Arial Narrow" w:eastAsiaTheme="minorEastAsia"/>
          <w:b/>
          <w:sz w:val="24"/>
        </w:rPr>
      </w:pPr>
      <w:bookmarkStart w:id="14" w:name="_Toc171669936"/>
      <w:r>
        <w:rPr>
          <w:rFonts w:ascii="Arial Narrow" w:hAnsi="Arial Narrow" w:eastAsiaTheme="minorEastAsia"/>
          <w:b/>
          <w:sz w:val="24"/>
        </w:rPr>
        <w:t>（四）绩效评价原则和指标体系</w:t>
      </w:r>
      <w:bookmarkEnd w:id="14"/>
    </w:p>
    <w:p w14:paraId="00BFC7B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0B1F23B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6FECE73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11541DB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27C965B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533D2EB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00DD973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2C1D47F4">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293C8207">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6"/>
        <w:gridCol w:w="1048"/>
        <w:gridCol w:w="536"/>
        <w:gridCol w:w="2752"/>
        <w:gridCol w:w="3603"/>
      </w:tblGrid>
      <w:tr w14:paraId="32F4B5E3">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4092E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6" w:type="dxa"/>
            <w:tcBorders>
              <w:top w:val="single" w:color="auto" w:sz="4" w:space="0"/>
              <w:left w:val="nil"/>
              <w:bottom w:val="single" w:color="auto" w:sz="4" w:space="0"/>
              <w:right w:val="single" w:color="auto" w:sz="4" w:space="0"/>
            </w:tcBorders>
            <w:shd w:val="clear" w:color="auto" w:fill="auto"/>
            <w:noWrap/>
            <w:vAlign w:val="center"/>
          </w:tcPr>
          <w:p w14:paraId="25AA20C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1766B38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1DE5EA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52" w:type="dxa"/>
            <w:tcBorders>
              <w:top w:val="single" w:color="auto" w:sz="4" w:space="0"/>
              <w:left w:val="nil"/>
              <w:bottom w:val="single" w:color="auto" w:sz="4" w:space="0"/>
              <w:right w:val="single" w:color="auto" w:sz="4" w:space="0"/>
            </w:tcBorders>
            <w:shd w:val="clear" w:color="auto" w:fill="auto"/>
            <w:noWrap/>
            <w:vAlign w:val="center"/>
          </w:tcPr>
          <w:p w14:paraId="1B5D589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603" w:type="dxa"/>
            <w:tcBorders>
              <w:top w:val="single" w:color="auto" w:sz="4" w:space="0"/>
              <w:left w:val="nil"/>
              <w:bottom w:val="single" w:color="auto" w:sz="4" w:space="0"/>
              <w:right w:val="single" w:color="auto" w:sz="4" w:space="0"/>
            </w:tcBorders>
            <w:shd w:val="clear" w:color="auto" w:fill="auto"/>
            <w:noWrap/>
            <w:vAlign w:val="center"/>
          </w:tcPr>
          <w:p w14:paraId="064E502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44DA1FF0">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ABA213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527F2A0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5549B14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67ECA64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52" w:type="dxa"/>
            <w:tcBorders>
              <w:top w:val="nil"/>
              <w:left w:val="nil"/>
              <w:bottom w:val="single" w:color="auto" w:sz="4" w:space="0"/>
              <w:right w:val="single" w:color="auto" w:sz="4" w:space="0"/>
            </w:tcBorders>
            <w:shd w:val="clear" w:color="auto" w:fill="auto"/>
            <w:vAlign w:val="center"/>
          </w:tcPr>
          <w:p w14:paraId="2750210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603" w:type="dxa"/>
            <w:tcBorders>
              <w:top w:val="nil"/>
              <w:left w:val="nil"/>
              <w:bottom w:val="single" w:color="auto" w:sz="4" w:space="0"/>
              <w:right w:val="single" w:color="auto" w:sz="4" w:space="0"/>
            </w:tcBorders>
            <w:shd w:val="clear" w:color="auto" w:fill="auto"/>
            <w:vAlign w:val="center"/>
          </w:tcPr>
          <w:p w14:paraId="1D6304E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0127B0AA">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CE1D6C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6" w:type="dxa"/>
            <w:vMerge w:val="continue"/>
            <w:tcBorders>
              <w:top w:val="nil"/>
              <w:left w:val="single" w:color="auto" w:sz="4" w:space="0"/>
              <w:bottom w:val="single" w:color="auto" w:sz="4" w:space="0"/>
              <w:right w:val="single" w:color="auto" w:sz="4" w:space="0"/>
            </w:tcBorders>
            <w:vAlign w:val="center"/>
          </w:tcPr>
          <w:p w14:paraId="6927340D">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6A14A3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3566BD5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52" w:type="dxa"/>
            <w:tcBorders>
              <w:top w:val="nil"/>
              <w:left w:val="nil"/>
              <w:bottom w:val="single" w:color="auto" w:sz="4" w:space="0"/>
              <w:right w:val="single" w:color="auto" w:sz="4" w:space="0"/>
            </w:tcBorders>
            <w:shd w:val="clear" w:color="auto" w:fill="auto"/>
            <w:vAlign w:val="center"/>
          </w:tcPr>
          <w:p w14:paraId="75A042C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603" w:type="dxa"/>
            <w:tcBorders>
              <w:top w:val="nil"/>
              <w:left w:val="nil"/>
              <w:bottom w:val="single" w:color="auto" w:sz="4" w:space="0"/>
              <w:right w:val="single" w:color="auto" w:sz="4" w:space="0"/>
            </w:tcBorders>
            <w:shd w:val="clear" w:color="auto" w:fill="auto"/>
            <w:vAlign w:val="center"/>
          </w:tcPr>
          <w:p w14:paraId="5892E48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2D90C712">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B802A6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783BB8B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2A4B97F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6D1C66D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52" w:type="dxa"/>
            <w:tcBorders>
              <w:top w:val="nil"/>
              <w:left w:val="nil"/>
              <w:bottom w:val="nil"/>
              <w:right w:val="nil"/>
            </w:tcBorders>
            <w:shd w:val="clear" w:color="auto" w:fill="auto"/>
            <w:vAlign w:val="center"/>
          </w:tcPr>
          <w:p w14:paraId="460D447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603" w:type="dxa"/>
            <w:tcBorders>
              <w:top w:val="nil"/>
              <w:left w:val="single" w:color="auto" w:sz="4" w:space="0"/>
              <w:bottom w:val="single" w:color="auto" w:sz="4" w:space="0"/>
              <w:right w:val="single" w:color="auto" w:sz="4" w:space="0"/>
            </w:tcBorders>
            <w:shd w:val="clear" w:color="auto" w:fill="auto"/>
            <w:vAlign w:val="center"/>
          </w:tcPr>
          <w:p w14:paraId="5A8732D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5652CDC7">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B5D24C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6" w:type="dxa"/>
            <w:vMerge w:val="continue"/>
            <w:tcBorders>
              <w:top w:val="nil"/>
              <w:left w:val="single" w:color="auto" w:sz="4" w:space="0"/>
              <w:bottom w:val="single" w:color="auto" w:sz="4" w:space="0"/>
              <w:right w:val="single" w:color="auto" w:sz="4" w:space="0"/>
            </w:tcBorders>
            <w:vAlign w:val="center"/>
          </w:tcPr>
          <w:p w14:paraId="334D0E26">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93108D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42C7672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52" w:type="dxa"/>
            <w:tcBorders>
              <w:top w:val="single" w:color="auto" w:sz="4" w:space="0"/>
              <w:left w:val="nil"/>
              <w:bottom w:val="single" w:color="auto" w:sz="4" w:space="0"/>
              <w:right w:val="single" w:color="auto" w:sz="4" w:space="0"/>
            </w:tcBorders>
            <w:shd w:val="clear" w:color="auto" w:fill="auto"/>
            <w:vAlign w:val="center"/>
          </w:tcPr>
          <w:p w14:paraId="053BC33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71D2DD7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220B8DFA">
        <w:tblPrEx>
          <w:tblCellMar>
            <w:top w:w="0" w:type="dxa"/>
            <w:left w:w="108" w:type="dxa"/>
            <w:bottom w:w="0" w:type="dxa"/>
            <w:right w:w="108" w:type="dxa"/>
          </w:tblCellMar>
        </w:tblPrEx>
        <w:trPr>
          <w:cantSplit/>
          <w:trHeight w:val="2425"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450534B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6" w:type="dxa"/>
            <w:vMerge w:val="continue"/>
            <w:tcBorders>
              <w:top w:val="single" w:color="auto" w:sz="4" w:space="0"/>
              <w:left w:val="single" w:color="auto" w:sz="4" w:space="0"/>
              <w:bottom w:val="single" w:color="auto" w:sz="4" w:space="0"/>
              <w:right w:val="single" w:color="auto" w:sz="4" w:space="0"/>
            </w:tcBorders>
            <w:vAlign w:val="center"/>
          </w:tcPr>
          <w:p w14:paraId="47CF6E4A">
            <w:pPr>
              <w:widowControl/>
              <w:jc w:val="left"/>
              <w:rPr>
                <w:rFonts w:ascii="Arial Narrow" w:hAnsi="Arial Narrow" w:cs="宋体" w:eastAsiaTheme="minorEastAsia"/>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3664FB3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single" w:color="auto" w:sz="4" w:space="0"/>
              <w:left w:val="nil"/>
              <w:bottom w:val="single" w:color="auto" w:sz="4" w:space="0"/>
              <w:right w:val="single" w:color="auto" w:sz="4" w:space="0"/>
            </w:tcBorders>
            <w:shd w:val="clear" w:color="auto" w:fill="auto"/>
            <w:vAlign w:val="center"/>
          </w:tcPr>
          <w:p w14:paraId="6C5ABB0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52" w:type="dxa"/>
            <w:tcBorders>
              <w:top w:val="single" w:color="auto" w:sz="4" w:space="0"/>
              <w:left w:val="nil"/>
              <w:bottom w:val="single" w:color="auto" w:sz="4" w:space="0"/>
              <w:right w:val="single" w:color="auto" w:sz="4" w:space="0"/>
            </w:tcBorders>
            <w:shd w:val="clear" w:color="auto" w:fill="auto"/>
            <w:vAlign w:val="center"/>
          </w:tcPr>
          <w:p w14:paraId="563BFBE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603" w:type="dxa"/>
            <w:tcBorders>
              <w:top w:val="single" w:color="auto" w:sz="4" w:space="0"/>
              <w:left w:val="nil"/>
              <w:bottom w:val="single" w:color="auto" w:sz="4" w:space="0"/>
              <w:right w:val="single" w:color="auto" w:sz="4" w:space="0"/>
            </w:tcBorders>
            <w:shd w:val="clear" w:color="auto" w:fill="auto"/>
            <w:vAlign w:val="center"/>
          </w:tcPr>
          <w:p w14:paraId="586AAD6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10F10319">
        <w:tblPrEx>
          <w:tblCellMar>
            <w:top w:w="0" w:type="dxa"/>
            <w:left w:w="108" w:type="dxa"/>
            <w:bottom w:w="0" w:type="dxa"/>
            <w:right w:w="108" w:type="dxa"/>
          </w:tblCellMar>
        </w:tblPrEx>
        <w:trPr>
          <w:cantSplit/>
          <w:trHeight w:val="405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7469239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6" w:type="dxa"/>
            <w:vMerge w:val="continue"/>
            <w:tcBorders>
              <w:top w:val="single" w:color="auto" w:sz="4" w:space="0"/>
              <w:left w:val="single" w:color="auto" w:sz="4" w:space="0"/>
              <w:bottom w:val="single" w:color="auto" w:sz="4" w:space="0"/>
              <w:right w:val="single" w:color="auto" w:sz="4" w:space="0"/>
            </w:tcBorders>
            <w:vAlign w:val="center"/>
          </w:tcPr>
          <w:p w14:paraId="6D634A64">
            <w:pPr>
              <w:widowControl/>
              <w:jc w:val="left"/>
              <w:rPr>
                <w:rFonts w:ascii="Arial Narrow" w:hAnsi="Arial Narrow" w:cs="宋体" w:eastAsiaTheme="minorEastAsia"/>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1A009F2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019DB2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52" w:type="dxa"/>
            <w:tcBorders>
              <w:top w:val="single" w:color="auto" w:sz="4" w:space="0"/>
              <w:left w:val="nil"/>
              <w:bottom w:val="single" w:color="auto" w:sz="4" w:space="0"/>
              <w:right w:val="single" w:color="auto" w:sz="4" w:space="0"/>
            </w:tcBorders>
            <w:shd w:val="clear" w:color="auto" w:fill="auto"/>
            <w:vAlign w:val="center"/>
          </w:tcPr>
          <w:p w14:paraId="51C6E75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603" w:type="dxa"/>
            <w:tcBorders>
              <w:top w:val="single" w:color="auto" w:sz="4" w:space="0"/>
              <w:left w:val="nil"/>
              <w:bottom w:val="single" w:color="auto" w:sz="4" w:space="0"/>
              <w:right w:val="single" w:color="auto" w:sz="4" w:space="0"/>
            </w:tcBorders>
            <w:shd w:val="clear" w:color="auto" w:fill="auto"/>
            <w:vAlign w:val="center"/>
          </w:tcPr>
          <w:p w14:paraId="656BF39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27027380">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F1599B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6" w:type="dxa"/>
            <w:vMerge w:val="continue"/>
            <w:tcBorders>
              <w:top w:val="nil"/>
              <w:left w:val="single" w:color="auto" w:sz="4" w:space="0"/>
              <w:bottom w:val="single" w:color="auto" w:sz="4" w:space="0"/>
              <w:right w:val="single" w:color="auto" w:sz="4" w:space="0"/>
            </w:tcBorders>
            <w:vAlign w:val="center"/>
          </w:tcPr>
          <w:p w14:paraId="3ECF25D3">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ABF6D9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6519C94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52" w:type="dxa"/>
            <w:tcBorders>
              <w:top w:val="nil"/>
              <w:left w:val="nil"/>
              <w:bottom w:val="single" w:color="auto" w:sz="4" w:space="0"/>
              <w:right w:val="single" w:color="auto" w:sz="4" w:space="0"/>
            </w:tcBorders>
            <w:shd w:val="clear" w:color="auto" w:fill="auto"/>
            <w:vAlign w:val="center"/>
          </w:tcPr>
          <w:p w14:paraId="1612501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793D664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66D5776E">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E4F9E6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6" w:type="dxa"/>
            <w:vMerge w:val="continue"/>
            <w:tcBorders>
              <w:top w:val="nil"/>
              <w:left w:val="single" w:color="auto" w:sz="4" w:space="0"/>
              <w:bottom w:val="single" w:color="auto" w:sz="4" w:space="0"/>
              <w:right w:val="single" w:color="auto" w:sz="4" w:space="0"/>
            </w:tcBorders>
            <w:vAlign w:val="center"/>
          </w:tcPr>
          <w:p w14:paraId="5D59F5AF">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60B645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38CEACE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52" w:type="dxa"/>
            <w:tcBorders>
              <w:top w:val="nil"/>
              <w:left w:val="nil"/>
              <w:bottom w:val="single" w:color="auto" w:sz="4" w:space="0"/>
              <w:right w:val="single" w:color="auto" w:sz="4" w:space="0"/>
            </w:tcBorders>
            <w:shd w:val="clear" w:color="auto" w:fill="auto"/>
            <w:vAlign w:val="center"/>
          </w:tcPr>
          <w:p w14:paraId="364E26D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715D5A3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6156A4AF">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3BEEBC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6" w:type="dxa"/>
            <w:vMerge w:val="continue"/>
            <w:tcBorders>
              <w:top w:val="nil"/>
              <w:left w:val="single" w:color="auto" w:sz="4" w:space="0"/>
              <w:bottom w:val="single" w:color="auto" w:sz="4" w:space="0"/>
              <w:right w:val="single" w:color="auto" w:sz="4" w:space="0"/>
            </w:tcBorders>
            <w:vAlign w:val="center"/>
          </w:tcPr>
          <w:p w14:paraId="4F9D6E9E">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5A560B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6C703F6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52" w:type="dxa"/>
            <w:tcBorders>
              <w:top w:val="nil"/>
              <w:left w:val="nil"/>
              <w:bottom w:val="single" w:color="auto" w:sz="4" w:space="0"/>
              <w:right w:val="single" w:color="auto" w:sz="4" w:space="0"/>
            </w:tcBorders>
            <w:shd w:val="clear" w:color="auto" w:fill="auto"/>
            <w:vAlign w:val="center"/>
          </w:tcPr>
          <w:p w14:paraId="426E863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29AD309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5881CF3D">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D5AC5E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35EC7D6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43F0C3C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352486E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52" w:type="dxa"/>
            <w:tcBorders>
              <w:top w:val="nil"/>
              <w:left w:val="nil"/>
              <w:bottom w:val="single" w:color="auto" w:sz="4" w:space="0"/>
              <w:right w:val="single" w:color="auto" w:sz="4" w:space="0"/>
            </w:tcBorders>
            <w:shd w:val="clear" w:color="auto" w:fill="auto"/>
            <w:vAlign w:val="center"/>
          </w:tcPr>
          <w:p w14:paraId="5EAB6D8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3B070D4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w:t>
            </w:r>
            <w:r>
              <w:rPr>
                <w:rFonts w:hint="eastAsia" w:ascii="Arial Narrow" w:hAnsi="Arial Narrow" w:cs="宋体" w:eastAsiaTheme="minorEastAsia"/>
                <w:kern w:val="0"/>
                <w:sz w:val="16"/>
                <w:szCs w:val="16"/>
                <w:lang w:eastAsia="zh-CN"/>
              </w:rPr>
              <w:t>“</w:t>
            </w:r>
            <w:r>
              <w:rPr>
                <w:rFonts w:ascii="Arial Narrow" w:hAnsi="Arial Narrow" w:cs="宋体" w:eastAsiaTheme="minorEastAsia"/>
                <w:kern w:val="0"/>
                <w:sz w:val="16"/>
                <w:szCs w:val="16"/>
              </w:rPr>
              <w:t>两不愁三保障</w:t>
            </w:r>
            <w:r>
              <w:rPr>
                <w:rFonts w:hint="eastAsia" w:ascii="Arial Narrow" w:hAnsi="Arial Narrow" w:cs="宋体" w:eastAsiaTheme="minorEastAsia"/>
                <w:kern w:val="0"/>
                <w:sz w:val="16"/>
                <w:szCs w:val="16"/>
                <w:lang w:eastAsia="zh-CN"/>
              </w:rPr>
              <w:t>“</w:t>
            </w:r>
            <w:r>
              <w:rPr>
                <w:rFonts w:ascii="Arial Narrow" w:hAnsi="Arial Narrow" w:cs="宋体" w:eastAsiaTheme="minorEastAsia"/>
                <w:kern w:val="0"/>
                <w:sz w:val="16"/>
                <w:szCs w:val="16"/>
              </w:rPr>
              <w:t>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263F2C8B">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16E4A6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6" w:type="dxa"/>
            <w:vMerge w:val="continue"/>
            <w:tcBorders>
              <w:top w:val="nil"/>
              <w:left w:val="single" w:color="auto" w:sz="4" w:space="0"/>
              <w:bottom w:val="single" w:color="auto" w:sz="4" w:space="0"/>
              <w:right w:val="single" w:color="auto" w:sz="4" w:space="0"/>
            </w:tcBorders>
            <w:vAlign w:val="center"/>
          </w:tcPr>
          <w:p w14:paraId="4C647C96">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DE09D4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5D2BEC0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52" w:type="dxa"/>
            <w:tcBorders>
              <w:top w:val="nil"/>
              <w:left w:val="nil"/>
              <w:bottom w:val="single" w:color="auto" w:sz="4" w:space="0"/>
              <w:right w:val="single" w:color="auto" w:sz="4" w:space="0"/>
            </w:tcBorders>
            <w:shd w:val="clear" w:color="auto" w:fill="auto"/>
            <w:vAlign w:val="center"/>
          </w:tcPr>
          <w:p w14:paraId="4CDCA05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603" w:type="dxa"/>
            <w:tcBorders>
              <w:top w:val="nil"/>
              <w:left w:val="nil"/>
              <w:bottom w:val="single" w:color="auto" w:sz="4" w:space="0"/>
              <w:right w:val="single" w:color="auto" w:sz="4" w:space="0"/>
            </w:tcBorders>
            <w:shd w:val="clear" w:color="auto" w:fill="auto"/>
            <w:vAlign w:val="center"/>
          </w:tcPr>
          <w:p w14:paraId="7E0BA6A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022FABDA">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F87AD1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6" w:type="dxa"/>
            <w:vMerge w:val="restart"/>
            <w:tcBorders>
              <w:top w:val="nil"/>
              <w:left w:val="single" w:color="auto" w:sz="4" w:space="0"/>
              <w:bottom w:val="single" w:color="000000" w:sz="4" w:space="0"/>
              <w:right w:val="single" w:color="auto" w:sz="4" w:space="0"/>
            </w:tcBorders>
            <w:shd w:val="clear" w:color="auto" w:fill="auto"/>
            <w:vAlign w:val="center"/>
          </w:tcPr>
          <w:p w14:paraId="6B6AE63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17438CC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7DAD6F7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52" w:type="dxa"/>
            <w:tcBorders>
              <w:top w:val="nil"/>
              <w:left w:val="nil"/>
              <w:bottom w:val="single" w:color="auto" w:sz="4" w:space="0"/>
              <w:right w:val="single" w:color="auto" w:sz="4" w:space="0"/>
            </w:tcBorders>
            <w:shd w:val="clear" w:color="auto" w:fill="auto"/>
            <w:vAlign w:val="center"/>
          </w:tcPr>
          <w:p w14:paraId="633AA85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603" w:type="dxa"/>
            <w:tcBorders>
              <w:top w:val="nil"/>
              <w:left w:val="nil"/>
              <w:bottom w:val="single" w:color="auto" w:sz="4" w:space="0"/>
              <w:right w:val="single" w:color="auto" w:sz="4" w:space="0"/>
            </w:tcBorders>
            <w:shd w:val="clear" w:color="auto" w:fill="auto"/>
            <w:vAlign w:val="center"/>
          </w:tcPr>
          <w:p w14:paraId="52AE977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4B196C95">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26B414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6" w:type="dxa"/>
            <w:vMerge w:val="continue"/>
            <w:tcBorders>
              <w:top w:val="nil"/>
              <w:left w:val="single" w:color="auto" w:sz="4" w:space="0"/>
              <w:bottom w:val="single" w:color="000000" w:sz="4" w:space="0"/>
              <w:right w:val="single" w:color="auto" w:sz="4" w:space="0"/>
            </w:tcBorders>
            <w:vAlign w:val="center"/>
          </w:tcPr>
          <w:p w14:paraId="1AEC809F">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06A3C7D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1923E3B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52" w:type="dxa"/>
            <w:tcBorders>
              <w:top w:val="nil"/>
              <w:left w:val="nil"/>
              <w:bottom w:val="single" w:color="auto" w:sz="4" w:space="0"/>
              <w:right w:val="single" w:color="auto" w:sz="4" w:space="0"/>
            </w:tcBorders>
            <w:shd w:val="clear" w:color="auto" w:fill="auto"/>
            <w:vAlign w:val="center"/>
          </w:tcPr>
          <w:p w14:paraId="2E08C04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603" w:type="dxa"/>
            <w:tcBorders>
              <w:top w:val="nil"/>
              <w:left w:val="nil"/>
              <w:bottom w:val="single" w:color="auto" w:sz="4" w:space="0"/>
              <w:right w:val="single" w:color="auto" w:sz="4" w:space="0"/>
            </w:tcBorders>
            <w:shd w:val="clear" w:color="auto" w:fill="auto"/>
            <w:vAlign w:val="center"/>
          </w:tcPr>
          <w:p w14:paraId="39C98F2B">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1F4DC4A5">
      <w:pPr>
        <w:spacing w:before="120" w:beforeLines="50" w:line="360" w:lineRule="auto"/>
        <w:ind w:firstLine="482" w:firstLineChars="200"/>
        <w:jc w:val="left"/>
        <w:outlineLvl w:val="0"/>
        <w:rPr>
          <w:rFonts w:ascii="Arial Narrow" w:hAnsi="Arial Narrow" w:eastAsiaTheme="minorEastAsia"/>
          <w:b/>
          <w:sz w:val="24"/>
        </w:rPr>
      </w:pPr>
      <w:bookmarkStart w:id="15" w:name="_Toc171669937"/>
      <w:r>
        <w:rPr>
          <w:rFonts w:ascii="Arial Narrow" w:hAnsi="Arial Narrow" w:eastAsiaTheme="minorEastAsia"/>
          <w:b/>
          <w:sz w:val="24"/>
        </w:rPr>
        <w:t>（五）绩效评价标准和评价方法</w:t>
      </w:r>
      <w:bookmarkEnd w:id="15"/>
    </w:p>
    <w:p w14:paraId="1B9BF05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14FE35F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038BDD0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6" w:name="_Hlk162596803"/>
      <w:r>
        <w:rPr>
          <w:rFonts w:ascii="Arial Narrow" w:hAnsi="Arial Narrow" w:eastAsiaTheme="minorEastAsia"/>
          <w:color w:val="auto"/>
        </w:rPr>
        <w:t>≥90</w:t>
      </w:r>
      <w:bookmarkEnd w:id="16"/>
      <w:r>
        <w:rPr>
          <w:rFonts w:ascii="Arial Narrow" w:hAnsi="Arial Narrow" w:eastAsiaTheme="minorEastAsia"/>
          <w:color w:val="auto"/>
        </w:rPr>
        <w:t>）、良</w:t>
      </w:r>
      <w:bookmarkStart w:id="17" w:name="_Hlk168473502"/>
      <w:r>
        <w:rPr>
          <w:rFonts w:ascii="Arial Narrow" w:hAnsi="Arial Narrow" w:eastAsiaTheme="minorEastAsia"/>
          <w:color w:val="auto"/>
        </w:rPr>
        <w:t>（90＞得分≥80）</w:t>
      </w:r>
      <w:bookmarkEnd w:id="17"/>
      <w:r>
        <w:rPr>
          <w:rFonts w:ascii="Arial Narrow" w:hAnsi="Arial Narrow" w:eastAsiaTheme="minorEastAsia"/>
          <w:color w:val="auto"/>
        </w:rPr>
        <w:t>、中（80＞得分≥60）、差（得分＜60）四个等级，按百分制综合得分高低按分值划段确定。</w:t>
      </w:r>
    </w:p>
    <w:p w14:paraId="3274503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6FE8950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316FD5E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7F5DF03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44C1FCD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71EAE07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10E14BE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2A227FAB">
      <w:pPr>
        <w:spacing w:line="360" w:lineRule="auto"/>
        <w:ind w:firstLine="482" w:firstLineChars="200"/>
        <w:jc w:val="left"/>
        <w:outlineLvl w:val="0"/>
        <w:rPr>
          <w:rFonts w:ascii="Arial Narrow" w:hAnsi="Arial Narrow" w:eastAsiaTheme="minorEastAsia"/>
          <w:b/>
          <w:sz w:val="24"/>
        </w:rPr>
      </w:pPr>
      <w:bookmarkStart w:id="18" w:name="_Toc437528932"/>
      <w:bookmarkStart w:id="19" w:name="_Toc171669938"/>
      <w:r>
        <w:rPr>
          <w:rFonts w:ascii="Arial Narrow" w:hAnsi="Arial Narrow" w:eastAsiaTheme="minorEastAsia"/>
          <w:b/>
          <w:sz w:val="24"/>
        </w:rPr>
        <w:t>（六）绩效评价</w:t>
      </w:r>
      <w:bookmarkEnd w:id="18"/>
      <w:r>
        <w:rPr>
          <w:rFonts w:ascii="Arial Narrow" w:hAnsi="Arial Narrow" w:eastAsiaTheme="minorEastAsia"/>
          <w:b/>
          <w:sz w:val="24"/>
        </w:rPr>
        <w:t>工作过程</w:t>
      </w:r>
      <w:bookmarkEnd w:id="19"/>
    </w:p>
    <w:p w14:paraId="70DFAE6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w:t>
      </w:r>
      <w:r>
        <w:rPr>
          <w:rFonts w:hint="eastAsia" w:ascii="Arial Narrow" w:hAnsi="Arial Narrow" w:eastAsiaTheme="minorEastAsia"/>
          <w:color w:val="auto"/>
          <w:lang w:eastAsia="zh-CN"/>
        </w:rPr>
        <w:t>“</w:t>
      </w:r>
      <w:r>
        <w:rPr>
          <w:rFonts w:ascii="Arial Narrow" w:hAnsi="Arial Narrow" w:eastAsiaTheme="minorEastAsia"/>
          <w:color w:val="auto"/>
        </w:rPr>
        <w:t>2023年财政专项衔接资金项目</w:t>
      </w:r>
      <w:r>
        <w:rPr>
          <w:rFonts w:hint="eastAsia" w:ascii="Arial Narrow" w:hAnsi="Arial Narrow" w:eastAsiaTheme="minorEastAsia"/>
          <w:color w:val="auto"/>
          <w:lang w:eastAsia="zh-CN"/>
        </w:rPr>
        <w:t>”</w:t>
      </w:r>
      <w:r>
        <w:rPr>
          <w:rFonts w:ascii="Arial Narrow" w:hAnsi="Arial Narrow" w:eastAsiaTheme="minorEastAsia"/>
          <w:color w:val="auto"/>
        </w:rPr>
        <w:t>项目绩效评价服务单位后我所成立了绩效评价工作小组。</w:t>
      </w:r>
    </w:p>
    <w:p w14:paraId="2A84C3E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4EA23CF7">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38053EA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2BA1CA64">
      <w:pPr>
        <w:spacing w:line="360" w:lineRule="auto"/>
        <w:ind w:firstLine="482" w:firstLineChars="200"/>
        <w:jc w:val="left"/>
        <w:outlineLvl w:val="0"/>
        <w:rPr>
          <w:rFonts w:ascii="Arial Narrow" w:hAnsi="Arial Narrow" w:eastAsiaTheme="minorEastAsia"/>
          <w:b/>
          <w:sz w:val="24"/>
        </w:rPr>
      </w:pPr>
      <w:bookmarkStart w:id="20" w:name="_Toc437528933"/>
      <w:bookmarkStart w:id="21" w:name="_Toc171669939"/>
      <w:r>
        <w:rPr>
          <w:rFonts w:ascii="Arial Narrow" w:hAnsi="Arial Narrow" w:eastAsiaTheme="minorEastAsia"/>
          <w:b/>
          <w:sz w:val="24"/>
        </w:rPr>
        <w:t>三、项目评价</w:t>
      </w:r>
      <w:bookmarkEnd w:id="20"/>
      <w:r>
        <w:rPr>
          <w:rFonts w:ascii="Arial Narrow" w:hAnsi="Arial Narrow" w:eastAsiaTheme="minorEastAsia"/>
          <w:b/>
          <w:sz w:val="24"/>
        </w:rPr>
        <w:t>结论</w:t>
      </w:r>
      <w:bookmarkEnd w:id="21"/>
    </w:p>
    <w:p w14:paraId="511044F1">
      <w:pPr>
        <w:spacing w:line="360" w:lineRule="auto"/>
        <w:ind w:firstLine="424" w:firstLineChars="177"/>
        <w:jc w:val="left"/>
        <w:rPr>
          <w:rFonts w:ascii="Arial Narrow" w:hAnsi="Arial Narrow" w:eastAsiaTheme="minorEastAsia"/>
          <w:sz w:val="24"/>
        </w:rPr>
      </w:pPr>
      <w:r>
        <w:rPr>
          <w:rFonts w:ascii="Arial Narrow" w:hAnsi="Arial Narrow" w:eastAsiaTheme="minorEastAsia"/>
          <w:sz w:val="24"/>
        </w:rPr>
        <w:t>2023年白羊镇水碾村咸菜晾晒长廊建设项目绩效评价得分95.00分，绩效评价等级为：优。</w:t>
      </w:r>
    </w:p>
    <w:p w14:paraId="40F72332">
      <w:pPr>
        <w:spacing w:line="360" w:lineRule="auto"/>
        <w:ind w:firstLine="482" w:firstLineChars="200"/>
        <w:outlineLvl w:val="0"/>
        <w:rPr>
          <w:rFonts w:ascii="Arial Narrow" w:hAnsi="Arial Narrow" w:eastAsiaTheme="minorEastAsia"/>
          <w:b/>
          <w:sz w:val="24"/>
        </w:rPr>
      </w:pPr>
      <w:bookmarkStart w:id="22" w:name="_Toc171669940"/>
      <w:r>
        <w:rPr>
          <w:rFonts w:ascii="Arial Narrow" w:hAnsi="Arial Narrow" w:eastAsiaTheme="minorEastAsia"/>
          <w:b/>
          <w:sz w:val="24"/>
        </w:rPr>
        <w:t>四、综合评价情况</w:t>
      </w:r>
      <w:bookmarkEnd w:id="22"/>
    </w:p>
    <w:p w14:paraId="5B3DB835">
      <w:pPr>
        <w:spacing w:line="360" w:lineRule="auto"/>
        <w:ind w:firstLine="482" w:firstLineChars="200"/>
        <w:jc w:val="left"/>
        <w:outlineLvl w:val="0"/>
        <w:rPr>
          <w:rFonts w:ascii="Arial Narrow" w:hAnsi="Arial Narrow" w:eastAsiaTheme="minorEastAsia"/>
          <w:b/>
          <w:sz w:val="24"/>
        </w:rPr>
      </w:pPr>
      <w:bookmarkStart w:id="23" w:name="_Toc171669941"/>
      <w:r>
        <w:rPr>
          <w:rFonts w:ascii="Arial Narrow" w:hAnsi="Arial Narrow" w:eastAsiaTheme="minorEastAsia"/>
          <w:b/>
          <w:sz w:val="24"/>
        </w:rPr>
        <w:t>（一）资金管理</w:t>
      </w:r>
      <w:bookmarkEnd w:id="23"/>
    </w:p>
    <w:p w14:paraId="1B353E39">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243F22C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渝财农〔2022〕146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ascii="Arial Narrow" w:hAnsi="Arial Narrow" w:eastAsiaTheme="minorEastAsia"/>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铜财〔2023〕46号</w:t>
      </w:r>
      <w:r>
        <w:rPr>
          <w:rFonts w:hint="eastAsia" w:ascii="Arial Narrow" w:hAnsi="Arial Narrow" w:eastAsiaTheme="minorEastAsia"/>
          <w:sz w:val="24"/>
          <w:lang w:eastAsia="zh-CN"/>
        </w:rPr>
        <w:t>）</w:t>
      </w:r>
      <w:r>
        <w:rPr>
          <w:rFonts w:ascii="Arial Narrow" w:hAnsi="Arial Narrow" w:eastAsiaTheme="minorEastAsia"/>
          <w:sz w:val="24"/>
        </w:rPr>
        <w:t>等相关政策性文件规定落实衔接资金。</w:t>
      </w:r>
    </w:p>
    <w:p w14:paraId="08831ED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3A22408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项目资金从区财政局下达资金文件时间到区级业务主管部门下达项目及资金计划文件时间间隔小于30天。</w:t>
      </w:r>
    </w:p>
    <w:p w14:paraId="07E7900C">
      <w:pPr>
        <w:spacing w:line="360" w:lineRule="auto"/>
        <w:ind w:firstLine="482" w:firstLineChars="200"/>
        <w:jc w:val="left"/>
        <w:outlineLvl w:val="0"/>
        <w:rPr>
          <w:rFonts w:ascii="Arial Narrow" w:hAnsi="Arial Narrow" w:eastAsiaTheme="minorEastAsia"/>
          <w:b/>
          <w:sz w:val="24"/>
        </w:rPr>
      </w:pPr>
      <w:bookmarkStart w:id="24" w:name="_Toc171669942"/>
      <w:r>
        <w:rPr>
          <w:rFonts w:ascii="Arial Narrow" w:hAnsi="Arial Narrow" w:eastAsiaTheme="minorEastAsia"/>
          <w:b/>
          <w:sz w:val="24"/>
        </w:rPr>
        <w:t>（二）项目管理</w:t>
      </w:r>
      <w:bookmarkEnd w:id="24"/>
    </w:p>
    <w:p w14:paraId="780CA77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19C3351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7D07645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00290DD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w:t>
      </w:r>
      <w:r>
        <w:rPr>
          <w:rFonts w:ascii="Arial Narrow" w:hAnsi="Arial Narrow" w:cs="宋体" w:eastAsiaTheme="minorEastAsia"/>
          <w:kern w:val="0"/>
          <w:sz w:val="24"/>
        </w:rPr>
        <w:t>及时制定了明确的绩效目标，实施过程中对绩效目标进行监控，对绩效目标偏离项目采取纠偏措施。在项目实施完毕后开展了绩效自评，并形成绩效自评表，项目绩效基本达到预期，项目实施完毕后及时形成自评报告。</w:t>
      </w:r>
    </w:p>
    <w:p w14:paraId="2C87B9B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490ED7D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w:t>
      </w:r>
      <w:r>
        <w:rPr>
          <w:rFonts w:hint="eastAsia" w:ascii="Arial Narrow" w:hAnsi="Arial Narrow" w:eastAsiaTheme="minorEastAsia"/>
          <w:sz w:val="24"/>
          <w:lang w:val="en-US" w:eastAsia="zh-CN"/>
        </w:rPr>
        <w:t>过程</w:t>
      </w:r>
      <w:r>
        <w:rPr>
          <w:rFonts w:ascii="Arial Narrow" w:hAnsi="Arial Narrow" w:eastAsiaTheme="minorEastAsia"/>
          <w:sz w:val="24"/>
        </w:rPr>
        <w:t>中由重庆市铜梁区乡村振兴局进行监督检查，检查中未发现重大问题，项目按照实施节点按时提交项目报账资料，项目资料归档整理及时。检查过程中未见相关人员签字记录。</w:t>
      </w:r>
    </w:p>
    <w:p w14:paraId="3495306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1E77704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2023年白羊镇水碾村咸菜晾晒长廊建设项目七月末、十月末资金支出进度均超过全区平均水平，十二月中旬的资金预算执行率达到100%。</w:t>
      </w:r>
    </w:p>
    <w:p w14:paraId="40E7E88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4D35D44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通过实施单位提供的监控表、自评表等资料显示，项目实施单位定期开展项目实施和资金支出进度等跟踪督促，跟踪督促及各类检查发现问题整改到位。</w:t>
      </w:r>
    </w:p>
    <w:p w14:paraId="5F0C959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1D6CCB1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项目实施单位对该项目账务处理规范，档案管理完整。</w:t>
      </w:r>
    </w:p>
    <w:p w14:paraId="7CA714A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0118384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项目入库情况、资金计划完成情况等进行了公告公示。村级公示资料不够完整。</w:t>
      </w:r>
    </w:p>
    <w:p w14:paraId="0032158B">
      <w:pPr>
        <w:spacing w:line="360" w:lineRule="auto"/>
        <w:ind w:firstLine="482" w:firstLineChars="200"/>
        <w:jc w:val="left"/>
        <w:outlineLvl w:val="0"/>
        <w:rPr>
          <w:rFonts w:ascii="Arial Narrow" w:hAnsi="Arial Narrow" w:eastAsiaTheme="minorEastAsia"/>
          <w:b/>
          <w:sz w:val="24"/>
        </w:rPr>
      </w:pPr>
      <w:bookmarkStart w:id="25" w:name="_Toc171669943"/>
      <w:r>
        <w:rPr>
          <w:rFonts w:ascii="Arial Narrow" w:hAnsi="Arial Narrow" w:eastAsiaTheme="minorEastAsia"/>
          <w:b/>
          <w:sz w:val="24"/>
        </w:rPr>
        <w:t>（三）使用成效及通报情况</w:t>
      </w:r>
      <w:bookmarkEnd w:id="25"/>
    </w:p>
    <w:p w14:paraId="223F515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7845218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02C9DF6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38C8588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因资金支付进度滞后，区财政</w:t>
      </w:r>
      <w:r>
        <w:rPr>
          <w:rFonts w:hint="eastAsia" w:ascii="Arial Narrow" w:hAnsi="Arial Narrow" w:eastAsiaTheme="minorEastAsia"/>
          <w:sz w:val="24"/>
          <w:lang w:eastAsia="zh-CN"/>
        </w:rPr>
        <w:t>（</w:t>
      </w:r>
      <w:r>
        <w:rPr>
          <w:rFonts w:ascii="Arial Narrow" w:hAnsi="Arial Narrow" w:eastAsiaTheme="minorEastAsia"/>
          <w:sz w:val="24"/>
        </w:rPr>
        <w:t>铜财〔2023〕478号</w:t>
      </w:r>
      <w:r>
        <w:rPr>
          <w:rFonts w:hint="eastAsia" w:ascii="Arial Narrow" w:hAnsi="Arial Narrow" w:eastAsiaTheme="minorEastAsia"/>
          <w:sz w:val="24"/>
          <w:lang w:eastAsia="zh-CN"/>
        </w:rPr>
        <w:t>）</w:t>
      </w:r>
      <w:r>
        <w:rPr>
          <w:rFonts w:ascii="Arial Narrow" w:hAnsi="Arial Narrow" w:eastAsiaTheme="minorEastAsia"/>
          <w:sz w:val="24"/>
        </w:rPr>
        <w:t>通报一次；因进度达到80%未完工项目，乡村振兴局</w:t>
      </w:r>
      <w:r>
        <w:rPr>
          <w:rFonts w:hint="eastAsia" w:ascii="Arial Narrow" w:hAnsi="Arial Narrow" w:eastAsiaTheme="minorEastAsia"/>
          <w:sz w:val="24"/>
          <w:lang w:eastAsia="zh-CN"/>
        </w:rPr>
        <w:t>（</w:t>
      </w:r>
      <w:r>
        <w:rPr>
          <w:rFonts w:ascii="Arial Narrow" w:hAnsi="Arial Narrow" w:eastAsiaTheme="minorEastAsia"/>
          <w:sz w:val="24"/>
        </w:rPr>
        <w:t>铜乡振〔2023〕19号</w:t>
      </w:r>
      <w:r>
        <w:rPr>
          <w:rFonts w:hint="eastAsia" w:ascii="Arial Narrow" w:hAnsi="Arial Narrow" w:eastAsiaTheme="minorEastAsia"/>
          <w:sz w:val="24"/>
          <w:lang w:eastAsia="zh-CN"/>
        </w:rPr>
        <w:t>）</w:t>
      </w:r>
      <w:r>
        <w:rPr>
          <w:rFonts w:ascii="Arial Narrow" w:hAnsi="Arial Narrow" w:eastAsiaTheme="minorEastAsia"/>
          <w:sz w:val="24"/>
        </w:rPr>
        <w:t>通报一次。</w:t>
      </w:r>
    </w:p>
    <w:p w14:paraId="4E018F73">
      <w:pPr>
        <w:spacing w:line="360" w:lineRule="auto"/>
        <w:ind w:firstLine="482" w:firstLineChars="200"/>
        <w:outlineLvl w:val="0"/>
        <w:rPr>
          <w:rFonts w:ascii="Arial Narrow" w:hAnsi="Arial Narrow" w:eastAsiaTheme="minorEastAsia"/>
          <w:b/>
          <w:sz w:val="24"/>
        </w:rPr>
      </w:pPr>
      <w:bookmarkStart w:id="26" w:name="_Toc171669944"/>
      <w:r>
        <w:rPr>
          <w:rFonts w:ascii="Arial Narrow" w:hAnsi="Arial Narrow" w:eastAsiaTheme="minorEastAsia"/>
          <w:b/>
          <w:sz w:val="24"/>
        </w:rPr>
        <w:t>五、存在的问题和建议</w:t>
      </w:r>
      <w:bookmarkEnd w:id="26"/>
    </w:p>
    <w:p w14:paraId="28EAD3E8">
      <w:pPr>
        <w:spacing w:line="360" w:lineRule="auto"/>
        <w:ind w:firstLine="482" w:firstLineChars="200"/>
        <w:jc w:val="left"/>
        <w:outlineLvl w:val="0"/>
        <w:rPr>
          <w:rFonts w:ascii="Arial Narrow" w:hAnsi="Arial Narrow" w:eastAsiaTheme="minorEastAsia"/>
          <w:b/>
          <w:sz w:val="24"/>
        </w:rPr>
      </w:pPr>
      <w:bookmarkStart w:id="27" w:name="_Toc171669945"/>
      <w:r>
        <w:rPr>
          <w:rFonts w:ascii="Arial Narrow" w:hAnsi="Arial Narrow" w:eastAsiaTheme="minorEastAsia"/>
          <w:b/>
          <w:sz w:val="24"/>
        </w:rPr>
        <w:t>（一）存在问题</w:t>
      </w:r>
      <w:bookmarkEnd w:id="27"/>
    </w:p>
    <w:p w14:paraId="0B0C4D0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1.项目资金拨付进度较晚，最后一笔款于2023年12月支出；</w:t>
      </w:r>
    </w:p>
    <w:p w14:paraId="6F7254C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2.对项目实施情况进行监督检查未见留痕；</w:t>
      </w:r>
    </w:p>
    <w:p w14:paraId="13E1BB8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3.日常档案管理资料归档不及时。</w:t>
      </w:r>
    </w:p>
    <w:p w14:paraId="037A0DEB">
      <w:pPr>
        <w:spacing w:line="360" w:lineRule="auto"/>
        <w:ind w:firstLine="482" w:firstLineChars="200"/>
        <w:jc w:val="left"/>
        <w:outlineLvl w:val="0"/>
        <w:rPr>
          <w:rFonts w:ascii="Arial Narrow" w:hAnsi="Arial Narrow" w:eastAsiaTheme="minorEastAsia"/>
          <w:b/>
          <w:sz w:val="24"/>
        </w:rPr>
      </w:pPr>
      <w:bookmarkStart w:id="28" w:name="_Toc171669946"/>
      <w:r>
        <w:rPr>
          <w:rFonts w:ascii="Arial Narrow" w:hAnsi="Arial Narrow" w:eastAsiaTheme="minorEastAsia"/>
          <w:b/>
          <w:sz w:val="24"/>
        </w:rPr>
        <w:t>（二）建议</w:t>
      </w:r>
      <w:bookmarkEnd w:id="28"/>
    </w:p>
    <w:p w14:paraId="1F176850">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1.严格按照财政资金预算执行，及时拨付项目资金。针对财政专项资金,建议实施单位在规定时间内支付项目资金，杜绝资金滞留、挤占、截留、挪用等现象的发生。</w:t>
      </w:r>
    </w:p>
    <w:p w14:paraId="11550855">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2.建立健全日常巡查管护制度，定期巡查管护，保证项目长期健康运行，持续发挥衔接资金带贫作用。</w:t>
      </w:r>
    </w:p>
    <w:p w14:paraId="23FEE6B1">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3.及时进行资料归档整理，以保持资料的完整性；避免造成资料的缺失遗漏。</w:t>
      </w:r>
    </w:p>
    <w:p w14:paraId="55E6CED3">
      <w:pPr>
        <w:adjustRightInd w:val="0"/>
        <w:snapToGrid w:val="0"/>
        <w:spacing w:line="360" w:lineRule="auto"/>
        <w:ind w:firstLine="480" w:firstLineChars="200"/>
        <w:rPr>
          <w:rFonts w:ascii="Arial Narrow" w:hAnsi="Arial Narrow" w:eastAsiaTheme="minorEastAsia"/>
          <w:sz w:val="24"/>
        </w:rPr>
      </w:pPr>
    </w:p>
    <w:p w14:paraId="73B147F6">
      <w:pPr>
        <w:adjustRightInd w:val="0"/>
        <w:snapToGrid w:val="0"/>
        <w:spacing w:line="360" w:lineRule="auto"/>
        <w:ind w:firstLine="480" w:firstLineChars="200"/>
        <w:rPr>
          <w:rFonts w:ascii="Arial Narrow" w:hAnsi="Arial Narrow" w:eastAsiaTheme="minorEastAsia"/>
          <w:sz w:val="24"/>
        </w:rPr>
      </w:pPr>
    </w:p>
    <w:p w14:paraId="0E2BEA70">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bookmarkStart w:id="29" w:name="_Hlk171669375"/>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铜梁区衔接资金项目绩效评价及考核指标评分表</w:t>
      </w:r>
      <w:bookmarkEnd w:id="29"/>
      <w:r>
        <w:rPr>
          <w:rStyle w:val="11"/>
          <w:rFonts w:ascii="Arial Narrow" w:hAnsi="Arial Narrow" w:eastAsiaTheme="minorEastAsia"/>
          <w:color w:val="auto"/>
          <w:sz w:val="24"/>
          <w:u w:val="none"/>
        </w:rPr>
        <w:t>；</w:t>
      </w:r>
    </w:p>
    <w:p w14:paraId="537FAB04">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7235141A">
      <w:pPr>
        <w:adjustRightInd w:val="0"/>
        <w:snapToGrid w:val="0"/>
        <w:spacing w:line="360" w:lineRule="auto"/>
        <w:ind w:firstLine="720" w:firstLineChars="300"/>
        <w:rPr>
          <w:rStyle w:val="11"/>
          <w:rFonts w:ascii="Arial Narrow" w:hAnsi="Arial Narrow" w:eastAsiaTheme="minorEastAsia"/>
          <w:color w:val="auto"/>
          <w:sz w:val="24"/>
          <w:u w:val="none"/>
        </w:rPr>
      </w:pPr>
    </w:p>
    <w:p w14:paraId="134AFDD5">
      <w:pPr>
        <w:adjustRightInd w:val="0"/>
        <w:snapToGrid w:val="0"/>
        <w:spacing w:line="360" w:lineRule="auto"/>
        <w:ind w:firstLine="720" w:firstLineChars="300"/>
        <w:rPr>
          <w:rStyle w:val="11"/>
          <w:rFonts w:ascii="Arial Narrow" w:hAnsi="Arial Narrow" w:eastAsiaTheme="minorEastAsia"/>
          <w:color w:val="auto"/>
          <w:sz w:val="24"/>
          <w:u w:val="none"/>
        </w:rPr>
      </w:pPr>
    </w:p>
    <w:p w14:paraId="5A3CB1A1">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重庆铭鸿金全会计师事务所有限责任公司</w:t>
      </w:r>
    </w:p>
    <w:p w14:paraId="07B10D8E">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bookmarkStart w:id="30" w:name="_GoBack"/>
      <w:bookmarkEnd w:id="30"/>
      <w:r>
        <w:rPr>
          <w:rStyle w:val="11"/>
          <w:rFonts w:ascii="Arial Narrow" w:hAnsi="Arial Narrow" w:eastAsiaTheme="minorEastAsia"/>
          <w:color w:val="auto"/>
          <w:sz w:val="24"/>
          <w:u w:val="none"/>
        </w:rPr>
        <w:t>二四年六月</w:t>
      </w:r>
      <w:r>
        <w:rPr>
          <w:rStyle w:val="11"/>
          <w:rFonts w:hint="eastAsia" w:ascii="Arial Narrow" w:hAnsi="Arial Narrow" w:eastAsiaTheme="minorEastAsia"/>
          <w:color w:val="auto"/>
          <w:sz w:val="24"/>
          <w:u w:val="none"/>
        </w:rPr>
        <w:t>三十</w:t>
      </w:r>
      <w:r>
        <w:rPr>
          <w:rStyle w:val="11"/>
          <w:rFonts w:ascii="Arial Narrow" w:hAnsi="Arial Narrow" w:eastAsiaTheme="minorEastAsia"/>
          <w:color w:val="auto"/>
          <w:sz w:val="24"/>
          <w:u w:val="none"/>
        </w:rPr>
        <w:t>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E728C">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CDE31">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21B76">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C21B76">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91EE2">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3CC9"/>
    <w:rsid w:val="00006D0D"/>
    <w:rsid w:val="00007A67"/>
    <w:rsid w:val="00017240"/>
    <w:rsid w:val="00022DCD"/>
    <w:rsid w:val="00023EC4"/>
    <w:rsid w:val="0003159D"/>
    <w:rsid w:val="000343D6"/>
    <w:rsid w:val="00060BD2"/>
    <w:rsid w:val="000637E7"/>
    <w:rsid w:val="00063E0B"/>
    <w:rsid w:val="00065B71"/>
    <w:rsid w:val="00066A05"/>
    <w:rsid w:val="00073A53"/>
    <w:rsid w:val="000769EE"/>
    <w:rsid w:val="0008236A"/>
    <w:rsid w:val="00086903"/>
    <w:rsid w:val="00093CF7"/>
    <w:rsid w:val="00094BEA"/>
    <w:rsid w:val="00096EF3"/>
    <w:rsid w:val="000B69A7"/>
    <w:rsid w:val="000D0560"/>
    <w:rsid w:val="000D1A3B"/>
    <w:rsid w:val="000E4529"/>
    <w:rsid w:val="000E6A52"/>
    <w:rsid w:val="000F2B58"/>
    <w:rsid w:val="0010003E"/>
    <w:rsid w:val="00104568"/>
    <w:rsid w:val="00104FF1"/>
    <w:rsid w:val="001207AD"/>
    <w:rsid w:val="00125922"/>
    <w:rsid w:val="0013351F"/>
    <w:rsid w:val="00134388"/>
    <w:rsid w:val="00143A99"/>
    <w:rsid w:val="00152152"/>
    <w:rsid w:val="00164C87"/>
    <w:rsid w:val="001802C4"/>
    <w:rsid w:val="001819DF"/>
    <w:rsid w:val="001A2F96"/>
    <w:rsid w:val="001A42EB"/>
    <w:rsid w:val="001A5651"/>
    <w:rsid w:val="001C6F32"/>
    <w:rsid w:val="001C7B36"/>
    <w:rsid w:val="001E0132"/>
    <w:rsid w:val="001F3624"/>
    <w:rsid w:val="001F43AE"/>
    <w:rsid w:val="0020106A"/>
    <w:rsid w:val="00204413"/>
    <w:rsid w:val="00216472"/>
    <w:rsid w:val="00224D96"/>
    <w:rsid w:val="00226E7E"/>
    <w:rsid w:val="002360A5"/>
    <w:rsid w:val="00237340"/>
    <w:rsid w:val="002413E0"/>
    <w:rsid w:val="002441B3"/>
    <w:rsid w:val="00245725"/>
    <w:rsid w:val="00254FC8"/>
    <w:rsid w:val="002663D6"/>
    <w:rsid w:val="002754E5"/>
    <w:rsid w:val="00276D1C"/>
    <w:rsid w:val="00282997"/>
    <w:rsid w:val="002914F2"/>
    <w:rsid w:val="00293FB8"/>
    <w:rsid w:val="00294F41"/>
    <w:rsid w:val="002A4252"/>
    <w:rsid w:val="002B1561"/>
    <w:rsid w:val="002B3A68"/>
    <w:rsid w:val="002C00B1"/>
    <w:rsid w:val="002C083D"/>
    <w:rsid w:val="002C36AE"/>
    <w:rsid w:val="002C4BF0"/>
    <w:rsid w:val="002C5020"/>
    <w:rsid w:val="002C6623"/>
    <w:rsid w:val="002C7EFA"/>
    <w:rsid w:val="002D26D8"/>
    <w:rsid w:val="002E09F1"/>
    <w:rsid w:val="002E10D6"/>
    <w:rsid w:val="002F3B32"/>
    <w:rsid w:val="002F5600"/>
    <w:rsid w:val="002F7CE8"/>
    <w:rsid w:val="00314819"/>
    <w:rsid w:val="00314A5A"/>
    <w:rsid w:val="00314D84"/>
    <w:rsid w:val="00322B11"/>
    <w:rsid w:val="00324E2F"/>
    <w:rsid w:val="00331DC5"/>
    <w:rsid w:val="003360C3"/>
    <w:rsid w:val="003403BC"/>
    <w:rsid w:val="003427DA"/>
    <w:rsid w:val="00362EF1"/>
    <w:rsid w:val="00364CA3"/>
    <w:rsid w:val="0037066E"/>
    <w:rsid w:val="00384C3C"/>
    <w:rsid w:val="003879CE"/>
    <w:rsid w:val="00397659"/>
    <w:rsid w:val="003A00D8"/>
    <w:rsid w:val="003A1ECE"/>
    <w:rsid w:val="003B42BF"/>
    <w:rsid w:val="003C31C4"/>
    <w:rsid w:val="004046EF"/>
    <w:rsid w:val="004077FE"/>
    <w:rsid w:val="00414A58"/>
    <w:rsid w:val="004200C2"/>
    <w:rsid w:val="00420AA7"/>
    <w:rsid w:val="00421311"/>
    <w:rsid w:val="00421C71"/>
    <w:rsid w:val="0044730F"/>
    <w:rsid w:val="00451B44"/>
    <w:rsid w:val="00470930"/>
    <w:rsid w:val="004A7B95"/>
    <w:rsid w:val="004C1F3A"/>
    <w:rsid w:val="004C38B4"/>
    <w:rsid w:val="004D1145"/>
    <w:rsid w:val="004D2A61"/>
    <w:rsid w:val="004D2A6E"/>
    <w:rsid w:val="004E6833"/>
    <w:rsid w:val="004F367F"/>
    <w:rsid w:val="004F7A0F"/>
    <w:rsid w:val="00501A64"/>
    <w:rsid w:val="00522BB0"/>
    <w:rsid w:val="00536985"/>
    <w:rsid w:val="00536F63"/>
    <w:rsid w:val="00565296"/>
    <w:rsid w:val="00572DD6"/>
    <w:rsid w:val="00577297"/>
    <w:rsid w:val="005A2955"/>
    <w:rsid w:val="005E133F"/>
    <w:rsid w:val="005E4847"/>
    <w:rsid w:val="005F01BA"/>
    <w:rsid w:val="005F289A"/>
    <w:rsid w:val="005F3C4E"/>
    <w:rsid w:val="005F7548"/>
    <w:rsid w:val="0060606D"/>
    <w:rsid w:val="0061001E"/>
    <w:rsid w:val="00613DCA"/>
    <w:rsid w:val="0061417A"/>
    <w:rsid w:val="00615E5C"/>
    <w:rsid w:val="006553BC"/>
    <w:rsid w:val="00655510"/>
    <w:rsid w:val="00655BBA"/>
    <w:rsid w:val="00662ED7"/>
    <w:rsid w:val="0068522F"/>
    <w:rsid w:val="0069156D"/>
    <w:rsid w:val="0069678B"/>
    <w:rsid w:val="006A58E0"/>
    <w:rsid w:val="006D14F7"/>
    <w:rsid w:val="006E75D6"/>
    <w:rsid w:val="006E7DA1"/>
    <w:rsid w:val="006F7CBD"/>
    <w:rsid w:val="00717B7E"/>
    <w:rsid w:val="0072082C"/>
    <w:rsid w:val="0073019B"/>
    <w:rsid w:val="00730A8E"/>
    <w:rsid w:val="00740E9D"/>
    <w:rsid w:val="00741402"/>
    <w:rsid w:val="00742AD3"/>
    <w:rsid w:val="007545D5"/>
    <w:rsid w:val="00786924"/>
    <w:rsid w:val="007A0AC9"/>
    <w:rsid w:val="007A6BE6"/>
    <w:rsid w:val="007B57A1"/>
    <w:rsid w:val="007D0A35"/>
    <w:rsid w:val="007E0C59"/>
    <w:rsid w:val="008050B0"/>
    <w:rsid w:val="008224B5"/>
    <w:rsid w:val="00824435"/>
    <w:rsid w:val="00827385"/>
    <w:rsid w:val="00842151"/>
    <w:rsid w:val="008478E1"/>
    <w:rsid w:val="00856815"/>
    <w:rsid w:val="00866999"/>
    <w:rsid w:val="008952B1"/>
    <w:rsid w:val="008A3E89"/>
    <w:rsid w:val="008D0C1C"/>
    <w:rsid w:val="008D4F7C"/>
    <w:rsid w:val="008E609D"/>
    <w:rsid w:val="0090729E"/>
    <w:rsid w:val="009309C0"/>
    <w:rsid w:val="00931593"/>
    <w:rsid w:val="0093428C"/>
    <w:rsid w:val="0093667D"/>
    <w:rsid w:val="00946218"/>
    <w:rsid w:val="00973421"/>
    <w:rsid w:val="0097685B"/>
    <w:rsid w:val="009826CB"/>
    <w:rsid w:val="00983CB7"/>
    <w:rsid w:val="0099506C"/>
    <w:rsid w:val="009957B8"/>
    <w:rsid w:val="0099666C"/>
    <w:rsid w:val="00997895"/>
    <w:rsid w:val="009B0887"/>
    <w:rsid w:val="009B4F6B"/>
    <w:rsid w:val="009C0564"/>
    <w:rsid w:val="009E4A98"/>
    <w:rsid w:val="009E66E4"/>
    <w:rsid w:val="009F1C42"/>
    <w:rsid w:val="00A03D08"/>
    <w:rsid w:val="00A04D2B"/>
    <w:rsid w:val="00A066D6"/>
    <w:rsid w:val="00A06D56"/>
    <w:rsid w:val="00A14650"/>
    <w:rsid w:val="00A2597D"/>
    <w:rsid w:val="00A32CEF"/>
    <w:rsid w:val="00A352D4"/>
    <w:rsid w:val="00A467FF"/>
    <w:rsid w:val="00A541D7"/>
    <w:rsid w:val="00A554AB"/>
    <w:rsid w:val="00A66761"/>
    <w:rsid w:val="00A708B3"/>
    <w:rsid w:val="00A922C5"/>
    <w:rsid w:val="00A95CA5"/>
    <w:rsid w:val="00AB0136"/>
    <w:rsid w:val="00AC3880"/>
    <w:rsid w:val="00AD0284"/>
    <w:rsid w:val="00AE470F"/>
    <w:rsid w:val="00AF58DD"/>
    <w:rsid w:val="00B134A6"/>
    <w:rsid w:val="00B2167B"/>
    <w:rsid w:val="00B25A79"/>
    <w:rsid w:val="00B37BAB"/>
    <w:rsid w:val="00B7289F"/>
    <w:rsid w:val="00B779A4"/>
    <w:rsid w:val="00B977FA"/>
    <w:rsid w:val="00BA142A"/>
    <w:rsid w:val="00BA212E"/>
    <w:rsid w:val="00BB3674"/>
    <w:rsid w:val="00BC2692"/>
    <w:rsid w:val="00BC7BED"/>
    <w:rsid w:val="00BD07B5"/>
    <w:rsid w:val="00BD6FFD"/>
    <w:rsid w:val="00BD75F7"/>
    <w:rsid w:val="00BF4A94"/>
    <w:rsid w:val="00C02FB6"/>
    <w:rsid w:val="00C107C7"/>
    <w:rsid w:val="00C12443"/>
    <w:rsid w:val="00C35442"/>
    <w:rsid w:val="00C36A73"/>
    <w:rsid w:val="00C41EBB"/>
    <w:rsid w:val="00C43388"/>
    <w:rsid w:val="00C60A62"/>
    <w:rsid w:val="00C8477A"/>
    <w:rsid w:val="00C8677E"/>
    <w:rsid w:val="00C87D50"/>
    <w:rsid w:val="00C916E3"/>
    <w:rsid w:val="00CB1232"/>
    <w:rsid w:val="00CB54FB"/>
    <w:rsid w:val="00CC769D"/>
    <w:rsid w:val="00CE181A"/>
    <w:rsid w:val="00CF0849"/>
    <w:rsid w:val="00D1562E"/>
    <w:rsid w:val="00D163A1"/>
    <w:rsid w:val="00D254D3"/>
    <w:rsid w:val="00D26E16"/>
    <w:rsid w:val="00D415D5"/>
    <w:rsid w:val="00D61F80"/>
    <w:rsid w:val="00D87042"/>
    <w:rsid w:val="00DB3B16"/>
    <w:rsid w:val="00DB55F0"/>
    <w:rsid w:val="00DD1941"/>
    <w:rsid w:val="00DD3F63"/>
    <w:rsid w:val="00E035A0"/>
    <w:rsid w:val="00E065AA"/>
    <w:rsid w:val="00E1143D"/>
    <w:rsid w:val="00E23D6E"/>
    <w:rsid w:val="00E27A95"/>
    <w:rsid w:val="00E316A2"/>
    <w:rsid w:val="00E37B4B"/>
    <w:rsid w:val="00E53B0A"/>
    <w:rsid w:val="00E65B43"/>
    <w:rsid w:val="00E66C12"/>
    <w:rsid w:val="00E67B82"/>
    <w:rsid w:val="00E709E2"/>
    <w:rsid w:val="00E738DB"/>
    <w:rsid w:val="00E768C4"/>
    <w:rsid w:val="00E80BDA"/>
    <w:rsid w:val="00E872F3"/>
    <w:rsid w:val="00E91097"/>
    <w:rsid w:val="00EA195F"/>
    <w:rsid w:val="00EA1C10"/>
    <w:rsid w:val="00EA30BF"/>
    <w:rsid w:val="00EB474C"/>
    <w:rsid w:val="00EB52C5"/>
    <w:rsid w:val="00EB64FE"/>
    <w:rsid w:val="00ED0A8C"/>
    <w:rsid w:val="00ED655E"/>
    <w:rsid w:val="00EE279E"/>
    <w:rsid w:val="00EF3BC6"/>
    <w:rsid w:val="00F31057"/>
    <w:rsid w:val="00F36680"/>
    <w:rsid w:val="00F4160A"/>
    <w:rsid w:val="00F45323"/>
    <w:rsid w:val="00F54C3F"/>
    <w:rsid w:val="00F612AC"/>
    <w:rsid w:val="00F61D28"/>
    <w:rsid w:val="00F64D50"/>
    <w:rsid w:val="00F6551E"/>
    <w:rsid w:val="00F6572C"/>
    <w:rsid w:val="00F84DF0"/>
    <w:rsid w:val="00F85329"/>
    <w:rsid w:val="00F85A77"/>
    <w:rsid w:val="00F91D4D"/>
    <w:rsid w:val="00F96185"/>
    <w:rsid w:val="00FA6718"/>
    <w:rsid w:val="00FD1A79"/>
    <w:rsid w:val="00FD5F18"/>
    <w:rsid w:val="00FE1E65"/>
    <w:rsid w:val="00FE5705"/>
    <w:rsid w:val="00FF09B7"/>
    <w:rsid w:val="00FF5AA5"/>
    <w:rsid w:val="02717C9D"/>
    <w:rsid w:val="08766BA9"/>
    <w:rsid w:val="0C955D75"/>
    <w:rsid w:val="0E6C6ABF"/>
    <w:rsid w:val="10FD0312"/>
    <w:rsid w:val="120E6874"/>
    <w:rsid w:val="1FCA5AA4"/>
    <w:rsid w:val="232474D6"/>
    <w:rsid w:val="270731DD"/>
    <w:rsid w:val="28F61640"/>
    <w:rsid w:val="31723B02"/>
    <w:rsid w:val="357129F4"/>
    <w:rsid w:val="371050B8"/>
    <w:rsid w:val="39FB62AA"/>
    <w:rsid w:val="3F661A90"/>
    <w:rsid w:val="45947F31"/>
    <w:rsid w:val="45C74089"/>
    <w:rsid w:val="4B6D42CB"/>
    <w:rsid w:val="4DF1278B"/>
    <w:rsid w:val="5BC95C93"/>
    <w:rsid w:val="60087B46"/>
    <w:rsid w:val="629B4EDD"/>
    <w:rsid w:val="6BFF59B7"/>
    <w:rsid w:val="6C0B491D"/>
    <w:rsid w:val="6E086B35"/>
    <w:rsid w:val="735F0D9D"/>
    <w:rsid w:val="762F7289"/>
    <w:rsid w:val="779A128C"/>
    <w:rsid w:val="7D590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5808</Words>
  <Characters>6195</Characters>
  <Lines>53</Lines>
  <Paragraphs>15</Paragraphs>
  <TotalTime>1</TotalTime>
  <ScaleCrop>false</ScaleCrop>
  <LinksUpToDate>false</LinksUpToDate>
  <CharactersWithSpaces>6227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2024-07-29T09:43:00Z</cp:lastPrinted>
  <dcterms:modified xsi:type="dcterms:W3CDTF">2024-11-20T01:27:45Z</dcterms:modified>
  <cp:revision>319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8B194998EC8042F4A8225B332C321DBD_13</vt:lpwstr>
  </property>
</Properties>
</file>