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3239C">
      <w:pPr>
        <w:spacing w:line="360" w:lineRule="auto"/>
        <w:jc w:val="center"/>
        <w:rPr>
          <w:rFonts w:ascii="Arial Narrow" w:hAnsi="Arial Narrow" w:eastAsiaTheme="minorEastAsia"/>
          <w:b/>
          <w:bCs/>
          <w:sz w:val="36"/>
          <w:szCs w:val="36"/>
        </w:rPr>
      </w:pPr>
    </w:p>
    <w:p w14:paraId="0E48FB89">
      <w:pPr>
        <w:spacing w:line="360" w:lineRule="auto"/>
        <w:jc w:val="center"/>
        <w:rPr>
          <w:rFonts w:ascii="Arial Narrow" w:hAnsi="Arial Narrow" w:eastAsiaTheme="minorEastAsia"/>
          <w:b/>
          <w:bCs/>
          <w:sz w:val="36"/>
          <w:szCs w:val="36"/>
        </w:rPr>
      </w:pPr>
    </w:p>
    <w:p w14:paraId="48C25009">
      <w:pPr>
        <w:spacing w:line="360" w:lineRule="auto"/>
        <w:jc w:val="center"/>
        <w:rPr>
          <w:rFonts w:ascii="Arial Narrow" w:hAnsi="Arial Narrow" w:eastAsiaTheme="minorEastAsia"/>
          <w:b/>
          <w:bCs/>
          <w:sz w:val="36"/>
          <w:szCs w:val="36"/>
        </w:rPr>
      </w:pPr>
    </w:p>
    <w:p w14:paraId="712AF8AC">
      <w:pPr>
        <w:spacing w:line="360" w:lineRule="auto"/>
        <w:jc w:val="center"/>
        <w:rPr>
          <w:rFonts w:ascii="Arial Narrow" w:hAnsi="Arial Narrow" w:eastAsiaTheme="minorEastAsia"/>
          <w:b/>
          <w:bCs/>
          <w:sz w:val="36"/>
          <w:szCs w:val="36"/>
        </w:rPr>
      </w:pPr>
    </w:p>
    <w:p w14:paraId="7F614A2A">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重庆市铜梁区水口镇树荫村集体经济发展</w:t>
      </w:r>
      <w:r>
        <w:rPr>
          <w:rFonts w:hint="eastAsia" w:ascii="Arial Narrow" w:hAnsi="Arial Narrow" w:eastAsiaTheme="minorEastAsia"/>
          <w:b/>
          <w:sz w:val="44"/>
          <w:szCs w:val="44"/>
          <w:lang w:val="en-US" w:eastAsia="zh-CN"/>
        </w:rPr>
        <w:t>等2个项目</w:t>
      </w:r>
      <w:r>
        <w:rPr>
          <w:rFonts w:ascii="Arial Narrow" w:hAnsi="Arial Narrow" w:eastAsiaTheme="minorEastAsia"/>
          <w:b/>
          <w:sz w:val="44"/>
          <w:szCs w:val="44"/>
        </w:rPr>
        <w:t>财政专项衔接资金</w:t>
      </w:r>
    </w:p>
    <w:p w14:paraId="0437488B">
      <w:pPr>
        <w:adjustRightInd w:val="0"/>
        <w:snapToGrid w:val="0"/>
        <w:spacing w:line="360" w:lineRule="auto"/>
        <w:jc w:val="center"/>
        <w:rPr>
          <w:rFonts w:ascii="Arial Narrow" w:hAnsi="Arial Narrow" w:eastAsiaTheme="minorEastAsia"/>
          <w:b/>
          <w:sz w:val="44"/>
          <w:szCs w:val="44"/>
        </w:rPr>
      </w:pPr>
    </w:p>
    <w:p w14:paraId="2471112E">
      <w:pPr>
        <w:adjustRightInd w:val="0"/>
        <w:snapToGrid w:val="0"/>
        <w:spacing w:line="360" w:lineRule="auto"/>
        <w:jc w:val="center"/>
        <w:rPr>
          <w:rFonts w:ascii="Arial Narrow" w:hAnsi="Arial Narrow" w:eastAsiaTheme="minorEastAsia"/>
          <w:b/>
          <w:sz w:val="44"/>
          <w:szCs w:val="44"/>
        </w:rPr>
      </w:pPr>
    </w:p>
    <w:p w14:paraId="7F6922A8">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0" w:name="_Toc488804777"/>
      <w:bookmarkStart w:id="1" w:name="_Toc488637980"/>
      <w:r>
        <w:rPr>
          <w:rFonts w:ascii="Arial Narrow" w:hAnsi="Arial Narrow" w:eastAsiaTheme="minorEastAsia"/>
          <w:b/>
          <w:w w:val="102"/>
          <w:sz w:val="44"/>
          <w:szCs w:val="44"/>
        </w:rPr>
        <w:t>报告</w:t>
      </w:r>
    </w:p>
    <w:p w14:paraId="256F78F6">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铭鸿咨字【2024】第0040号</w:t>
      </w:r>
    </w:p>
    <w:p w14:paraId="0BCEB198">
      <w:pPr>
        <w:adjustRightInd w:val="0"/>
        <w:snapToGrid w:val="0"/>
        <w:spacing w:line="360" w:lineRule="auto"/>
        <w:jc w:val="center"/>
        <w:rPr>
          <w:rFonts w:ascii="Arial Narrow" w:hAnsi="Arial Narrow" w:eastAsiaTheme="minorEastAsia"/>
          <w:b/>
          <w:spacing w:val="100"/>
          <w:sz w:val="32"/>
          <w:szCs w:val="32"/>
        </w:rPr>
      </w:pPr>
    </w:p>
    <w:p w14:paraId="62555F92">
      <w:pPr>
        <w:adjustRightInd w:val="0"/>
        <w:snapToGrid w:val="0"/>
        <w:spacing w:line="360" w:lineRule="auto"/>
        <w:jc w:val="center"/>
        <w:rPr>
          <w:rFonts w:ascii="Arial Narrow" w:hAnsi="Arial Narrow" w:eastAsiaTheme="minorEastAsia"/>
          <w:b/>
          <w:spacing w:val="100"/>
          <w:sz w:val="32"/>
          <w:szCs w:val="32"/>
        </w:rPr>
      </w:pPr>
    </w:p>
    <w:p w14:paraId="2A53BF6E">
      <w:pPr>
        <w:adjustRightInd w:val="0"/>
        <w:snapToGrid w:val="0"/>
        <w:spacing w:line="360" w:lineRule="auto"/>
        <w:jc w:val="center"/>
        <w:rPr>
          <w:rFonts w:ascii="Arial Narrow" w:hAnsi="Arial Narrow" w:eastAsiaTheme="minorEastAsia"/>
          <w:b/>
          <w:spacing w:val="100"/>
          <w:sz w:val="32"/>
          <w:szCs w:val="32"/>
        </w:rPr>
      </w:pPr>
    </w:p>
    <w:p w14:paraId="39F38D17">
      <w:pPr>
        <w:adjustRightInd w:val="0"/>
        <w:snapToGrid w:val="0"/>
        <w:spacing w:line="360" w:lineRule="auto"/>
        <w:jc w:val="center"/>
        <w:rPr>
          <w:rFonts w:ascii="Arial Narrow" w:hAnsi="Arial Narrow" w:eastAsiaTheme="minorEastAsia"/>
          <w:b/>
          <w:spacing w:val="100"/>
          <w:sz w:val="32"/>
          <w:szCs w:val="32"/>
        </w:rPr>
      </w:pPr>
    </w:p>
    <w:p w14:paraId="3DE0C35F">
      <w:pPr>
        <w:adjustRightInd w:val="0"/>
        <w:snapToGrid w:val="0"/>
        <w:spacing w:line="360" w:lineRule="auto"/>
        <w:jc w:val="center"/>
        <w:rPr>
          <w:rFonts w:ascii="Arial Narrow" w:hAnsi="Arial Narrow" w:eastAsiaTheme="minorEastAsia"/>
          <w:b/>
          <w:spacing w:val="100"/>
          <w:sz w:val="32"/>
          <w:szCs w:val="32"/>
        </w:rPr>
      </w:pPr>
    </w:p>
    <w:p w14:paraId="66D623B0">
      <w:pPr>
        <w:adjustRightInd w:val="0"/>
        <w:snapToGrid w:val="0"/>
        <w:spacing w:line="360" w:lineRule="auto"/>
        <w:jc w:val="center"/>
        <w:rPr>
          <w:rFonts w:ascii="Arial Narrow" w:hAnsi="Arial Narrow" w:eastAsiaTheme="minorEastAsia"/>
          <w:b/>
          <w:spacing w:val="100"/>
          <w:sz w:val="32"/>
          <w:szCs w:val="32"/>
        </w:rPr>
      </w:pPr>
    </w:p>
    <w:p w14:paraId="2D5C7D23">
      <w:pPr>
        <w:adjustRightInd w:val="0"/>
        <w:snapToGrid w:val="0"/>
        <w:spacing w:line="360" w:lineRule="auto"/>
        <w:jc w:val="center"/>
        <w:rPr>
          <w:rFonts w:ascii="Arial Narrow" w:hAnsi="Arial Narrow" w:eastAsiaTheme="minorEastAsia"/>
          <w:b/>
          <w:spacing w:val="100"/>
          <w:sz w:val="32"/>
          <w:szCs w:val="32"/>
        </w:rPr>
      </w:pPr>
    </w:p>
    <w:p w14:paraId="11222F8D">
      <w:pPr>
        <w:adjustRightInd w:val="0"/>
        <w:snapToGrid w:val="0"/>
        <w:spacing w:line="360" w:lineRule="auto"/>
        <w:jc w:val="center"/>
        <w:rPr>
          <w:rFonts w:ascii="Arial Narrow" w:hAnsi="Arial Narrow" w:eastAsiaTheme="minorEastAsia"/>
          <w:b/>
          <w:spacing w:val="100"/>
          <w:sz w:val="32"/>
          <w:szCs w:val="32"/>
        </w:rPr>
      </w:pPr>
    </w:p>
    <w:p w14:paraId="48E0D102">
      <w:pPr>
        <w:adjustRightInd w:val="0"/>
        <w:snapToGrid w:val="0"/>
        <w:spacing w:line="360" w:lineRule="auto"/>
        <w:jc w:val="center"/>
        <w:rPr>
          <w:rFonts w:ascii="Arial Narrow" w:hAnsi="Arial Narrow" w:eastAsiaTheme="minorEastAsia"/>
          <w:b/>
          <w:spacing w:val="100"/>
          <w:sz w:val="32"/>
          <w:szCs w:val="32"/>
        </w:rPr>
      </w:pPr>
    </w:p>
    <w:p w14:paraId="1B80AF35">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3B9148F1">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bookmarkEnd w:id="0"/>
    <w:bookmarkEnd w:id="1"/>
    <w:p w14:paraId="0AFE4C19">
      <w:pPr>
        <w:spacing w:line="360" w:lineRule="auto"/>
        <w:rPr>
          <w:rFonts w:ascii="Arial Narrow" w:hAnsi="Arial Narrow" w:eastAsiaTheme="minorEastAsia"/>
          <w:sz w:val="44"/>
          <w:szCs w:val="44"/>
        </w:rPr>
      </w:pPr>
    </w:p>
    <w:p w14:paraId="225A3B96">
      <w:pPr>
        <w:spacing w:line="360" w:lineRule="auto"/>
        <w:rPr>
          <w:rFonts w:ascii="Arial Narrow" w:hAnsi="Arial Narrow" w:eastAsiaTheme="minorEastAsia"/>
          <w:sz w:val="44"/>
          <w:szCs w:val="44"/>
        </w:rPr>
        <w:sectPr>
          <w:footerReference r:id="rId3" w:type="default"/>
          <w:pgSz w:w="11907" w:h="16840"/>
          <w:pgMar w:top="1418" w:right="1418" w:bottom="1134" w:left="1701" w:header="851" w:footer="851" w:gutter="0"/>
          <w:pgNumType w:start="1"/>
          <w:cols w:space="425" w:num="1"/>
          <w:docGrid w:linePitch="312" w:charSpace="0"/>
        </w:sectPr>
      </w:pPr>
    </w:p>
    <w:p w14:paraId="4E555B1B">
      <w:pPr>
        <w:spacing w:line="360" w:lineRule="auto"/>
        <w:jc w:val="center"/>
        <w:rPr>
          <w:rFonts w:ascii="Arial Narrow" w:hAnsi="Arial Narrow" w:eastAsiaTheme="minorEastAsia"/>
          <w:sz w:val="44"/>
          <w:szCs w:val="44"/>
        </w:rPr>
      </w:pPr>
      <w:r>
        <w:rPr>
          <w:rFonts w:ascii="Arial Narrow" w:hAnsi="Arial Narrow" w:eastAsiaTheme="minorEastAsia"/>
          <w:sz w:val="44"/>
          <w:szCs w:val="44"/>
        </w:rPr>
        <w:t>目   录</w:t>
      </w:r>
    </w:p>
    <w:p w14:paraId="0588594D">
      <w:pPr>
        <w:spacing w:line="360" w:lineRule="auto"/>
        <w:jc w:val="center"/>
        <w:rPr>
          <w:rFonts w:ascii="Arial Narrow" w:hAnsi="Arial Narrow" w:eastAsiaTheme="minorEastAsia"/>
          <w:sz w:val="24"/>
        </w:rPr>
      </w:pPr>
    </w:p>
    <w:p w14:paraId="3F56DBB5">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"_Toc171672453" </w:instrText>
      </w:r>
      <w:r>
        <w:fldChar w:fldCharType="separate"/>
      </w:r>
      <w:r>
        <w:rPr>
          <w:rStyle w:val="11"/>
        </w:rPr>
        <w:t>一、基本情况</w:t>
      </w:r>
      <w:r>
        <w:tab/>
      </w:r>
      <w:r>
        <w:fldChar w:fldCharType="begin"/>
      </w:r>
      <w:r>
        <w:instrText xml:space="preserve"> PAGEREF _Toc171672453 \h </w:instrText>
      </w:r>
      <w:r>
        <w:fldChar w:fldCharType="separate"/>
      </w:r>
      <w:r>
        <w:t>1</w:t>
      </w:r>
      <w:r>
        <w:fldChar w:fldCharType="end"/>
      </w:r>
      <w:r>
        <w:fldChar w:fldCharType="end"/>
      </w:r>
    </w:p>
    <w:p w14:paraId="57BA49B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"_Toc171672454" </w:instrText>
      </w:r>
      <w:r>
        <w:fldChar w:fldCharType="separate"/>
      </w:r>
      <w:r>
        <w:rPr>
          <w:rStyle w:val="11"/>
          <w:rFonts w:cs="宋体"/>
          <w:kern w:val="0"/>
        </w:rPr>
        <w:t>（一）项目情况</w:t>
      </w:r>
      <w:r>
        <w:tab/>
      </w:r>
      <w:r>
        <w:fldChar w:fldCharType="begin"/>
      </w:r>
      <w:r>
        <w:instrText xml:space="preserve"> PAGEREF _Toc171672454 \h </w:instrText>
      </w:r>
      <w:r>
        <w:fldChar w:fldCharType="separate"/>
      </w:r>
      <w:r>
        <w:t>1</w:t>
      </w:r>
      <w:r>
        <w:fldChar w:fldCharType="end"/>
      </w:r>
      <w:r>
        <w:fldChar w:fldCharType="end"/>
      </w:r>
    </w:p>
    <w:p w14:paraId="7C9DBF2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"_Toc171672455" </w:instrText>
      </w:r>
      <w:r>
        <w:fldChar w:fldCharType="separate"/>
      </w:r>
      <w:r>
        <w:rPr>
          <w:rStyle w:val="11"/>
        </w:rPr>
        <w:t>二、绩效评价工作情况</w:t>
      </w:r>
      <w:r>
        <w:tab/>
      </w:r>
      <w:r>
        <w:fldChar w:fldCharType="begin"/>
      </w:r>
      <w:r>
        <w:instrText xml:space="preserve"> PAGEREF _Toc171672455 \h </w:instrText>
      </w:r>
      <w:r>
        <w:fldChar w:fldCharType="separate"/>
      </w:r>
      <w:r>
        <w:t>2</w:t>
      </w:r>
      <w:r>
        <w:fldChar w:fldCharType="end"/>
      </w:r>
      <w:r>
        <w:fldChar w:fldCharType="end"/>
      </w:r>
    </w:p>
    <w:p w14:paraId="09F6C00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"_Toc171672456" </w:instrText>
      </w:r>
      <w:r>
        <w:fldChar w:fldCharType="separate"/>
      </w:r>
      <w:r>
        <w:rPr>
          <w:rStyle w:val="11"/>
        </w:rPr>
        <w:t>（一）绩效评价目的</w:t>
      </w:r>
      <w:r>
        <w:tab/>
      </w:r>
      <w:r>
        <w:fldChar w:fldCharType="begin"/>
      </w:r>
      <w:r>
        <w:instrText xml:space="preserve"> PAGEREF _Toc171672456 \h </w:instrText>
      </w:r>
      <w:r>
        <w:fldChar w:fldCharType="separate"/>
      </w:r>
      <w:r>
        <w:t>2</w:t>
      </w:r>
      <w:r>
        <w:fldChar w:fldCharType="end"/>
      </w:r>
      <w:r>
        <w:fldChar w:fldCharType="end"/>
      </w:r>
    </w:p>
    <w:p w14:paraId="664F7B1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"_Toc171672457" </w:instrText>
      </w:r>
      <w:r>
        <w:fldChar w:fldCharType="separate"/>
      </w:r>
      <w:r>
        <w:rPr>
          <w:rStyle w:val="11"/>
        </w:rPr>
        <w:t>（二）绩效评价的基本内容</w:t>
      </w:r>
      <w:r>
        <w:tab/>
      </w:r>
      <w:r>
        <w:fldChar w:fldCharType="begin"/>
      </w:r>
      <w:r>
        <w:instrText xml:space="preserve"> PAGEREF _Toc171672457 \h </w:instrText>
      </w:r>
      <w:r>
        <w:fldChar w:fldCharType="separate"/>
      </w:r>
      <w:r>
        <w:t>2</w:t>
      </w:r>
      <w:r>
        <w:fldChar w:fldCharType="end"/>
      </w:r>
      <w:r>
        <w:fldChar w:fldCharType="end"/>
      </w:r>
    </w:p>
    <w:p w14:paraId="783633FD">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"_Toc171672458" </w:instrText>
      </w:r>
      <w:r>
        <w:fldChar w:fldCharType="separate"/>
      </w:r>
      <w:r>
        <w:rPr>
          <w:rStyle w:val="11"/>
        </w:rPr>
        <w:t>（三）绩效评价依据</w:t>
      </w:r>
      <w:r>
        <w:tab/>
      </w:r>
      <w:r>
        <w:fldChar w:fldCharType="begin"/>
      </w:r>
      <w:r>
        <w:instrText xml:space="preserve"> PAGEREF _Toc171672458 \h </w:instrText>
      </w:r>
      <w:r>
        <w:fldChar w:fldCharType="separate"/>
      </w:r>
      <w:r>
        <w:t>2</w:t>
      </w:r>
      <w:r>
        <w:fldChar w:fldCharType="end"/>
      </w:r>
      <w:r>
        <w:fldChar w:fldCharType="end"/>
      </w:r>
    </w:p>
    <w:p w14:paraId="6227C41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"_Toc171672459" </w:instrText>
      </w:r>
      <w:r>
        <w:fldChar w:fldCharType="separate"/>
      </w:r>
      <w:r>
        <w:rPr>
          <w:rStyle w:val="11"/>
        </w:rPr>
        <w:t>（四）绩效评价原则和指标体系</w:t>
      </w:r>
      <w:r>
        <w:tab/>
      </w:r>
      <w:r>
        <w:fldChar w:fldCharType="begin"/>
      </w:r>
      <w:r>
        <w:instrText xml:space="preserve"> PAGEREF _Toc171672459 \h </w:instrText>
      </w:r>
      <w:r>
        <w:fldChar w:fldCharType="separate"/>
      </w:r>
      <w:r>
        <w:t>3</w:t>
      </w:r>
      <w:r>
        <w:fldChar w:fldCharType="end"/>
      </w:r>
      <w:r>
        <w:fldChar w:fldCharType="end"/>
      </w:r>
    </w:p>
    <w:p w14:paraId="06913E3C">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"_Toc171672460" </w:instrText>
      </w:r>
      <w:r>
        <w:fldChar w:fldCharType="separate"/>
      </w:r>
      <w:r>
        <w:rPr>
          <w:rStyle w:val="11"/>
        </w:rPr>
        <w:t>（五）绩效评价标准和评价方法</w:t>
      </w:r>
      <w:r>
        <w:tab/>
      </w:r>
      <w:r>
        <w:fldChar w:fldCharType="begin"/>
      </w:r>
      <w:r>
        <w:instrText xml:space="preserve"> PAGEREF _Toc171672460 \h </w:instrText>
      </w:r>
      <w:r>
        <w:fldChar w:fldCharType="separate"/>
      </w:r>
      <w:r>
        <w:t>5</w:t>
      </w:r>
      <w:r>
        <w:fldChar w:fldCharType="end"/>
      </w:r>
      <w:r>
        <w:fldChar w:fldCharType="end"/>
      </w:r>
    </w:p>
    <w:p w14:paraId="5803E14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"_Toc171672461" </w:instrText>
      </w:r>
      <w:r>
        <w:fldChar w:fldCharType="separate"/>
      </w:r>
      <w:r>
        <w:rPr>
          <w:rStyle w:val="11"/>
        </w:rPr>
        <w:t>（六）绩效评价工作过程</w:t>
      </w:r>
      <w:r>
        <w:tab/>
      </w:r>
      <w:r>
        <w:fldChar w:fldCharType="begin"/>
      </w:r>
      <w:r>
        <w:instrText xml:space="preserve"> PAGEREF _Toc171672461 \h </w:instrText>
      </w:r>
      <w:r>
        <w:fldChar w:fldCharType="separate"/>
      </w:r>
      <w:r>
        <w:t>6</w:t>
      </w:r>
      <w:r>
        <w:fldChar w:fldCharType="end"/>
      </w:r>
      <w:r>
        <w:fldChar w:fldCharType="end"/>
      </w:r>
    </w:p>
    <w:p w14:paraId="2574C7B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"_Toc171672462" </w:instrText>
      </w:r>
      <w:r>
        <w:fldChar w:fldCharType="separate"/>
      </w:r>
      <w:r>
        <w:rPr>
          <w:rStyle w:val="11"/>
        </w:rPr>
        <w:t>三、项目评价结论</w:t>
      </w:r>
      <w:r>
        <w:tab/>
      </w:r>
      <w:r>
        <w:fldChar w:fldCharType="begin"/>
      </w:r>
      <w:r>
        <w:instrText xml:space="preserve"> PAGEREF _Toc171672462 \h </w:instrText>
      </w:r>
      <w:r>
        <w:fldChar w:fldCharType="separate"/>
      </w:r>
      <w:r>
        <w:t>6</w:t>
      </w:r>
      <w:r>
        <w:fldChar w:fldCharType="end"/>
      </w:r>
      <w:r>
        <w:fldChar w:fldCharType="end"/>
      </w:r>
    </w:p>
    <w:p w14:paraId="4970698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"_Toc171672463" </w:instrText>
      </w:r>
      <w:r>
        <w:fldChar w:fldCharType="separate"/>
      </w:r>
      <w:r>
        <w:rPr>
          <w:rStyle w:val="11"/>
        </w:rPr>
        <w:t>四、综合评价情况</w:t>
      </w:r>
      <w:r>
        <w:tab/>
      </w:r>
      <w:r>
        <w:fldChar w:fldCharType="begin"/>
      </w:r>
      <w:r>
        <w:instrText xml:space="preserve"> PAGEREF _Toc171672463 \h </w:instrText>
      </w:r>
      <w:r>
        <w:fldChar w:fldCharType="separate"/>
      </w:r>
      <w:r>
        <w:t>6</w:t>
      </w:r>
      <w:r>
        <w:fldChar w:fldCharType="end"/>
      </w:r>
      <w:r>
        <w:fldChar w:fldCharType="end"/>
      </w:r>
    </w:p>
    <w:p w14:paraId="784ECD6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"_Toc171672464" </w:instrText>
      </w:r>
      <w:r>
        <w:fldChar w:fldCharType="separate"/>
      </w:r>
      <w:r>
        <w:rPr>
          <w:rStyle w:val="11"/>
        </w:rPr>
        <w:t>（一）资金管理</w:t>
      </w:r>
      <w:r>
        <w:tab/>
      </w:r>
      <w:r>
        <w:fldChar w:fldCharType="begin"/>
      </w:r>
      <w:r>
        <w:instrText xml:space="preserve"> PAGEREF _Toc171672464 \h </w:instrText>
      </w:r>
      <w:r>
        <w:fldChar w:fldCharType="separate"/>
      </w:r>
      <w:r>
        <w:t>6</w:t>
      </w:r>
      <w:r>
        <w:fldChar w:fldCharType="end"/>
      </w:r>
      <w:r>
        <w:fldChar w:fldCharType="end"/>
      </w:r>
    </w:p>
    <w:p w14:paraId="5F2C003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"_Toc171672465" </w:instrText>
      </w:r>
      <w:r>
        <w:fldChar w:fldCharType="separate"/>
      </w:r>
      <w:r>
        <w:rPr>
          <w:rStyle w:val="11"/>
        </w:rPr>
        <w:t>（二）项目管理</w:t>
      </w:r>
      <w:r>
        <w:tab/>
      </w:r>
      <w:r>
        <w:fldChar w:fldCharType="begin"/>
      </w:r>
      <w:r>
        <w:instrText xml:space="preserve"> PAGEREF _Toc171672465 \h </w:instrText>
      </w:r>
      <w:r>
        <w:fldChar w:fldCharType="separate"/>
      </w:r>
      <w:r>
        <w:t>6</w:t>
      </w:r>
      <w:r>
        <w:fldChar w:fldCharType="end"/>
      </w:r>
      <w:r>
        <w:fldChar w:fldCharType="end"/>
      </w:r>
    </w:p>
    <w:p w14:paraId="1876A7F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"_Toc171672466" </w:instrText>
      </w:r>
      <w:r>
        <w:fldChar w:fldCharType="separate"/>
      </w:r>
      <w:r>
        <w:rPr>
          <w:rStyle w:val="11"/>
        </w:rPr>
        <w:t>（三）使用成效及通报情况</w:t>
      </w:r>
      <w:r>
        <w:tab/>
      </w:r>
      <w:r>
        <w:fldChar w:fldCharType="begin"/>
      </w:r>
      <w:r>
        <w:instrText xml:space="preserve"> PAGEREF _Toc171672466 \h </w:instrText>
      </w:r>
      <w:r>
        <w:fldChar w:fldCharType="separate"/>
      </w:r>
      <w:r>
        <w:t>7</w:t>
      </w:r>
      <w:r>
        <w:fldChar w:fldCharType="end"/>
      </w:r>
      <w:r>
        <w:fldChar w:fldCharType="end"/>
      </w:r>
    </w:p>
    <w:p w14:paraId="33735B1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"_Toc171672467" </w:instrText>
      </w:r>
      <w:r>
        <w:fldChar w:fldCharType="separate"/>
      </w:r>
      <w:r>
        <w:rPr>
          <w:rStyle w:val="11"/>
        </w:rPr>
        <w:t>五、存在的问题和建议</w:t>
      </w:r>
      <w:r>
        <w:tab/>
      </w:r>
      <w:r>
        <w:fldChar w:fldCharType="begin"/>
      </w:r>
      <w:r>
        <w:instrText xml:space="preserve"> PAGEREF _Toc171672467 \h </w:instrText>
      </w:r>
      <w:r>
        <w:fldChar w:fldCharType="separate"/>
      </w:r>
      <w:r>
        <w:t>7</w:t>
      </w:r>
      <w:r>
        <w:fldChar w:fldCharType="end"/>
      </w:r>
      <w:r>
        <w:fldChar w:fldCharType="end"/>
      </w:r>
    </w:p>
    <w:p w14:paraId="3460444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"_Toc171672468" </w:instrText>
      </w:r>
      <w:r>
        <w:fldChar w:fldCharType="separate"/>
      </w:r>
      <w:r>
        <w:rPr>
          <w:rStyle w:val="11"/>
        </w:rPr>
        <w:t>（一）存在问题</w:t>
      </w:r>
      <w:r>
        <w:tab/>
      </w:r>
      <w:r>
        <w:fldChar w:fldCharType="begin"/>
      </w:r>
      <w:r>
        <w:instrText xml:space="preserve"> PAGEREF _Toc171672468 \h </w:instrText>
      </w:r>
      <w:r>
        <w:fldChar w:fldCharType="separate"/>
      </w:r>
      <w:r>
        <w:t>7</w:t>
      </w:r>
      <w:r>
        <w:fldChar w:fldCharType="end"/>
      </w:r>
      <w:r>
        <w:fldChar w:fldCharType="end"/>
      </w:r>
    </w:p>
    <w:p w14:paraId="2F29E6F4">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"_Toc171672469" </w:instrText>
      </w:r>
      <w:r>
        <w:fldChar w:fldCharType="separate"/>
      </w:r>
      <w:r>
        <w:rPr>
          <w:rStyle w:val="11"/>
        </w:rPr>
        <w:t>（二）建议</w:t>
      </w:r>
      <w:r>
        <w:tab/>
      </w:r>
      <w:r>
        <w:fldChar w:fldCharType="begin"/>
      </w:r>
      <w:r>
        <w:instrText xml:space="preserve"> PAGEREF _Toc171672469 \h </w:instrText>
      </w:r>
      <w:r>
        <w:fldChar w:fldCharType="separate"/>
      </w:r>
      <w:r>
        <w:t>8</w:t>
      </w:r>
      <w:r>
        <w:fldChar w:fldCharType="end"/>
      </w:r>
      <w:r>
        <w:fldChar w:fldCharType="end"/>
      </w:r>
    </w:p>
    <w:p w14:paraId="41E32842">
      <w:pPr>
        <w:pStyle w:val="13"/>
        <w:spacing w:line="460" w:lineRule="exact"/>
        <w:rPr>
          <w:rFonts w:ascii="Arial Narrow" w:hAnsi="Arial Narrow" w:eastAsiaTheme="minorEastAsia"/>
          <w:bCs/>
          <w:w w:val="80"/>
        </w:rPr>
        <w:sectPr>
          <w:footerReference r:id="rId4"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73F1AC46">
      <w:pPr>
        <w:spacing w:line="360" w:lineRule="auto"/>
        <w:jc w:val="right"/>
        <w:rPr>
          <w:rFonts w:ascii="Arial Narrow" w:hAnsi="Arial Narrow" w:eastAsiaTheme="minorEastAsia"/>
          <w:bCs/>
          <w:w w:val="80"/>
          <w:sz w:val="28"/>
          <w:szCs w:val="28"/>
        </w:rPr>
      </w:pPr>
    </w:p>
    <w:p w14:paraId="3C9ACADA">
      <w:pPr>
        <w:spacing w:line="360" w:lineRule="auto"/>
        <w:jc w:val="right"/>
        <w:rPr>
          <w:rFonts w:ascii="Arial Narrow" w:hAnsi="Arial Narrow" w:eastAsiaTheme="minorEastAsia"/>
          <w:bCs/>
          <w:w w:val="80"/>
          <w:sz w:val="28"/>
          <w:szCs w:val="28"/>
        </w:rPr>
      </w:pPr>
    </w:p>
    <w:p w14:paraId="61C55403">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5DCDE41A">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44FB1981">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鸿咨字〔2024〕第0040号</w:t>
      </w:r>
    </w:p>
    <w:p w14:paraId="161DD829">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417B1C11">
      <w:pPr>
        <w:adjustRightInd w:val="0"/>
        <w:snapToGrid w:val="0"/>
        <w:spacing w:line="360" w:lineRule="auto"/>
        <w:jc w:val="center"/>
        <w:rPr>
          <w:rStyle w:val="11"/>
          <w:rFonts w:ascii="Arial Narrow" w:hAnsi="Arial Narrow" w:eastAsiaTheme="minorEastAsia"/>
          <w:b/>
          <w:color w:val="auto"/>
          <w:sz w:val="36"/>
          <w:szCs w:val="36"/>
          <w:u w:val="none"/>
        </w:rPr>
      </w:pPr>
      <w:r>
        <w:rPr>
          <w:rStyle w:val="11"/>
          <w:rFonts w:ascii="Arial Narrow" w:hAnsi="Arial Narrow" w:eastAsiaTheme="minorEastAsia"/>
          <w:b/>
          <w:color w:val="auto"/>
          <w:sz w:val="36"/>
          <w:szCs w:val="36"/>
          <w:u w:val="none"/>
        </w:rPr>
        <w:t>重庆市铜梁区乡村振兴局水口镇2023年财政专项衔接资金</w:t>
      </w:r>
    </w:p>
    <w:p w14:paraId="04D46AEE">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2个项目</w:t>
      </w:r>
      <w:r>
        <w:rPr>
          <w:rFonts w:ascii="Arial Narrow" w:hAnsi="Arial Narrow" w:eastAsiaTheme="minorEastAsia"/>
          <w:b/>
          <w:sz w:val="36"/>
          <w:szCs w:val="36"/>
        </w:rPr>
        <w:t>绩效评价报告</w:t>
      </w:r>
    </w:p>
    <w:p w14:paraId="52A74A5C">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ascii="Arial Narrow" w:hAnsi="Arial Narrow" w:eastAsiaTheme="minorEastAsia"/>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rPr>
        <w:t>“</w:t>
      </w:r>
      <w:r>
        <w:rPr>
          <w:rFonts w:ascii="Arial Narrow" w:hAnsi="Arial Narrow" w:eastAsiaTheme="minorEastAsia"/>
          <w:color w:val="auto"/>
        </w:rPr>
        <w:t>振兴局</w:t>
      </w:r>
      <w:r>
        <w:rPr>
          <w:rFonts w:hint="eastAsia" w:ascii="仿宋" w:hAnsi="仿宋" w:eastAsia="仿宋" w:cs="仿宋"/>
          <w:color w:val="auto"/>
        </w:rPr>
        <w:t>”</w:t>
      </w:r>
      <w:r>
        <w:rPr>
          <w:rFonts w:ascii="Arial Narrow" w:hAnsi="Arial Narrow" w:eastAsiaTheme="minorEastAsia"/>
          <w:color w:val="auto"/>
        </w:rPr>
        <w:t>）</w:t>
      </w:r>
      <w:r>
        <w:rPr>
          <w:rFonts w:ascii="Arial Narrow" w:hAnsi="Arial Narrow" w:eastAsiaTheme="minorEastAsia"/>
        </w:rPr>
        <w:t xml:space="preserve"> </w:t>
      </w:r>
      <w:r>
        <w:rPr>
          <w:rFonts w:ascii="Arial Narrow" w:hAnsi="Arial Narrow" w:eastAsiaTheme="minorEastAsia"/>
          <w:color w:val="auto"/>
        </w:rPr>
        <w:t>水口镇2023年树荫村集体经济发展项目和天寨村2023年稻菜种植基地提质上档建设项目进行绩效评价，现将评价情况报告如下：</w:t>
      </w:r>
    </w:p>
    <w:p w14:paraId="5EF5C4B0">
      <w:pPr>
        <w:spacing w:before="240" w:beforeLines="100" w:line="360" w:lineRule="auto"/>
        <w:ind w:firstLine="482" w:firstLineChars="200"/>
        <w:jc w:val="left"/>
        <w:outlineLvl w:val="0"/>
        <w:rPr>
          <w:rFonts w:ascii="Arial Narrow" w:hAnsi="Arial Narrow" w:eastAsiaTheme="minorEastAsia"/>
          <w:b/>
          <w:sz w:val="24"/>
        </w:rPr>
      </w:pPr>
      <w:bookmarkStart w:id="3" w:name="_Toc171672453"/>
      <w:r>
        <w:rPr>
          <w:rFonts w:ascii="Arial Narrow" w:hAnsi="Arial Narrow" w:eastAsiaTheme="minorEastAsia"/>
          <w:b/>
          <w:sz w:val="24"/>
        </w:rPr>
        <w:t>一、基本情况</w:t>
      </w:r>
      <w:bookmarkEnd w:id="3"/>
    </w:p>
    <w:p w14:paraId="4EE6F68B">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4" w:name="_Toc171672454"/>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4"/>
    </w:p>
    <w:p w14:paraId="30EBEB6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1.2023年水口镇树荫村集体经济发展项目</w:t>
      </w:r>
    </w:p>
    <w:p w14:paraId="2DD0A8E9">
      <w:pPr>
        <w:spacing w:line="360" w:lineRule="auto"/>
        <w:ind w:firstLine="480" w:firstLineChars="200"/>
        <w:rPr>
          <w:rFonts w:ascii="Arial Narrow" w:hAnsi="Arial Narrow" w:cs="宋体" w:eastAsiaTheme="minorEastAsia"/>
          <w:kern w:val="0"/>
          <w:sz w:val="24"/>
          <w:highlight w:val="yellow"/>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铜梁区水口镇树荫村股份经济合作联合社</w:t>
      </w:r>
    </w:p>
    <w:p w14:paraId="1B255AF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项目地点：水口镇树荫村</w:t>
      </w:r>
    </w:p>
    <w:p w14:paraId="784C99F7">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建设内容：山坪塘整治约20亩，修建塘坎750米，含2米宽硬化便道420米；修建5米宽生产道路129米；维修原塘库管理房120平米；购买复合肥30吨；购买履带旋耕机7台、拖拉机2台、无人机4台、收割机1台、手扶插秧机10台、插秧机2台等农用机械。</w:t>
      </w:r>
    </w:p>
    <w:p w14:paraId="2734E0E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项目资金安排情况：该项目2023年计划投入300万元，实际投入300万元，均为上级补助资金。</w:t>
      </w:r>
    </w:p>
    <w:p w14:paraId="276EF1C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项目起止时间：2023年6月-2023年12月</w:t>
      </w:r>
    </w:p>
    <w:p w14:paraId="0B3CAF87">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2.2023年水口镇天寨村稻菜种植基地提质上档建设项目</w:t>
      </w:r>
    </w:p>
    <w:p w14:paraId="7A45978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铜梁区水口镇树荫村股份经济合作联合社</w:t>
      </w:r>
    </w:p>
    <w:p w14:paraId="1CEF971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项目地点：水口镇天寨村3组</w:t>
      </w:r>
    </w:p>
    <w:p w14:paraId="0FE4926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 xml:space="preserve">建设内容：购置谷物烘干机1套，旋耕机1套，建设农机收纳及稻谷烘干场地约234平方米、道路硬化约220平方米、波纹管DN300  10米等。 </w:t>
      </w:r>
    </w:p>
    <w:p w14:paraId="666B6FEB">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项目资金安排情况：该项目2023年计划投入50万元，实际投入为50万元，均为上级补助资金。</w:t>
      </w:r>
    </w:p>
    <w:p w14:paraId="78A66CC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项目起止时间：2023年4月-2023年11月</w:t>
      </w:r>
    </w:p>
    <w:p w14:paraId="372E7F24">
      <w:pPr>
        <w:spacing w:line="360" w:lineRule="auto"/>
        <w:ind w:firstLine="482" w:firstLineChars="200"/>
        <w:jc w:val="left"/>
        <w:outlineLvl w:val="0"/>
        <w:rPr>
          <w:rFonts w:ascii="Arial Narrow" w:hAnsi="Arial Narrow" w:eastAsiaTheme="minorEastAsia"/>
          <w:b/>
          <w:sz w:val="24"/>
        </w:rPr>
      </w:pPr>
      <w:bookmarkStart w:id="5" w:name="_Toc171672455"/>
      <w:r>
        <w:rPr>
          <w:rFonts w:ascii="Arial Narrow" w:hAnsi="Arial Narrow" w:eastAsiaTheme="minorEastAsia"/>
          <w:b/>
          <w:sz w:val="24"/>
        </w:rPr>
        <w:t>二、绩效评价工作情况</w:t>
      </w:r>
      <w:bookmarkEnd w:id="5"/>
    </w:p>
    <w:p w14:paraId="2DD68115">
      <w:pPr>
        <w:spacing w:line="360" w:lineRule="auto"/>
        <w:ind w:firstLine="482" w:firstLineChars="200"/>
        <w:jc w:val="left"/>
        <w:outlineLvl w:val="0"/>
        <w:rPr>
          <w:rFonts w:ascii="Arial Narrow" w:hAnsi="Arial Narrow" w:eastAsiaTheme="minorEastAsia"/>
          <w:b/>
          <w:sz w:val="24"/>
        </w:rPr>
      </w:pPr>
      <w:bookmarkStart w:id="6" w:name="_Toc513775099"/>
      <w:bookmarkStart w:id="7" w:name="_Toc171672456"/>
      <w:r>
        <w:rPr>
          <w:rFonts w:ascii="Arial Narrow" w:hAnsi="Arial Narrow" w:eastAsiaTheme="minorEastAsia"/>
          <w:b/>
          <w:sz w:val="24"/>
        </w:rPr>
        <w:t>（一）绩效评价目的</w:t>
      </w:r>
      <w:bookmarkEnd w:id="6"/>
      <w:bookmarkEnd w:id="7"/>
    </w:p>
    <w:p w14:paraId="7999FEA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1C80E64A">
      <w:pPr>
        <w:spacing w:line="360" w:lineRule="auto"/>
        <w:ind w:firstLine="482" w:firstLineChars="200"/>
        <w:jc w:val="left"/>
        <w:outlineLvl w:val="0"/>
        <w:rPr>
          <w:rFonts w:ascii="Arial Narrow" w:hAnsi="Arial Narrow" w:eastAsiaTheme="minorEastAsia"/>
          <w:b/>
          <w:sz w:val="24"/>
        </w:rPr>
      </w:pPr>
      <w:bookmarkStart w:id="8" w:name="_Toc171672457"/>
      <w:bookmarkStart w:id="9" w:name="_Toc513775100"/>
      <w:r>
        <w:rPr>
          <w:rFonts w:ascii="Arial Narrow" w:hAnsi="Arial Narrow" w:eastAsiaTheme="minorEastAsia"/>
          <w:b/>
          <w:sz w:val="24"/>
        </w:rPr>
        <w:t>（二）绩效评价的基本内容</w:t>
      </w:r>
      <w:bookmarkEnd w:id="8"/>
    </w:p>
    <w:p w14:paraId="046C5B7F">
      <w:pPr>
        <w:pStyle w:val="14"/>
        <w:spacing w:line="360" w:lineRule="auto"/>
        <w:ind w:firstLine="480" w:firstLineChars="200"/>
        <w:rPr>
          <w:rFonts w:ascii="Arial Narrow" w:hAnsi="Arial Narrow" w:eastAsiaTheme="minorEastAsia"/>
          <w:color w:val="auto"/>
        </w:rPr>
      </w:pPr>
      <w:bookmarkStart w:id="10" w:name="_Toc166332968"/>
      <w:r>
        <w:rPr>
          <w:rFonts w:ascii="Arial Narrow" w:hAnsi="Arial Narrow" w:eastAsiaTheme="minorEastAsia"/>
          <w:color w:val="auto"/>
        </w:rPr>
        <w:t>1.绩效目标的设定情况；</w:t>
      </w:r>
    </w:p>
    <w:p w14:paraId="48A243F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59D7FAE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11EFEE2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5038996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008AF2A0">
      <w:pPr>
        <w:spacing w:line="360" w:lineRule="auto"/>
        <w:ind w:firstLine="482" w:firstLineChars="200"/>
        <w:jc w:val="left"/>
        <w:outlineLvl w:val="0"/>
        <w:rPr>
          <w:rFonts w:ascii="Arial Narrow" w:hAnsi="Arial Narrow" w:eastAsiaTheme="minorEastAsia"/>
          <w:b/>
          <w:sz w:val="24"/>
        </w:rPr>
      </w:pPr>
      <w:bookmarkStart w:id="11" w:name="_Toc171672458"/>
      <w:r>
        <w:rPr>
          <w:rFonts w:ascii="Arial Narrow" w:hAnsi="Arial Narrow" w:eastAsiaTheme="minorEastAsia"/>
          <w:b/>
          <w:sz w:val="24"/>
        </w:rPr>
        <w:t>（三）绩效评价依据</w:t>
      </w:r>
      <w:bookmarkEnd w:id="9"/>
      <w:bookmarkEnd w:id="10"/>
      <w:bookmarkEnd w:id="11"/>
      <w:bookmarkStart w:id="12" w:name="_Toc335040595"/>
    </w:p>
    <w:bookmarkEnd w:id="12"/>
    <w:p w14:paraId="461C662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5CE32BE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3F376C23">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p>
    <w:p w14:paraId="7ECD003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4.《铜梁区区级政策和项目预算绩效管理办法（试行）》（铜财〔2022〕41号）</w:t>
      </w:r>
    </w:p>
    <w:p w14:paraId="2526B6D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10886B1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3541070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2AB3732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2E95341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2591046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3" w:name="_Hlk162597612"/>
      <w:r>
        <w:rPr>
          <w:rFonts w:ascii="Arial Narrow" w:hAnsi="Arial Narrow" w:eastAsiaTheme="minorEastAsia"/>
          <w:color w:val="auto"/>
        </w:rPr>
        <w:t>〔2016〕</w:t>
      </w:r>
      <w:bookmarkEnd w:id="13"/>
      <w:r>
        <w:rPr>
          <w:rFonts w:ascii="Arial Narrow" w:hAnsi="Arial Narrow" w:eastAsiaTheme="minorEastAsia"/>
          <w:color w:val="auto"/>
        </w:rPr>
        <w:t>10号）</w:t>
      </w:r>
    </w:p>
    <w:p w14:paraId="6E826EE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11.评价工作人员通过现场调查、核实等获得的资料等</w:t>
      </w:r>
    </w:p>
    <w:p w14:paraId="5DBB9D97">
      <w:pPr>
        <w:spacing w:line="360" w:lineRule="auto"/>
        <w:ind w:firstLine="482" w:firstLineChars="200"/>
        <w:jc w:val="left"/>
        <w:outlineLvl w:val="0"/>
        <w:rPr>
          <w:rFonts w:ascii="Arial Narrow" w:hAnsi="Arial Narrow" w:eastAsiaTheme="minorEastAsia"/>
          <w:b/>
          <w:sz w:val="24"/>
        </w:rPr>
      </w:pPr>
      <w:bookmarkStart w:id="14" w:name="_Toc171672459"/>
      <w:r>
        <w:rPr>
          <w:rFonts w:ascii="Arial Narrow" w:hAnsi="Arial Narrow" w:eastAsiaTheme="minorEastAsia"/>
          <w:b/>
          <w:sz w:val="24"/>
        </w:rPr>
        <w:t>（四）绩效评价原则和指标体系</w:t>
      </w:r>
      <w:bookmarkEnd w:id="14"/>
    </w:p>
    <w:p w14:paraId="1EF3D62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5FD54FF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75E25E4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3FA14EC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02C6911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64663EA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5126445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3119AF32">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78D7AF07">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0B6B32DD">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FCF74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1C75A38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52AC64D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2A6A611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04E2953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2F349CF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388DF523">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267A47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BC4BEF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22A920F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080606B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784F925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5FEAEEE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5FE440E5">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B23CA6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78C5E73A">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0F42EE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69E74FE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58F9D91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4E951E0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4B93F8FA">
        <w:tblPrEx>
          <w:tblCellMar>
            <w:top w:w="0" w:type="dxa"/>
            <w:left w:w="108" w:type="dxa"/>
            <w:bottom w:w="0" w:type="dxa"/>
            <w:right w:w="108" w:type="dxa"/>
          </w:tblCellMar>
        </w:tblPrEx>
        <w:trPr>
          <w:cantSplit/>
          <w:trHeight w:val="108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7E85C04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AC1D6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single" w:color="auto" w:sz="4" w:space="0"/>
              <w:left w:val="nil"/>
              <w:bottom w:val="single" w:color="auto" w:sz="4" w:space="0"/>
              <w:right w:val="single" w:color="auto" w:sz="4" w:space="0"/>
            </w:tcBorders>
            <w:shd w:val="clear" w:color="auto" w:fill="auto"/>
            <w:vAlign w:val="center"/>
          </w:tcPr>
          <w:p w14:paraId="5153038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7916846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single" w:color="auto" w:sz="4" w:space="0"/>
              <w:left w:val="nil"/>
              <w:bottom w:val="single" w:color="auto" w:sz="4" w:space="0"/>
              <w:right w:val="nil"/>
            </w:tcBorders>
            <w:shd w:val="clear" w:color="auto" w:fill="auto"/>
            <w:vAlign w:val="center"/>
          </w:tcPr>
          <w:p w14:paraId="5B03396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single" w:color="auto" w:sz="4" w:space="0"/>
              <w:bottom w:val="single" w:color="auto" w:sz="4" w:space="0"/>
              <w:right w:val="single" w:color="auto" w:sz="4" w:space="0"/>
            </w:tcBorders>
            <w:shd w:val="clear" w:color="auto" w:fill="auto"/>
            <w:vAlign w:val="center"/>
          </w:tcPr>
          <w:p w14:paraId="0323C52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p>
          <w:p w14:paraId="32C358A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2.入库项目具备实施条件（2分）；</w:t>
            </w:r>
          </w:p>
          <w:p w14:paraId="7C3F124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3.衔接资金用于项目库之外的项目（-5分）。</w:t>
            </w:r>
          </w:p>
        </w:tc>
      </w:tr>
      <w:tr w14:paraId="2BD6FACD">
        <w:tblPrEx>
          <w:tblCellMar>
            <w:top w:w="0" w:type="dxa"/>
            <w:left w:w="108" w:type="dxa"/>
            <w:bottom w:w="0" w:type="dxa"/>
            <w:right w:w="108" w:type="dxa"/>
          </w:tblCellMar>
        </w:tblPrEx>
        <w:trPr>
          <w:cantSplit/>
          <w:trHeight w:val="1621"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447A10B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558CF1F1">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2D984B8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A06348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308D6A7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55B9E33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p>
          <w:p w14:paraId="73022C0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2.开展绩效监控不少于1次（2分）；</w:t>
            </w:r>
          </w:p>
          <w:p w14:paraId="60BD123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3.对绩效目标偏离项目采取纠偏措施（2分）；</w:t>
            </w:r>
          </w:p>
          <w:p w14:paraId="06AFEFD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4.项目实施完毕后立即开展绩效自评，并形成绩效自评报告及绩效自评表。（2分）</w:t>
            </w:r>
          </w:p>
          <w:p w14:paraId="0E144F4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5.项目绩效是否达到预期。（2分）</w:t>
            </w:r>
          </w:p>
        </w:tc>
      </w:tr>
      <w:tr w14:paraId="411A24AD">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24922B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5E4DE063">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B4A947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4726BF2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64B84F7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B87977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p>
          <w:p w14:paraId="78FEFB3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2.是否定期对项目实施情况进行监督检查，对检查中发现的问题进行整改；（2分）</w:t>
            </w:r>
          </w:p>
          <w:p w14:paraId="43AC2C2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3.是否按照项目实施节点按时提交项目报账资料；（1分）</w:t>
            </w:r>
          </w:p>
          <w:p w14:paraId="42FA150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4.日常管理资料是否及时归档整理；（1分）</w:t>
            </w:r>
          </w:p>
          <w:p w14:paraId="6D7B489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5.项目完工后是否在规定时间内进行验收。（1分）</w:t>
            </w:r>
          </w:p>
        </w:tc>
      </w:tr>
      <w:tr w14:paraId="4DA092FD">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C089AB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44E42FF3">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90BECA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5BC7D77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78B1847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6D76580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p>
          <w:p w14:paraId="1E7FBB9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p>
          <w:p w14:paraId="690D313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p>
          <w:p w14:paraId="1C8A2EC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7A4279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639C54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164FFA53">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566092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0A0E96B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1994327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712B80B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p>
          <w:p w14:paraId="381266E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2.跟踪督促及各类检查发现问题整改到位情况，满分5分，根据未整改问题比例扣减；</w:t>
            </w:r>
          </w:p>
          <w:p w14:paraId="0BB86C5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1614EF37">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944C51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13A883F2">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611EE6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6920B67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DF23E5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19DE15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p>
          <w:p w14:paraId="33AD3F5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2.档案管理是否完整、合规、真实。（1分）</w:t>
            </w:r>
          </w:p>
        </w:tc>
      </w:tr>
      <w:tr w14:paraId="7D86C91D">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5343FE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76B190EA">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1A57EF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0B532A3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1148223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831BA4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p>
          <w:p w14:paraId="461A1FC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1.抽查区级公示公开情况，满分3分，未完整公开酌情扣分；</w:t>
            </w:r>
          </w:p>
          <w:p w14:paraId="0779EB2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2.抽查镇级公示公开情况，满分3分，未完整公开酌情扣分；</w:t>
            </w:r>
          </w:p>
          <w:p w14:paraId="1833B41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3.抽查村级公示公开情况，满分3分，未完整公开酌情扣分。</w:t>
            </w:r>
          </w:p>
        </w:tc>
      </w:tr>
      <w:tr w14:paraId="4BEAD8BD">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6F5FA4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E07B9B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0505F79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4F6A6E2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7C6C03A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242CE9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p>
          <w:p w14:paraId="17B56CD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0E42232D">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52FD5B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5B061206">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0629C3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1DB0CAE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0998A66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0D8E805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6B7F2742">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3775FC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02AD47C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11F5F89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1A9BC4E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559E20C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104BFE6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p>
          <w:p w14:paraId="0DA5CD2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68E81A31">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E74685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67C60D32">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397B20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4B381B5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2CD1E43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5CA5BAE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1BA80715">
      <w:pPr>
        <w:spacing w:before="120" w:beforeLines="50" w:line="360" w:lineRule="auto"/>
        <w:ind w:firstLine="482" w:firstLineChars="200"/>
        <w:jc w:val="left"/>
        <w:outlineLvl w:val="0"/>
        <w:rPr>
          <w:rFonts w:ascii="Arial Narrow" w:hAnsi="Arial Narrow" w:eastAsiaTheme="minorEastAsia"/>
          <w:b/>
          <w:sz w:val="24"/>
        </w:rPr>
      </w:pPr>
      <w:bookmarkStart w:id="15" w:name="_Toc171672460"/>
      <w:r>
        <w:rPr>
          <w:rFonts w:ascii="Arial Narrow" w:hAnsi="Arial Narrow" w:eastAsiaTheme="minorEastAsia"/>
          <w:b/>
          <w:sz w:val="24"/>
        </w:rPr>
        <w:t>（五）绩效评价标准和评价方法</w:t>
      </w:r>
      <w:bookmarkEnd w:id="15"/>
    </w:p>
    <w:p w14:paraId="31BF8AA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3DA221F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62AC095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6" w:name="_Hlk162596803"/>
      <w:r>
        <w:rPr>
          <w:rFonts w:ascii="Arial Narrow" w:hAnsi="Arial Narrow" w:eastAsiaTheme="minorEastAsia"/>
          <w:color w:val="auto"/>
        </w:rPr>
        <w:t>≥90</w:t>
      </w:r>
      <w:bookmarkEnd w:id="16"/>
      <w:r>
        <w:rPr>
          <w:rFonts w:ascii="Arial Narrow" w:hAnsi="Arial Narrow" w:eastAsiaTheme="minorEastAsia"/>
          <w:color w:val="auto"/>
        </w:rPr>
        <w:t>）、良</w:t>
      </w:r>
      <w:bookmarkStart w:id="17" w:name="_Hlk168473502"/>
      <w:r>
        <w:rPr>
          <w:rFonts w:ascii="Arial Narrow" w:hAnsi="Arial Narrow" w:eastAsiaTheme="minorEastAsia"/>
          <w:color w:val="auto"/>
        </w:rPr>
        <w:t>（90＞得分≥80）</w:t>
      </w:r>
      <w:bookmarkEnd w:id="17"/>
      <w:r>
        <w:rPr>
          <w:rFonts w:ascii="Arial Narrow" w:hAnsi="Arial Narrow" w:eastAsiaTheme="minorEastAsia"/>
          <w:color w:val="auto"/>
        </w:rPr>
        <w:t>、中（80＞得分≥60）、差（得分＜60）四个等级，按百分制综合得分高低按分值划段确定。</w:t>
      </w:r>
    </w:p>
    <w:p w14:paraId="007E6CE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254444B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6C1963A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78E0E6B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6FA3CC6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4FC3DB8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0B05788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010B111B">
      <w:pPr>
        <w:spacing w:line="360" w:lineRule="auto"/>
        <w:ind w:firstLine="482" w:firstLineChars="200"/>
        <w:jc w:val="left"/>
        <w:outlineLvl w:val="0"/>
        <w:rPr>
          <w:rFonts w:ascii="Arial Narrow" w:hAnsi="Arial Narrow" w:eastAsiaTheme="minorEastAsia"/>
          <w:b/>
          <w:sz w:val="24"/>
        </w:rPr>
      </w:pPr>
      <w:bookmarkStart w:id="18" w:name="_Toc437528932"/>
      <w:bookmarkStart w:id="19" w:name="_Toc171672461"/>
      <w:r>
        <w:rPr>
          <w:rFonts w:ascii="Arial Narrow" w:hAnsi="Arial Narrow" w:eastAsiaTheme="minorEastAsia"/>
          <w:b/>
          <w:sz w:val="24"/>
        </w:rPr>
        <w:t>（六）绩效评价</w:t>
      </w:r>
      <w:bookmarkEnd w:id="18"/>
      <w:r>
        <w:rPr>
          <w:rFonts w:ascii="Arial Narrow" w:hAnsi="Arial Narrow" w:eastAsiaTheme="minorEastAsia"/>
          <w:b/>
          <w:sz w:val="24"/>
        </w:rPr>
        <w:t>工作过程</w:t>
      </w:r>
      <w:bookmarkEnd w:id="19"/>
    </w:p>
    <w:p w14:paraId="04325FF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1.经铜梁区财政局确定为“2023年财政专项衔接资金项目”项目绩效评价服务单位后我所成立了绩效评价工作小组。</w:t>
      </w:r>
    </w:p>
    <w:p w14:paraId="2C04325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03A6D627">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785A6AC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7C0ED630">
      <w:pPr>
        <w:spacing w:line="360" w:lineRule="auto"/>
        <w:ind w:firstLine="482" w:firstLineChars="200"/>
        <w:jc w:val="left"/>
        <w:outlineLvl w:val="0"/>
        <w:rPr>
          <w:rFonts w:ascii="Arial Narrow" w:hAnsi="Arial Narrow" w:eastAsiaTheme="minorEastAsia"/>
          <w:b/>
          <w:sz w:val="24"/>
        </w:rPr>
      </w:pPr>
      <w:bookmarkStart w:id="20" w:name="_Toc437528933"/>
      <w:bookmarkStart w:id="21" w:name="_Toc171672462"/>
      <w:r>
        <w:rPr>
          <w:rFonts w:ascii="Arial Narrow" w:hAnsi="Arial Narrow" w:eastAsiaTheme="minorEastAsia"/>
          <w:b/>
          <w:sz w:val="24"/>
        </w:rPr>
        <w:t>三、项目评价</w:t>
      </w:r>
      <w:bookmarkEnd w:id="20"/>
      <w:r>
        <w:rPr>
          <w:rFonts w:ascii="Arial Narrow" w:hAnsi="Arial Narrow" w:eastAsiaTheme="minorEastAsia"/>
          <w:b/>
          <w:sz w:val="24"/>
        </w:rPr>
        <w:t>结论</w:t>
      </w:r>
      <w:bookmarkEnd w:id="21"/>
    </w:p>
    <w:p w14:paraId="1D33962F">
      <w:pPr>
        <w:spacing w:line="360" w:lineRule="auto"/>
        <w:ind w:left="420" w:leftChars="200"/>
        <w:jc w:val="left"/>
        <w:rPr>
          <w:rFonts w:ascii="Arial Narrow" w:hAnsi="Arial Narrow" w:cs="宋体" w:eastAsiaTheme="minorEastAsia"/>
          <w:kern w:val="0"/>
          <w:sz w:val="24"/>
        </w:rPr>
      </w:pPr>
      <w:r>
        <w:rPr>
          <w:rFonts w:ascii="Arial Narrow" w:hAnsi="Arial Narrow" w:cs="宋体" w:eastAsiaTheme="minorEastAsia"/>
          <w:kern w:val="0"/>
          <w:sz w:val="24"/>
        </w:rPr>
        <w:t>2023年水口镇树荫村集体经济发展项目绩效评价得分96.00分，绩效评价等级为：优；</w:t>
      </w:r>
    </w:p>
    <w:p w14:paraId="4476FAB5">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2023年水口镇天寨村稻菜种植基地提质上档建设项目绩效评价得分97.50分，绩效评价等级为：优。</w:t>
      </w:r>
    </w:p>
    <w:p w14:paraId="3AA0B645">
      <w:pPr>
        <w:spacing w:line="360" w:lineRule="auto"/>
        <w:ind w:firstLine="482" w:firstLineChars="200"/>
        <w:outlineLvl w:val="0"/>
        <w:rPr>
          <w:rFonts w:ascii="Arial Narrow" w:hAnsi="Arial Narrow" w:eastAsiaTheme="minorEastAsia"/>
          <w:b/>
          <w:sz w:val="24"/>
        </w:rPr>
      </w:pPr>
      <w:bookmarkStart w:id="22" w:name="_Toc171672463"/>
      <w:r>
        <w:rPr>
          <w:rFonts w:ascii="Arial Narrow" w:hAnsi="Arial Narrow" w:eastAsiaTheme="minorEastAsia"/>
          <w:b/>
          <w:sz w:val="24"/>
        </w:rPr>
        <w:t>四、综合评价情况</w:t>
      </w:r>
      <w:bookmarkEnd w:id="22"/>
    </w:p>
    <w:p w14:paraId="750AA5DE">
      <w:pPr>
        <w:spacing w:line="360" w:lineRule="auto"/>
        <w:ind w:firstLine="482" w:firstLineChars="200"/>
        <w:jc w:val="left"/>
        <w:outlineLvl w:val="0"/>
        <w:rPr>
          <w:rFonts w:ascii="Arial Narrow" w:hAnsi="Arial Narrow" w:eastAsiaTheme="minorEastAsia"/>
          <w:b/>
          <w:sz w:val="24"/>
        </w:rPr>
      </w:pPr>
      <w:bookmarkStart w:id="23" w:name="_Toc171672464"/>
      <w:r>
        <w:rPr>
          <w:rFonts w:ascii="Arial Narrow" w:hAnsi="Arial Narrow" w:eastAsiaTheme="minorEastAsia"/>
          <w:b/>
          <w:sz w:val="24"/>
        </w:rPr>
        <w:t>（一）资金管理</w:t>
      </w:r>
      <w:bookmarkEnd w:id="23"/>
    </w:p>
    <w:p w14:paraId="09DB0541">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139B2EF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铜财〔2023〕46号</w:t>
      </w:r>
      <w:r>
        <w:rPr>
          <w:rFonts w:hint="eastAsia" w:ascii="Arial Narrow" w:hAnsi="Arial Narrow" w:eastAsiaTheme="minorEastAsia"/>
          <w:sz w:val="24"/>
          <w:lang w:eastAsia="zh-CN"/>
        </w:rPr>
        <w:t>）</w:t>
      </w:r>
      <w:r>
        <w:rPr>
          <w:rFonts w:ascii="Arial Narrow" w:hAnsi="Arial Narrow" w:eastAsiaTheme="minorEastAsia"/>
          <w:sz w:val="24"/>
        </w:rPr>
        <w:t>等相关政策性文件规定落实衔接资金。</w:t>
      </w:r>
    </w:p>
    <w:p w14:paraId="7401A55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23B3B83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以上2个项目资金从区财政局下达资金文件时间到区级业务主管部门下达项目及资金计划文件时间间隔小于30天。</w:t>
      </w:r>
    </w:p>
    <w:p w14:paraId="3FDD9D8F">
      <w:pPr>
        <w:spacing w:line="360" w:lineRule="auto"/>
        <w:ind w:firstLine="482" w:firstLineChars="200"/>
        <w:jc w:val="left"/>
        <w:outlineLvl w:val="0"/>
        <w:rPr>
          <w:rFonts w:ascii="Arial Narrow" w:hAnsi="Arial Narrow" w:eastAsiaTheme="minorEastAsia"/>
          <w:b/>
          <w:sz w:val="24"/>
        </w:rPr>
      </w:pPr>
      <w:bookmarkStart w:id="24" w:name="_Toc171672465"/>
      <w:r>
        <w:rPr>
          <w:rFonts w:ascii="Arial Narrow" w:hAnsi="Arial Narrow" w:eastAsiaTheme="minorEastAsia"/>
          <w:b/>
          <w:sz w:val="24"/>
        </w:rPr>
        <w:t>（二）项目管理</w:t>
      </w:r>
      <w:bookmarkEnd w:id="24"/>
    </w:p>
    <w:p w14:paraId="62DC52B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27CF684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5338B6C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2A9FBD1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w:t>
      </w:r>
      <w:r>
        <w:rPr>
          <w:rFonts w:ascii="Arial Narrow" w:hAnsi="Arial Narrow" w:cs="宋体" w:eastAsiaTheme="minorEastAsia"/>
          <w:kern w:val="0"/>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w:t>
      </w:r>
    </w:p>
    <w:p w14:paraId="251A129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11C497D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eastAsia="zh-CN"/>
        </w:rPr>
        <w:t>过程</w:t>
      </w:r>
      <w:r>
        <w:rPr>
          <w:rFonts w:ascii="Arial Narrow" w:hAnsi="Arial Narrow" w:eastAsiaTheme="minorEastAsia"/>
          <w:sz w:val="24"/>
        </w:rPr>
        <w:t>中由重庆市铜梁区乡村振兴局进行监督检查，检查中未发现重大问题，项目按照实施节点按时提交项目报账资料，项目资料归档整理及时。</w:t>
      </w:r>
    </w:p>
    <w:p w14:paraId="081D2D4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7B12FB7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2023年水口镇树荫村集体经济发展项目七月末、十月末资金支出进度均超过全区平均水平，十二月中旬的资金预算执行率达到100%。</w:t>
      </w:r>
    </w:p>
    <w:p w14:paraId="0DAEE8A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天寨村2023年稻菜种植基地提质上档建设项目七月末资金支出进度均超过全区平均水平，十月中旬的资金预算执行率达到100%。</w:t>
      </w:r>
    </w:p>
    <w:p w14:paraId="2E5E612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4D1DE8E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5A812DF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40D8556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项目实施单位对该项目账务处理规范，档案管理完整。纸质归档资料中缺财务处理相关单据。</w:t>
      </w:r>
    </w:p>
    <w:p w14:paraId="6DEAB85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1CA116B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重庆市铜梁区乡村振兴局对以上2个项目入库情况、资金计划完成情况等进行了公告公示。</w:t>
      </w:r>
    </w:p>
    <w:p w14:paraId="2092B948">
      <w:pPr>
        <w:spacing w:line="360" w:lineRule="auto"/>
        <w:ind w:firstLine="482" w:firstLineChars="200"/>
        <w:jc w:val="left"/>
        <w:outlineLvl w:val="0"/>
        <w:rPr>
          <w:rFonts w:ascii="Arial Narrow" w:hAnsi="Arial Narrow" w:eastAsiaTheme="minorEastAsia"/>
          <w:b/>
          <w:sz w:val="24"/>
        </w:rPr>
      </w:pPr>
      <w:bookmarkStart w:id="25" w:name="_Toc171672466"/>
      <w:r>
        <w:rPr>
          <w:rFonts w:ascii="Arial Narrow" w:hAnsi="Arial Narrow" w:eastAsiaTheme="minorEastAsia"/>
          <w:b/>
          <w:sz w:val="24"/>
        </w:rPr>
        <w:t>（三）使用成效及通报情况</w:t>
      </w:r>
      <w:bookmarkEnd w:id="25"/>
    </w:p>
    <w:p w14:paraId="5DA12D8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25C2DC4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57E1D4A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545DA02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因资金支付进度滞后被铜梁区财政局（铜财〔2023〕347号）通报一次。</w:t>
      </w:r>
    </w:p>
    <w:p w14:paraId="4566D8FA">
      <w:pPr>
        <w:spacing w:line="360" w:lineRule="auto"/>
        <w:ind w:firstLine="482" w:firstLineChars="200"/>
        <w:outlineLvl w:val="0"/>
        <w:rPr>
          <w:rFonts w:ascii="Arial Narrow" w:hAnsi="Arial Narrow" w:eastAsiaTheme="minorEastAsia"/>
          <w:b/>
          <w:sz w:val="24"/>
        </w:rPr>
      </w:pPr>
      <w:bookmarkStart w:id="26" w:name="_Toc171672467"/>
      <w:r>
        <w:rPr>
          <w:rFonts w:ascii="Arial Narrow" w:hAnsi="Arial Narrow" w:eastAsiaTheme="minorEastAsia"/>
          <w:b/>
          <w:sz w:val="24"/>
        </w:rPr>
        <w:t>五、存在的问题和建议</w:t>
      </w:r>
      <w:bookmarkEnd w:id="26"/>
    </w:p>
    <w:p w14:paraId="65F00278">
      <w:pPr>
        <w:spacing w:line="360" w:lineRule="auto"/>
        <w:ind w:firstLine="482" w:firstLineChars="200"/>
        <w:jc w:val="left"/>
        <w:outlineLvl w:val="0"/>
        <w:rPr>
          <w:rFonts w:ascii="Arial Narrow" w:hAnsi="Arial Narrow" w:eastAsiaTheme="minorEastAsia"/>
          <w:b/>
          <w:sz w:val="24"/>
        </w:rPr>
      </w:pPr>
      <w:bookmarkStart w:id="27" w:name="_Toc171672468"/>
      <w:r>
        <w:rPr>
          <w:rFonts w:ascii="Arial Narrow" w:hAnsi="Arial Narrow" w:eastAsiaTheme="minorEastAsia"/>
          <w:b/>
          <w:sz w:val="24"/>
        </w:rPr>
        <w:t>（一）存在问题</w:t>
      </w:r>
      <w:bookmarkEnd w:id="27"/>
    </w:p>
    <w:p w14:paraId="5EEDC45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1.日常档案管理资料整理归档不及时；</w:t>
      </w:r>
    </w:p>
    <w:p w14:paraId="219D628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2.项目资金拨付进度较晚，最后一笔款于2023年11月支出。</w:t>
      </w:r>
    </w:p>
    <w:p w14:paraId="22BC9E81">
      <w:pPr>
        <w:spacing w:line="360" w:lineRule="auto"/>
        <w:ind w:firstLine="482" w:firstLineChars="200"/>
        <w:jc w:val="left"/>
        <w:outlineLvl w:val="0"/>
        <w:rPr>
          <w:rFonts w:ascii="Arial Narrow" w:hAnsi="Arial Narrow" w:eastAsiaTheme="minorEastAsia"/>
          <w:b/>
          <w:sz w:val="24"/>
        </w:rPr>
      </w:pPr>
      <w:bookmarkStart w:id="28" w:name="_Toc171672469"/>
      <w:r>
        <w:rPr>
          <w:rFonts w:ascii="Arial Narrow" w:hAnsi="Arial Narrow" w:eastAsiaTheme="minorEastAsia"/>
          <w:b/>
          <w:sz w:val="24"/>
        </w:rPr>
        <w:t>（二）建议</w:t>
      </w:r>
      <w:bookmarkEnd w:id="28"/>
    </w:p>
    <w:p w14:paraId="2C7E70C7">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w:t>
      </w:r>
      <w:r>
        <w:rPr>
          <w:rFonts w:ascii="Arial Narrow" w:hAnsi="Arial Narrow" w:eastAsiaTheme="minorEastAsia"/>
          <w:sz w:val="24"/>
        </w:rPr>
        <w:t>建议及时检查归档资料是否完备，以</w:t>
      </w:r>
      <w:r>
        <w:rPr>
          <w:rStyle w:val="11"/>
          <w:rFonts w:ascii="Arial Narrow" w:hAnsi="Arial Narrow" w:eastAsiaTheme="minorEastAsia"/>
          <w:color w:val="auto"/>
          <w:sz w:val="24"/>
          <w:u w:val="none"/>
        </w:rPr>
        <w:t>保持资料的完整性；避免造成资料的缺失遗漏；</w:t>
      </w:r>
    </w:p>
    <w:p w14:paraId="67D78F0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w:t>
      </w:r>
      <w:r>
        <w:rPr>
          <w:rStyle w:val="11"/>
          <w:rFonts w:ascii="Arial Narrow" w:hAnsi="Arial Narrow" w:eastAsiaTheme="minorEastAsia"/>
          <w:color w:val="auto"/>
          <w:sz w:val="24"/>
          <w:u w:val="none"/>
        </w:rPr>
        <w:t>严格按照财政资金预算执行，及时拨付项目资金。针对财政专项资金,建议实施单位在规定时间内支付项目资金，杜绝资金滞留、挤占、截留、挪用等现象的发生。</w:t>
      </w:r>
    </w:p>
    <w:p w14:paraId="1657BBF6">
      <w:pPr>
        <w:adjustRightInd w:val="0"/>
        <w:snapToGrid w:val="0"/>
        <w:spacing w:line="360" w:lineRule="auto"/>
        <w:ind w:firstLine="480" w:firstLineChars="200"/>
        <w:rPr>
          <w:rFonts w:ascii="Arial Narrow" w:hAnsi="Arial Narrow" w:eastAsiaTheme="minorEastAsia"/>
          <w:sz w:val="24"/>
        </w:rPr>
      </w:pPr>
    </w:p>
    <w:p w14:paraId="4BD53F9F">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铜梁区衔接资金项目绩效评价及考核指标评分表；</w:t>
      </w:r>
    </w:p>
    <w:p w14:paraId="13121A59">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026442BF">
      <w:pPr>
        <w:adjustRightInd w:val="0"/>
        <w:snapToGrid w:val="0"/>
        <w:spacing w:line="360" w:lineRule="auto"/>
        <w:ind w:firstLine="720" w:firstLineChars="300"/>
        <w:rPr>
          <w:rStyle w:val="11"/>
          <w:rFonts w:ascii="Arial Narrow" w:hAnsi="Arial Narrow" w:eastAsiaTheme="minorEastAsia"/>
          <w:color w:val="auto"/>
          <w:sz w:val="24"/>
          <w:u w:val="none"/>
        </w:rPr>
      </w:pPr>
    </w:p>
    <w:p w14:paraId="57300EDD">
      <w:pPr>
        <w:adjustRightInd w:val="0"/>
        <w:snapToGrid w:val="0"/>
        <w:spacing w:line="360" w:lineRule="auto"/>
        <w:ind w:firstLine="720" w:firstLineChars="300"/>
        <w:rPr>
          <w:rStyle w:val="11"/>
          <w:rFonts w:ascii="Arial Narrow" w:hAnsi="Arial Narrow" w:eastAsiaTheme="minorEastAsia"/>
          <w:color w:val="auto"/>
          <w:sz w:val="24"/>
          <w:u w:val="none"/>
        </w:rPr>
      </w:pPr>
    </w:p>
    <w:p w14:paraId="1C89BFF3">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重庆铭鸿金全会计师事务所有限责任公司</w:t>
      </w:r>
    </w:p>
    <w:p w14:paraId="37CC572E">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29" w:name="_GoBack"/>
      <w:bookmarkEnd w:id="29"/>
      <w:r>
        <w:rPr>
          <w:rStyle w:val="11"/>
          <w:rFonts w:ascii="Arial Narrow" w:hAnsi="Arial Narrow" w:eastAsiaTheme="minorEastAsia"/>
          <w:color w:val="auto"/>
          <w:sz w:val="24"/>
          <w:u w:val="none"/>
        </w:rPr>
        <w:t>二四年六月三十日</w:t>
      </w:r>
    </w:p>
    <w:sectPr>
      <w:headerReference r:id="rId5" w:type="default"/>
      <w:footerReference r:id="rId6"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71181">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6D313">
    <w:pPr>
      <w:pStyle w:val="5"/>
      <w:jc w:val="center"/>
      <w:rPr>
        <w:rFonts w:hint="eastAsia"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F201A">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posOffset>2937510</wp:posOffset>
              </wp:positionH>
              <wp:positionV relativeFrom="paragraph">
                <wp:posOffset>-2540</wp:posOffset>
              </wp:positionV>
              <wp:extent cx="251460" cy="1828800"/>
              <wp:effectExtent l="0" t="0" r="15240" b="14605"/>
              <wp:wrapNone/>
              <wp:docPr id="6" name="文本框 6"/>
              <wp:cNvGraphicFramePr/>
              <a:graphic xmlns:a="http://schemas.openxmlformats.org/drawingml/2006/main">
                <a:graphicData uri="http://schemas.microsoft.com/office/word/2010/wordprocessingShape">
                  <wps:wsp>
                    <wps:cNvSpPr txBox="1"/>
                    <wps:spPr>
                      <a:xfrm>
                        <a:off x="0" y="0"/>
                        <a:ext cx="2514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EF3E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1.3pt;margin-top:-0.2pt;height:144pt;width:19.8pt;mso-position-horizontal-relative:margin;z-index:251659264;mso-width-relative:page;mso-height-relative:page;" filled="f" stroked="f" coordsize="21600,21600" o:gfxdata="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4JuP52AAAAAkBAAAPAAAAAAAAAAEAIAAAACIAAABkcnMvZG93bnJldi54bWxQ&#10;SwECFAAUAAAACACHTuJAxXN3NTACAABWBAAADgAAAAAAAAABACAAAAAnAQAAZHJzL2Uyb0RvYy54&#10;bWxQSwUGAAAAAAYABgBZAQAAyQUAAAAA&#10;">
              <v:fill on="f" focussize="0,0"/>
              <v:stroke on="f" weight="0.5pt"/>
              <v:imagedata o:title=""/>
              <o:lock v:ext="edit" aspectratio="f"/>
              <v:textbox inset="0mm,0mm,0mm,0mm" style="mso-fit-shape-to-text:t;">
                <w:txbxContent>
                  <w:p w14:paraId="78DEF3E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7189C">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CC9"/>
    <w:rsid w:val="00007A67"/>
    <w:rsid w:val="000214B2"/>
    <w:rsid w:val="000216A3"/>
    <w:rsid w:val="00023EC4"/>
    <w:rsid w:val="000343D6"/>
    <w:rsid w:val="00060BD2"/>
    <w:rsid w:val="000637E7"/>
    <w:rsid w:val="00063E0B"/>
    <w:rsid w:val="00066A05"/>
    <w:rsid w:val="000769EE"/>
    <w:rsid w:val="0008236A"/>
    <w:rsid w:val="00086903"/>
    <w:rsid w:val="00093CF7"/>
    <w:rsid w:val="00096EF3"/>
    <w:rsid w:val="000B69A7"/>
    <w:rsid w:val="000D1A3B"/>
    <w:rsid w:val="000E4529"/>
    <w:rsid w:val="000E6A52"/>
    <w:rsid w:val="000F2B58"/>
    <w:rsid w:val="0010003E"/>
    <w:rsid w:val="00104568"/>
    <w:rsid w:val="00125922"/>
    <w:rsid w:val="0013351F"/>
    <w:rsid w:val="00134388"/>
    <w:rsid w:val="00143A99"/>
    <w:rsid w:val="00152152"/>
    <w:rsid w:val="00164C87"/>
    <w:rsid w:val="001819DF"/>
    <w:rsid w:val="001843A4"/>
    <w:rsid w:val="001A42EB"/>
    <w:rsid w:val="001A5651"/>
    <w:rsid w:val="001C6F32"/>
    <w:rsid w:val="001D11E2"/>
    <w:rsid w:val="001E0132"/>
    <w:rsid w:val="001F3624"/>
    <w:rsid w:val="001F43AE"/>
    <w:rsid w:val="0020106A"/>
    <w:rsid w:val="00204413"/>
    <w:rsid w:val="00216472"/>
    <w:rsid w:val="00224D96"/>
    <w:rsid w:val="00226E7E"/>
    <w:rsid w:val="002360A5"/>
    <w:rsid w:val="002441B3"/>
    <w:rsid w:val="00245725"/>
    <w:rsid w:val="00254FC8"/>
    <w:rsid w:val="002663D6"/>
    <w:rsid w:val="00276D1C"/>
    <w:rsid w:val="00282997"/>
    <w:rsid w:val="002914F2"/>
    <w:rsid w:val="00294F41"/>
    <w:rsid w:val="002B1561"/>
    <w:rsid w:val="002C083D"/>
    <w:rsid w:val="002C36AE"/>
    <w:rsid w:val="002C4BF0"/>
    <w:rsid w:val="002C5020"/>
    <w:rsid w:val="002C7EFA"/>
    <w:rsid w:val="002D4F97"/>
    <w:rsid w:val="002E09F1"/>
    <w:rsid w:val="002E10D6"/>
    <w:rsid w:val="002F5600"/>
    <w:rsid w:val="00313DAB"/>
    <w:rsid w:val="00314819"/>
    <w:rsid w:val="00314A5A"/>
    <w:rsid w:val="00314D84"/>
    <w:rsid w:val="00322B11"/>
    <w:rsid w:val="00324E2F"/>
    <w:rsid w:val="00331DC5"/>
    <w:rsid w:val="003403BC"/>
    <w:rsid w:val="003427DA"/>
    <w:rsid w:val="00362EF1"/>
    <w:rsid w:val="00364CA3"/>
    <w:rsid w:val="0037066E"/>
    <w:rsid w:val="00384C3C"/>
    <w:rsid w:val="003879CE"/>
    <w:rsid w:val="003904C2"/>
    <w:rsid w:val="00397659"/>
    <w:rsid w:val="003A00D8"/>
    <w:rsid w:val="003A1ECE"/>
    <w:rsid w:val="003B42BF"/>
    <w:rsid w:val="003C31C4"/>
    <w:rsid w:val="004077FE"/>
    <w:rsid w:val="00414A58"/>
    <w:rsid w:val="00414AB3"/>
    <w:rsid w:val="004200C2"/>
    <w:rsid w:val="00420AA7"/>
    <w:rsid w:val="00421311"/>
    <w:rsid w:val="00421C71"/>
    <w:rsid w:val="0044730F"/>
    <w:rsid w:val="00451B44"/>
    <w:rsid w:val="00470930"/>
    <w:rsid w:val="00477B31"/>
    <w:rsid w:val="00493C77"/>
    <w:rsid w:val="004A7B95"/>
    <w:rsid w:val="004B090A"/>
    <w:rsid w:val="004C1F3A"/>
    <w:rsid w:val="004C38B4"/>
    <w:rsid w:val="004D1145"/>
    <w:rsid w:val="004D2A61"/>
    <w:rsid w:val="004D2A6E"/>
    <w:rsid w:val="004E6833"/>
    <w:rsid w:val="004F367F"/>
    <w:rsid w:val="004F7A0F"/>
    <w:rsid w:val="00501A64"/>
    <w:rsid w:val="00521833"/>
    <w:rsid w:val="00536985"/>
    <w:rsid w:val="00536F63"/>
    <w:rsid w:val="00557266"/>
    <w:rsid w:val="00565296"/>
    <w:rsid w:val="00572DD6"/>
    <w:rsid w:val="00577297"/>
    <w:rsid w:val="005A2955"/>
    <w:rsid w:val="005E133F"/>
    <w:rsid w:val="005E4847"/>
    <w:rsid w:val="005F01BA"/>
    <w:rsid w:val="005F289A"/>
    <w:rsid w:val="005F3C4E"/>
    <w:rsid w:val="005F7548"/>
    <w:rsid w:val="0060606D"/>
    <w:rsid w:val="0061001E"/>
    <w:rsid w:val="00613DCA"/>
    <w:rsid w:val="0061417A"/>
    <w:rsid w:val="00615E5C"/>
    <w:rsid w:val="006553BC"/>
    <w:rsid w:val="00655510"/>
    <w:rsid w:val="00655BBA"/>
    <w:rsid w:val="00662ED7"/>
    <w:rsid w:val="0068522F"/>
    <w:rsid w:val="0069156D"/>
    <w:rsid w:val="0069678B"/>
    <w:rsid w:val="006A58E0"/>
    <w:rsid w:val="006D14F7"/>
    <w:rsid w:val="006D543A"/>
    <w:rsid w:val="006E75D6"/>
    <w:rsid w:val="006E7DA1"/>
    <w:rsid w:val="006F7CBD"/>
    <w:rsid w:val="00717B7E"/>
    <w:rsid w:val="0072082C"/>
    <w:rsid w:val="0073019B"/>
    <w:rsid w:val="00730A8E"/>
    <w:rsid w:val="00740E9D"/>
    <w:rsid w:val="00741402"/>
    <w:rsid w:val="00742AD3"/>
    <w:rsid w:val="007545D5"/>
    <w:rsid w:val="00786924"/>
    <w:rsid w:val="007A6BE6"/>
    <w:rsid w:val="007B57A1"/>
    <w:rsid w:val="007D0A35"/>
    <w:rsid w:val="007E79AD"/>
    <w:rsid w:val="008050B0"/>
    <w:rsid w:val="00813C91"/>
    <w:rsid w:val="008224B5"/>
    <w:rsid w:val="00824435"/>
    <w:rsid w:val="00827385"/>
    <w:rsid w:val="00832A24"/>
    <w:rsid w:val="00842151"/>
    <w:rsid w:val="008478E1"/>
    <w:rsid w:val="00856815"/>
    <w:rsid w:val="00864842"/>
    <w:rsid w:val="00866999"/>
    <w:rsid w:val="00884F09"/>
    <w:rsid w:val="008952B1"/>
    <w:rsid w:val="008A2A53"/>
    <w:rsid w:val="008A3E89"/>
    <w:rsid w:val="008C6850"/>
    <w:rsid w:val="008D0C1C"/>
    <w:rsid w:val="008D4F7C"/>
    <w:rsid w:val="008E609D"/>
    <w:rsid w:val="0090729E"/>
    <w:rsid w:val="009309C0"/>
    <w:rsid w:val="00931593"/>
    <w:rsid w:val="0093428C"/>
    <w:rsid w:val="0093667D"/>
    <w:rsid w:val="00940891"/>
    <w:rsid w:val="00973421"/>
    <w:rsid w:val="0097685B"/>
    <w:rsid w:val="009826CB"/>
    <w:rsid w:val="00983CB7"/>
    <w:rsid w:val="0099506C"/>
    <w:rsid w:val="009957B8"/>
    <w:rsid w:val="0099666C"/>
    <w:rsid w:val="00997895"/>
    <w:rsid w:val="009B4F6B"/>
    <w:rsid w:val="009C0564"/>
    <w:rsid w:val="009E4A98"/>
    <w:rsid w:val="009F1C42"/>
    <w:rsid w:val="009F7512"/>
    <w:rsid w:val="00A03D08"/>
    <w:rsid w:val="00A066D6"/>
    <w:rsid w:val="00A14650"/>
    <w:rsid w:val="00A2597D"/>
    <w:rsid w:val="00A32CEF"/>
    <w:rsid w:val="00A352D4"/>
    <w:rsid w:val="00A41BF6"/>
    <w:rsid w:val="00A554AB"/>
    <w:rsid w:val="00A66761"/>
    <w:rsid w:val="00A922C5"/>
    <w:rsid w:val="00A95CA5"/>
    <w:rsid w:val="00AB0136"/>
    <w:rsid w:val="00AC3880"/>
    <w:rsid w:val="00AD0284"/>
    <w:rsid w:val="00AE470F"/>
    <w:rsid w:val="00AF58DD"/>
    <w:rsid w:val="00B134A6"/>
    <w:rsid w:val="00B25A79"/>
    <w:rsid w:val="00B25A94"/>
    <w:rsid w:val="00B37BAB"/>
    <w:rsid w:val="00B7289F"/>
    <w:rsid w:val="00B779A4"/>
    <w:rsid w:val="00B977FA"/>
    <w:rsid w:val="00BA142A"/>
    <w:rsid w:val="00BA212E"/>
    <w:rsid w:val="00BA562F"/>
    <w:rsid w:val="00BB3674"/>
    <w:rsid w:val="00BC2692"/>
    <w:rsid w:val="00BC7BED"/>
    <w:rsid w:val="00BD6FFD"/>
    <w:rsid w:val="00BD75F7"/>
    <w:rsid w:val="00BF4A94"/>
    <w:rsid w:val="00C02FB6"/>
    <w:rsid w:val="00C107C7"/>
    <w:rsid w:val="00C12443"/>
    <w:rsid w:val="00C35442"/>
    <w:rsid w:val="00C36A73"/>
    <w:rsid w:val="00C41EBB"/>
    <w:rsid w:val="00C43388"/>
    <w:rsid w:val="00C60A62"/>
    <w:rsid w:val="00C8677E"/>
    <w:rsid w:val="00C87D50"/>
    <w:rsid w:val="00CB54FB"/>
    <w:rsid w:val="00CC769D"/>
    <w:rsid w:val="00CE181A"/>
    <w:rsid w:val="00CF0849"/>
    <w:rsid w:val="00D1562E"/>
    <w:rsid w:val="00D254D3"/>
    <w:rsid w:val="00D26E16"/>
    <w:rsid w:val="00D4050A"/>
    <w:rsid w:val="00D415D5"/>
    <w:rsid w:val="00D61F80"/>
    <w:rsid w:val="00D87042"/>
    <w:rsid w:val="00DB3B16"/>
    <w:rsid w:val="00DB55F0"/>
    <w:rsid w:val="00DD1941"/>
    <w:rsid w:val="00E035A0"/>
    <w:rsid w:val="00E04281"/>
    <w:rsid w:val="00E065AA"/>
    <w:rsid w:val="00E1143D"/>
    <w:rsid w:val="00E17E4B"/>
    <w:rsid w:val="00E20072"/>
    <w:rsid w:val="00E23D6E"/>
    <w:rsid w:val="00E27A95"/>
    <w:rsid w:val="00E53B0A"/>
    <w:rsid w:val="00E66C12"/>
    <w:rsid w:val="00E67B82"/>
    <w:rsid w:val="00E709E2"/>
    <w:rsid w:val="00E768C4"/>
    <w:rsid w:val="00E80BDA"/>
    <w:rsid w:val="00E872F3"/>
    <w:rsid w:val="00E91097"/>
    <w:rsid w:val="00EA195F"/>
    <w:rsid w:val="00EA1C10"/>
    <w:rsid w:val="00EA30BF"/>
    <w:rsid w:val="00EB474C"/>
    <w:rsid w:val="00EB52C5"/>
    <w:rsid w:val="00ED0A8C"/>
    <w:rsid w:val="00ED37CB"/>
    <w:rsid w:val="00EE279E"/>
    <w:rsid w:val="00F31057"/>
    <w:rsid w:val="00F36680"/>
    <w:rsid w:val="00F4160A"/>
    <w:rsid w:val="00F45323"/>
    <w:rsid w:val="00F54C3F"/>
    <w:rsid w:val="00F612AC"/>
    <w:rsid w:val="00F61D28"/>
    <w:rsid w:val="00F64D50"/>
    <w:rsid w:val="00F6551E"/>
    <w:rsid w:val="00F6572C"/>
    <w:rsid w:val="00F84DF0"/>
    <w:rsid w:val="00F85329"/>
    <w:rsid w:val="00F85A77"/>
    <w:rsid w:val="00F91D4D"/>
    <w:rsid w:val="00F96185"/>
    <w:rsid w:val="00FA6718"/>
    <w:rsid w:val="00FD1A79"/>
    <w:rsid w:val="00FD5F18"/>
    <w:rsid w:val="00FE1E65"/>
    <w:rsid w:val="00FE5705"/>
    <w:rsid w:val="00FF09B7"/>
    <w:rsid w:val="00FF177A"/>
    <w:rsid w:val="00FF5AA5"/>
    <w:rsid w:val="02717C9D"/>
    <w:rsid w:val="03995987"/>
    <w:rsid w:val="0C955D75"/>
    <w:rsid w:val="10FD0312"/>
    <w:rsid w:val="120E6874"/>
    <w:rsid w:val="1C1C224C"/>
    <w:rsid w:val="1E1A267F"/>
    <w:rsid w:val="21911E1D"/>
    <w:rsid w:val="270731DD"/>
    <w:rsid w:val="27DA57D7"/>
    <w:rsid w:val="28B659F0"/>
    <w:rsid w:val="357129F4"/>
    <w:rsid w:val="371050B8"/>
    <w:rsid w:val="45947F31"/>
    <w:rsid w:val="4DF1278B"/>
    <w:rsid w:val="52772F7A"/>
    <w:rsid w:val="60087B46"/>
    <w:rsid w:val="60E92273"/>
    <w:rsid w:val="629B4EDD"/>
    <w:rsid w:val="63057105"/>
    <w:rsid w:val="6C0B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5859</Words>
  <Characters>6253</Characters>
  <Lines>54</Lines>
  <Paragraphs>15</Paragraphs>
  <TotalTime>1</TotalTime>
  <ScaleCrop>false</ScaleCrop>
  <LinksUpToDate>false</LinksUpToDate>
  <CharactersWithSpaces>6284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2024-07-29T09:49:00Z</cp:lastPrinted>
  <dcterms:modified xsi:type="dcterms:W3CDTF">2024-11-20T01:29:28Z</dcterms:modified>
  <cp:revision>286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