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18BE7">
      <w:pPr>
        <w:spacing w:line="360" w:lineRule="auto"/>
        <w:jc w:val="center"/>
        <w:rPr>
          <w:rFonts w:ascii="Arial Narrow" w:hAnsi="Arial Narrow" w:eastAsiaTheme="minorEastAsia"/>
          <w:b/>
          <w:bCs/>
          <w:sz w:val="36"/>
          <w:szCs w:val="36"/>
        </w:rPr>
      </w:pPr>
    </w:p>
    <w:p w14:paraId="5200053D">
      <w:pPr>
        <w:spacing w:line="360" w:lineRule="auto"/>
        <w:jc w:val="center"/>
        <w:rPr>
          <w:rFonts w:ascii="Arial Narrow" w:hAnsi="Arial Narrow" w:eastAsiaTheme="minorEastAsia"/>
          <w:b/>
          <w:bCs/>
          <w:sz w:val="36"/>
          <w:szCs w:val="36"/>
        </w:rPr>
      </w:pPr>
    </w:p>
    <w:p w14:paraId="47156281">
      <w:pPr>
        <w:spacing w:line="360" w:lineRule="auto"/>
        <w:jc w:val="center"/>
        <w:rPr>
          <w:rFonts w:ascii="Arial Narrow" w:hAnsi="Arial Narrow" w:eastAsiaTheme="minorEastAsia"/>
          <w:b/>
          <w:bCs/>
          <w:sz w:val="36"/>
          <w:szCs w:val="36"/>
        </w:rPr>
      </w:pPr>
    </w:p>
    <w:p w14:paraId="020CBF94">
      <w:pPr>
        <w:spacing w:line="360" w:lineRule="auto"/>
        <w:jc w:val="center"/>
        <w:rPr>
          <w:rFonts w:ascii="Arial Narrow" w:hAnsi="Arial Narrow" w:eastAsiaTheme="minorEastAsia"/>
          <w:b/>
          <w:bCs/>
          <w:sz w:val="44"/>
          <w:szCs w:val="44"/>
        </w:rPr>
      </w:pPr>
    </w:p>
    <w:p w14:paraId="7A3C44CA">
      <w:pPr>
        <w:adjustRightInd w:val="0"/>
        <w:snapToGrid w:val="0"/>
        <w:spacing w:line="360" w:lineRule="auto"/>
        <w:jc w:val="center"/>
        <w:rPr>
          <w:rFonts w:ascii="Arial Narrow" w:hAnsi="Arial Narrow" w:eastAsiaTheme="minorEastAsia"/>
          <w:b/>
          <w:sz w:val="44"/>
          <w:szCs w:val="44"/>
        </w:rPr>
      </w:pPr>
      <w:r>
        <w:rPr>
          <w:rFonts w:ascii="Arial Narrow" w:hAnsi="Arial Narrow" w:eastAsiaTheme="minorEastAsia"/>
          <w:b/>
          <w:sz w:val="44"/>
          <w:szCs w:val="44"/>
        </w:rPr>
        <w:t>重庆市铜梁区旧县街道白果村枳壳基地设施建设</w:t>
      </w:r>
      <w:r>
        <w:rPr>
          <w:rFonts w:hint="eastAsia" w:ascii="Arial Narrow" w:hAnsi="Arial Narrow" w:eastAsiaTheme="minorEastAsia"/>
          <w:b/>
          <w:sz w:val="44"/>
          <w:szCs w:val="44"/>
          <w:lang w:val="en-US" w:eastAsia="zh-CN"/>
        </w:rPr>
        <w:t>等2个项目</w:t>
      </w:r>
      <w:r>
        <w:rPr>
          <w:rFonts w:ascii="Arial Narrow" w:hAnsi="Arial Narrow" w:eastAsiaTheme="minorEastAsia"/>
          <w:b/>
          <w:sz w:val="44"/>
          <w:szCs w:val="44"/>
        </w:rPr>
        <w:t>财政专项衔接资金</w:t>
      </w:r>
    </w:p>
    <w:p w14:paraId="4CC8E7EC">
      <w:pPr>
        <w:adjustRightInd w:val="0"/>
        <w:snapToGrid w:val="0"/>
        <w:spacing w:line="360" w:lineRule="auto"/>
        <w:jc w:val="center"/>
        <w:rPr>
          <w:rFonts w:ascii="Arial Narrow" w:hAnsi="Arial Narrow" w:eastAsiaTheme="minorEastAsia"/>
          <w:b/>
          <w:sz w:val="44"/>
          <w:szCs w:val="44"/>
        </w:rPr>
      </w:pPr>
    </w:p>
    <w:p w14:paraId="2B31777B">
      <w:pPr>
        <w:adjustRightInd w:val="0"/>
        <w:snapToGrid w:val="0"/>
        <w:spacing w:line="360" w:lineRule="auto"/>
        <w:jc w:val="center"/>
        <w:rPr>
          <w:rFonts w:ascii="Arial Narrow" w:hAnsi="Arial Narrow" w:eastAsiaTheme="minorEastAsia"/>
          <w:b/>
          <w:sz w:val="44"/>
          <w:szCs w:val="44"/>
        </w:rPr>
      </w:pPr>
    </w:p>
    <w:p w14:paraId="7926C61C">
      <w:pPr>
        <w:tabs>
          <w:tab w:val="center" w:pos="4393"/>
          <w:tab w:val="left" w:pos="7258"/>
        </w:tabs>
        <w:adjustRightInd w:val="0"/>
        <w:snapToGrid w:val="0"/>
        <w:spacing w:line="360" w:lineRule="auto"/>
        <w:jc w:val="center"/>
        <w:rPr>
          <w:rFonts w:ascii="Arial Narrow" w:hAnsi="Arial Narrow" w:eastAsiaTheme="minorEastAsia"/>
          <w:b/>
          <w:w w:val="102"/>
          <w:sz w:val="44"/>
          <w:szCs w:val="44"/>
        </w:rPr>
      </w:pPr>
      <w:r>
        <w:rPr>
          <w:rFonts w:ascii="Arial Narrow" w:hAnsi="Arial Narrow" w:eastAsiaTheme="minorEastAsia"/>
          <w:b/>
          <w:w w:val="102"/>
          <w:sz w:val="44"/>
          <w:szCs w:val="44"/>
        </w:rPr>
        <w:t>绩效评价</w:t>
      </w:r>
      <w:bookmarkStart w:id="0" w:name="_Toc488637980"/>
      <w:bookmarkStart w:id="1" w:name="_Toc488804777"/>
      <w:r>
        <w:rPr>
          <w:rFonts w:ascii="Arial Narrow" w:hAnsi="Arial Narrow" w:eastAsiaTheme="minorEastAsia"/>
          <w:b/>
          <w:w w:val="102"/>
          <w:sz w:val="44"/>
          <w:szCs w:val="44"/>
        </w:rPr>
        <w:t>报告</w:t>
      </w:r>
    </w:p>
    <w:p w14:paraId="684380B8">
      <w:pPr>
        <w:spacing w:line="360" w:lineRule="auto"/>
        <w:jc w:val="center"/>
        <w:rPr>
          <w:rFonts w:ascii="Arial Narrow" w:hAnsi="Arial Narrow" w:eastAsiaTheme="minorEastAsia"/>
          <w:bCs/>
          <w:sz w:val="32"/>
          <w:szCs w:val="32"/>
        </w:rPr>
      </w:pPr>
      <w:r>
        <w:rPr>
          <w:rFonts w:ascii="Arial Narrow" w:hAnsi="Arial Narrow" w:eastAsiaTheme="minorEastAsia"/>
          <w:bCs/>
          <w:sz w:val="32"/>
          <w:szCs w:val="32"/>
        </w:rPr>
        <w:t>铭鸿咨字【2024】第0038号</w:t>
      </w:r>
    </w:p>
    <w:p w14:paraId="5275627E">
      <w:pPr>
        <w:adjustRightInd w:val="0"/>
        <w:snapToGrid w:val="0"/>
        <w:spacing w:line="360" w:lineRule="auto"/>
        <w:jc w:val="center"/>
        <w:rPr>
          <w:rFonts w:ascii="Arial Narrow" w:hAnsi="Arial Narrow" w:eastAsiaTheme="minorEastAsia"/>
          <w:b/>
          <w:spacing w:val="100"/>
          <w:sz w:val="32"/>
          <w:szCs w:val="32"/>
        </w:rPr>
      </w:pPr>
    </w:p>
    <w:p w14:paraId="23B02A58">
      <w:pPr>
        <w:adjustRightInd w:val="0"/>
        <w:snapToGrid w:val="0"/>
        <w:spacing w:line="360" w:lineRule="auto"/>
        <w:jc w:val="center"/>
        <w:rPr>
          <w:rFonts w:ascii="Arial Narrow" w:hAnsi="Arial Narrow" w:eastAsiaTheme="minorEastAsia"/>
          <w:b/>
          <w:spacing w:val="100"/>
          <w:sz w:val="32"/>
          <w:szCs w:val="32"/>
        </w:rPr>
      </w:pPr>
    </w:p>
    <w:p w14:paraId="1DE76A67">
      <w:pPr>
        <w:adjustRightInd w:val="0"/>
        <w:snapToGrid w:val="0"/>
        <w:spacing w:line="360" w:lineRule="auto"/>
        <w:jc w:val="center"/>
        <w:rPr>
          <w:rFonts w:ascii="Arial Narrow" w:hAnsi="Arial Narrow" w:eastAsiaTheme="minorEastAsia"/>
          <w:b/>
          <w:spacing w:val="100"/>
          <w:sz w:val="32"/>
          <w:szCs w:val="32"/>
        </w:rPr>
      </w:pPr>
    </w:p>
    <w:p w14:paraId="221E1471">
      <w:pPr>
        <w:adjustRightInd w:val="0"/>
        <w:snapToGrid w:val="0"/>
        <w:spacing w:line="360" w:lineRule="auto"/>
        <w:jc w:val="center"/>
        <w:rPr>
          <w:rFonts w:ascii="Arial Narrow" w:hAnsi="Arial Narrow" w:eastAsiaTheme="minorEastAsia"/>
          <w:b/>
          <w:spacing w:val="100"/>
          <w:sz w:val="32"/>
          <w:szCs w:val="32"/>
        </w:rPr>
      </w:pPr>
    </w:p>
    <w:p w14:paraId="583A68C9">
      <w:pPr>
        <w:adjustRightInd w:val="0"/>
        <w:snapToGrid w:val="0"/>
        <w:spacing w:line="360" w:lineRule="auto"/>
        <w:jc w:val="center"/>
        <w:rPr>
          <w:rFonts w:ascii="Arial Narrow" w:hAnsi="Arial Narrow" w:eastAsiaTheme="minorEastAsia"/>
          <w:b/>
          <w:spacing w:val="100"/>
          <w:sz w:val="32"/>
          <w:szCs w:val="32"/>
        </w:rPr>
      </w:pPr>
    </w:p>
    <w:p w14:paraId="271E70FB">
      <w:pPr>
        <w:adjustRightInd w:val="0"/>
        <w:snapToGrid w:val="0"/>
        <w:spacing w:line="360" w:lineRule="auto"/>
        <w:jc w:val="center"/>
        <w:rPr>
          <w:rFonts w:ascii="Arial Narrow" w:hAnsi="Arial Narrow" w:eastAsiaTheme="minorEastAsia"/>
          <w:b/>
          <w:spacing w:val="100"/>
          <w:sz w:val="32"/>
          <w:szCs w:val="32"/>
        </w:rPr>
      </w:pPr>
    </w:p>
    <w:p w14:paraId="19178F46">
      <w:pPr>
        <w:adjustRightInd w:val="0"/>
        <w:snapToGrid w:val="0"/>
        <w:spacing w:line="360" w:lineRule="auto"/>
        <w:jc w:val="center"/>
        <w:rPr>
          <w:rFonts w:ascii="Arial Narrow" w:hAnsi="Arial Narrow" w:eastAsiaTheme="minorEastAsia"/>
          <w:b/>
          <w:spacing w:val="100"/>
          <w:sz w:val="32"/>
          <w:szCs w:val="32"/>
        </w:rPr>
      </w:pPr>
    </w:p>
    <w:p w14:paraId="23E142FA">
      <w:pPr>
        <w:adjustRightInd w:val="0"/>
        <w:snapToGrid w:val="0"/>
        <w:spacing w:line="360" w:lineRule="auto"/>
        <w:jc w:val="center"/>
        <w:rPr>
          <w:rFonts w:ascii="Arial Narrow" w:hAnsi="Arial Narrow" w:eastAsiaTheme="minorEastAsia"/>
          <w:b/>
          <w:spacing w:val="100"/>
          <w:sz w:val="32"/>
          <w:szCs w:val="32"/>
        </w:rPr>
      </w:pPr>
    </w:p>
    <w:p w14:paraId="2E69318F">
      <w:pPr>
        <w:adjustRightInd w:val="0"/>
        <w:snapToGrid w:val="0"/>
        <w:spacing w:line="360" w:lineRule="auto"/>
        <w:jc w:val="center"/>
        <w:rPr>
          <w:rFonts w:ascii="Arial Narrow" w:hAnsi="Arial Narrow" w:eastAsiaTheme="minorEastAsia"/>
          <w:b/>
          <w:spacing w:val="100"/>
          <w:sz w:val="32"/>
          <w:szCs w:val="32"/>
        </w:rPr>
      </w:pPr>
    </w:p>
    <w:p w14:paraId="3DED9215">
      <w:pPr>
        <w:adjustRightInd w:val="0"/>
        <w:snapToGrid w:val="0"/>
        <w:spacing w:line="360" w:lineRule="auto"/>
        <w:jc w:val="center"/>
        <w:rPr>
          <w:rFonts w:ascii="Arial Narrow" w:hAnsi="Arial Narrow" w:eastAsiaTheme="minorEastAsia"/>
          <w:b/>
          <w:spacing w:val="100"/>
          <w:sz w:val="32"/>
          <w:szCs w:val="32"/>
        </w:rPr>
      </w:pPr>
    </w:p>
    <w:p w14:paraId="7C10322D">
      <w:pPr>
        <w:spacing w:line="360" w:lineRule="auto"/>
        <w:jc w:val="center"/>
        <w:rPr>
          <w:rFonts w:ascii="Arial Narrow" w:hAnsi="Arial Narrow" w:eastAsiaTheme="minorEastAsia"/>
          <w:sz w:val="32"/>
          <w:szCs w:val="32"/>
        </w:rPr>
      </w:pPr>
      <w:r>
        <w:rPr>
          <w:rFonts w:ascii="Arial Narrow" w:hAnsi="Arial Narrow" w:eastAsiaTheme="minorEastAsia"/>
          <w:sz w:val="32"/>
          <w:szCs w:val="32"/>
        </w:rPr>
        <w:t>重庆铭鸿金全会计师事务所有限</w:t>
      </w:r>
      <w:r>
        <w:rPr>
          <w:rFonts w:hint="eastAsia" w:ascii="Arial Narrow" w:hAnsi="Arial Narrow" w:eastAsiaTheme="minorEastAsia"/>
          <w:sz w:val="32"/>
          <w:szCs w:val="32"/>
        </w:rPr>
        <w:t>责任</w:t>
      </w:r>
      <w:r>
        <w:rPr>
          <w:rFonts w:ascii="Arial Narrow" w:hAnsi="Arial Narrow" w:eastAsiaTheme="minorEastAsia"/>
          <w:sz w:val="32"/>
          <w:szCs w:val="32"/>
        </w:rPr>
        <w:t>公司</w:t>
      </w:r>
    </w:p>
    <w:p w14:paraId="6EA4F0C2">
      <w:pPr>
        <w:spacing w:line="360" w:lineRule="auto"/>
        <w:jc w:val="center"/>
        <w:rPr>
          <w:rFonts w:ascii="Arial Narrow" w:hAnsi="Arial Narrow" w:eastAsiaTheme="minorEastAsia"/>
          <w:sz w:val="32"/>
          <w:szCs w:val="32"/>
        </w:rPr>
      </w:pPr>
      <w:r>
        <w:rPr>
          <w:rFonts w:ascii="Arial Narrow" w:hAnsi="Arial Narrow" w:eastAsiaTheme="minorEastAsia"/>
          <w:sz w:val="32"/>
          <w:szCs w:val="32"/>
        </w:rPr>
        <w:t>二</w:t>
      </w:r>
      <w:r>
        <w:rPr>
          <w:rFonts w:hint="eastAsia" w:ascii="Arial Narrow" w:hAnsi="Arial Narrow" w:eastAsiaTheme="minorEastAsia"/>
          <w:sz w:val="32"/>
          <w:szCs w:val="32"/>
          <w:lang w:val="en-US" w:eastAsia="zh-CN"/>
        </w:rPr>
        <w:t>〇</w:t>
      </w:r>
      <w:r>
        <w:rPr>
          <w:rFonts w:ascii="Arial Narrow" w:hAnsi="Arial Narrow" w:eastAsiaTheme="minorEastAsia"/>
          <w:sz w:val="32"/>
          <w:szCs w:val="32"/>
        </w:rPr>
        <w:t>二</w:t>
      </w:r>
      <w:r>
        <w:rPr>
          <w:rFonts w:hint="eastAsia" w:ascii="Arial Narrow" w:hAnsi="Arial Narrow" w:eastAsiaTheme="minorEastAsia"/>
          <w:sz w:val="32"/>
          <w:szCs w:val="32"/>
          <w:lang w:eastAsia="zh-CN"/>
        </w:rPr>
        <w:t>四</w:t>
      </w:r>
      <w:r>
        <w:rPr>
          <w:rFonts w:ascii="Arial Narrow" w:hAnsi="Arial Narrow" w:eastAsiaTheme="minorEastAsia"/>
          <w:sz w:val="32"/>
          <w:szCs w:val="32"/>
        </w:rPr>
        <w:t>年六月</w:t>
      </w:r>
    </w:p>
    <w:p w14:paraId="4C3BA3CF">
      <w:pPr>
        <w:spacing w:line="360" w:lineRule="auto"/>
        <w:jc w:val="center"/>
        <w:rPr>
          <w:rFonts w:ascii="Arial Narrow" w:hAnsi="Arial Narrow" w:eastAsiaTheme="minorEastAsia"/>
          <w:sz w:val="44"/>
          <w:szCs w:val="44"/>
        </w:rPr>
      </w:pPr>
      <w:r>
        <w:rPr>
          <w:rFonts w:ascii="Arial Narrow" w:hAnsi="Arial Narrow" w:eastAsiaTheme="minorEastAsia"/>
          <w:b/>
          <w:spacing w:val="100"/>
          <w:sz w:val="52"/>
          <w:szCs w:val="52"/>
        </w:rPr>
        <w:br w:type="page"/>
      </w:r>
      <w:bookmarkEnd w:id="0"/>
      <w:bookmarkEnd w:id="1"/>
      <w:r>
        <w:rPr>
          <w:rFonts w:ascii="Arial Narrow" w:hAnsi="Arial Narrow" w:eastAsiaTheme="minorEastAsia"/>
          <w:sz w:val="44"/>
          <w:szCs w:val="44"/>
        </w:rPr>
        <w:t>目   录</w:t>
      </w:r>
    </w:p>
    <w:p w14:paraId="6147637C">
      <w:pPr>
        <w:spacing w:line="360" w:lineRule="auto"/>
        <w:jc w:val="center"/>
        <w:rPr>
          <w:rFonts w:ascii="Arial Narrow" w:hAnsi="Arial Narrow" w:eastAsiaTheme="minorEastAsia"/>
          <w:sz w:val="24"/>
        </w:rPr>
      </w:pPr>
    </w:p>
    <w:p w14:paraId="32D132D4">
      <w:pPr>
        <w:pStyle w:val="7"/>
        <w:rPr>
          <w:rFonts w:asciiTheme="minorHAnsi" w:hAnsiTheme="minorHAnsi" w:eastAsiaTheme="minorEastAsia" w:cstheme="minorBidi"/>
          <w:b w:val="0"/>
          <w:bCs w:val="0"/>
          <w:szCs w:val="22"/>
          <w14:ligatures w14:val="standardContextual"/>
        </w:rPr>
      </w:pPr>
      <w:r>
        <w:rPr>
          <w:rStyle w:val="11"/>
          <w:rFonts w:eastAsiaTheme="minorEastAsia"/>
          <w:b w:val="0"/>
          <w:bCs w:val="0"/>
          <w:color w:val="auto"/>
          <w:szCs w:val="21"/>
          <w:u w:val="none"/>
        </w:rPr>
        <w:fldChar w:fldCharType="begin"/>
      </w:r>
      <w:r>
        <w:rPr>
          <w:rStyle w:val="11"/>
          <w:rFonts w:eastAsiaTheme="minorEastAsia"/>
          <w:b w:val="0"/>
          <w:bCs w:val="0"/>
          <w:color w:val="auto"/>
          <w:szCs w:val="21"/>
          <w:u w:val="none"/>
        </w:rPr>
        <w:instrText xml:space="preserve"> TOC \o "1-3" \h \z \u </w:instrText>
      </w:r>
      <w:r>
        <w:rPr>
          <w:rStyle w:val="11"/>
          <w:rFonts w:eastAsiaTheme="minorEastAsia"/>
          <w:b w:val="0"/>
          <w:bCs w:val="0"/>
          <w:color w:val="auto"/>
          <w:szCs w:val="21"/>
          <w:u w:val="none"/>
        </w:rPr>
        <w:fldChar w:fldCharType="separate"/>
      </w:r>
      <w:r>
        <w:fldChar w:fldCharType="begin"/>
      </w:r>
      <w:r>
        <w:instrText xml:space="preserve"> HYPERLINK \l "_Toc171671724" </w:instrText>
      </w:r>
      <w:r>
        <w:fldChar w:fldCharType="separate"/>
      </w:r>
      <w:r>
        <w:rPr>
          <w:rStyle w:val="11"/>
        </w:rPr>
        <w:t>一、基本情况</w:t>
      </w:r>
      <w:r>
        <w:tab/>
      </w:r>
      <w:r>
        <w:fldChar w:fldCharType="begin"/>
      </w:r>
      <w:r>
        <w:instrText xml:space="preserve"> PAGEREF _Toc171671724 \h </w:instrText>
      </w:r>
      <w:r>
        <w:fldChar w:fldCharType="separate"/>
      </w:r>
      <w:r>
        <w:t>1</w:t>
      </w:r>
      <w:r>
        <w:fldChar w:fldCharType="end"/>
      </w:r>
      <w:r>
        <w:fldChar w:fldCharType="end"/>
      </w:r>
    </w:p>
    <w:p w14:paraId="05028D86">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"_Toc171671725" </w:instrText>
      </w:r>
      <w:r>
        <w:fldChar w:fldCharType="separate"/>
      </w:r>
      <w:r>
        <w:rPr>
          <w:rStyle w:val="11"/>
          <w:rFonts w:cs="宋体"/>
          <w:kern w:val="0"/>
        </w:rPr>
        <w:t>（一）项目情况</w:t>
      </w:r>
      <w:r>
        <w:tab/>
      </w:r>
      <w:r>
        <w:fldChar w:fldCharType="begin"/>
      </w:r>
      <w:r>
        <w:instrText xml:space="preserve"> PAGEREF _Toc171671725 \h </w:instrText>
      </w:r>
      <w:r>
        <w:fldChar w:fldCharType="separate"/>
      </w:r>
      <w:r>
        <w:t>1</w:t>
      </w:r>
      <w:r>
        <w:fldChar w:fldCharType="end"/>
      </w:r>
      <w:r>
        <w:fldChar w:fldCharType="end"/>
      </w:r>
    </w:p>
    <w:p w14:paraId="30387F74">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"_Toc171671726" </w:instrText>
      </w:r>
      <w:r>
        <w:fldChar w:fldCharType="separate"/>
      </w:r>
      <w:r>
        <w:rPr>
          <w:rStyle w:val="11"/>
        </w:rPr>
        <w:t>二、绩效评价工作情况</w:t>
      </w:r>
      <w:r>
        <w:tab/>
      </w:r>
      <w:r>
        <w:fldChar w:fldCharType="begin"/>
      </w:r>
      <w:r>
        <w:instrText xml:space="preserve"> PAGEREF _Toc171671726 \h </w:instrText>
      </w:r>
      <w:r>
        <w:fldChar w:fldCharType="separate"/>
      </w:r>
      <w:r>
        <w:t>2</w:t>
      </w:r>
      <w:r>
        <w:fldChar w:fldCharType="end"/>
      </w:r>
      <w:r>
        <w:fldChar w:fldCharType="end"/>
      </w:r>
    </w:p>
    <w:p w14:paraId="546FA72D">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"_Toc171671727" </w:instrText>
      </w:r>
      <w:r>
        <w:fldChar w:fldCharType="separate"/>
      </w:r>
      <w:r>
        <w:rPr>
          <w:rStyle w:val="11"/>
        </w:rPr>
        <w:t>（一）绩效评价目的</w:t>
      </w:r>
      <w:r>
        <w:tab/>
      </w:r>
      <w:r>
        <w:fldChar w:fldCharType="begin"/>
      </w:r>
      <w:r>
        <w:instrText xml:space="preserve"> PAGEREF _Toc171671727 \h </w:instrText>
      </w:r>
      <w:r>
        <w:fldChar w:fldCharType="separate"/>
      </w:r>
      <w:r>
        <w:t>2</w:t>
      </w:r>
      <w:r>
        <w:fldChar w:fldCharType="end"/>
      </w:r>
      <w:r>
        <w:fldChar w:fldCharType="end"/>
      </w:r>
    </w:p>
    <w:p w14:paraId="755D5DEA">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"_Toc171671728" </w:instrText>
      </w:r>
      <w:r>
        <w:fldChar w:fldCharType="separate"/>
      </w:r>
      <w:r>
        <w:rPr>
          <w:rStyle w:val="11"/>
        </w:rPr>
        <w:t>（二）绩效评价的基本内容</w:t>
      </w:r>
      <w:r>
        <w:tab/>
      </w:r>
      <w:r>
        <w:fldChar w:fldCharType="begin"/>
      </w:r>
      <w:r>
        <w:instrText xml:space="preserve"> PAGEREF _Toc171671728 \h </w:instrText>
      </w:r>
      <w:r>
        <w:fldChar w:fldCharType="separate"/>
      </w:r>
      <w:r>
        <w:t>2</w:t>
      </w:r>
      <w:r>
        <w:fldChar w:fldCharType="end"/>
      </w:r>
      <w:r>
        <w:fldChar w:fldCharType="end"/>
      </w:r>
    </w:p>
    <w:p w14:paraId="3F5758D2">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"_Toc171671729" </w:instrText>
      </w:r>
      <w:r>
        <w:fldChar w:fldCharType="separate"/>
      </w:r>
      <w:r>
        <w:rPr>
          <w:rStyle w:val="11"/>
        </w:rPr>
        <w:t>（三）绩效评价依据</w:t>
      </w:r>
      <w:r>
        <w:tab/>
      </w:r>
      <w:r>
        <w:fldChar w:fldCharType="begin"/>
      </w:r>
      <w:r>
        <w:instrText xml:space="preserve"> PAGEREF _Toc171671729 \h </w:instrText>
      </w:r>
      <w:r>
        <w:fldChar w:fldCharType="separate"/>
      </w:r>
      <w:r>
        <w:t>2</w:t>
      </w:r>
      <w:r>
        <w:fldChar w:fldCharType="end"/>
      </w:r>
      <w:r>
        <w:fldChar w:fldCharType="end"/>
      </w:r>
    </w:p>
    <w:p w14:paraId="0807E212">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"_Toc171671730" </w:instrText>
      </w:r>
      <w:r>
        <w:fldChar w:fldCharType="separate"/>
      </w:r>
      <w:r>
        <w:rPr>
          <w:rStyle w:val="11"/>
        </w:rPr>
        <w:t>（四）绩效评价原则和指标体系</w:t>
      </w:r>
      <w:r>
        <w:tab/>
      </w:r>
      <w:r>
        <w:fldChar w:fldCharType="begin"/>
      </w:r>
      <w:r>
        <w:instrText xml:space="preserve"> PAGEREF _Toc171671730 \h </w:instrText>
      </w:r>
      <w:r>
        <w:fldChar w:fldCharType="separate"/>
      </w:r>
      <w:r>
        <w:t>3</w:t>
      </w:r>
      <w:r>
        <w:fldChar w:fldCharType="end"/>
      </w:r>
      <w:r>
        <w:fldChar w:fldCharType="end"/>
      </w:r>
    </w:p>
    <w:p w14:paraId="7D6B9C47">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"_Toc171671731" </w:instrText>
      </w:r>
      <w:r>
        <w:fldChar w:fldCharType="separate"/>
      </w:r>
      <w:r>
        <w:rPr>
          <w:rStyle w:val="11"/>
        </w:rPr>
        <w:t>（五）绩效评价标准和评价方法</w:t>
      </w:r>
      <w:r>
        <w:tab/>
      </w:r>
      <w:r>
        <w:fldChar w:fldCharType="begin"/>
      </w:r>
      <w:r>
        <w:instrText xml:space="preserve"> PAGEREF _Toc171671731 \h </w:instrText>
      </w:r>
      <w:r>
        <w:fldChar w:fldCharType="separate"/>
      </w:r>
      <w:r>
        <w:t>5</w:t>
      </w:r>
      <w:r>
        <w:fldChar w:fldCharType="end"/>
      </w:r>
      <w:r>
        <w:fldChar w:fldCharType="end"/>
      </w:r>
    </w:p>
    <w:p w14:paraId="11DF8060">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"_Toc171671732" </w:instrText>
      </w:r>
      <w:r>
        <w:fldChar w:fldCharType="separate"/>
      </w:r>
      <w:r>
        <w:rPr>
          <w:rStyle w:val="11"/>
        </w:rPr>
        <w:t>（六）绩效评价工作过程</w:t>
      </w:r>
      <w:r>
        <w:tab/>
      </w:r>
      <w:r>
        <w:fldChar w:fldCharType="begin"/>
      </w:r>
      <w:r>
        <w:instrText xml:space="preserve"> PAGEREF _Toc171671732 \h </w:instrText>
      </w:r>
      <w:r>
        <w:fldChar w:fldCharType="separate"/>
      </w:r>
      <w:r>
        <w:t>6</w:t>
      </w:r>
      <w:r>
        <w:fldChar w:fldCharType="end"/>
      </w:r>
      <w:r>
        <w:fldChar w:fldCharType="end"/>
      </w:r>
    </w:p>
    <w:p w14:paraId="2D22BE4A">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"_Toc171671733" </w:instrText>
      </w:r>
      <w:r>
        <w:fldChar w:fldCharType="separate"/>
      </w:r>
      <w:r>
        <w:rPr>
          <w:rStyle w:val="11"/>
        </w:rPr>
        <w:t>三、项目评价结论</w:t>
      </w:r>
      <w:r>
        <w:tab/>
      </w:r>
      <w:r>
        <w:fldChar w:fldCharType="begin"/>
      </w:r>
      <w:r>
        <w:instrText xml:space="preserve"> PAGEREF _Toc171671733 \h </w:instrText>
      </w:r>
      <w:r>
        <w:fldChar w:fldCharType="separate"/>
      </w:r>
      <w:r>
        <w:t>6</w:t>
      </w:r>
      <w:r>
        <w:fldChar w:fldCharType="end"/>
      </w:r>
      <w:r>
        <w:fldChar w:fldCharType="end"/>
      </w:r>
    </w:p>
    <w:p w14:paraId="4403DE0A">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"_Toc171671734" </w:instrText>
      </w:r>
      <w:r>
        <w:fldChar w:fldCharType="separate"/>
      </w:r>
      <w:r>
        <w:rPr>
          <w:rStyle w:val="11"/>
        </w:rPr>
        <w:t>四、综合评价情况</w:t>
      </w:r>
      <w:r>
        <w:tab/>
      </w:r>
      <w:r>
        <w:fldChar w:fldCharType="begin"/>
      </w:r>
      <w:r>
        <w:instrText xml:space="preserve"> PAGEREF _Toc171671734 \h </w:instrText>
      </w:r>
      <w:r>
        <w:fldChar w:fldCharType="separate"/>
      </w:r>
      <w:r>
        <w:t>6</w:t>
      </w:r>
      <w:r>
        <w:fldChar w:fldCharType="end"/>
      </w:r>
      <w:r>
        <w:fldChar w:fldCharType="end"/>
      </w:r>
    </w:p>
    <w:p w14:paraId="740E846B">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"_Toc171671735" </w:instrText>
      </w:r>
      <w:r>
        <w:fldChar w:fldCharType="separate"/>
      </w:r>
      <w:r>
        <w:rPr>
          <w:rStyle w:val="11"/>
        </w:rPr>
        <w:t>（一）资金管理</w:t>
      </w:r>
      <w:r>
        <w:tab/>
      </w:r>
      <w:r>
        <w:fldChar w:fldCharType="begin"/>
      </w:r>
      <w:r>
        <w:instrText xml:space="preserve"> PAGEREF _Toc171671735 \h </w:instrText>
      </w:r>
      <w:r>
        <w:fldChar w:fldCharType="separate"/>
      </w:r>
      <w:r>
        <w:t>6</w:t>
      </w:r>
      <w:r>
        <w:fldChar w:fldCharType="end"/>
      </w:r>
      <w:r>
        <w:fldChar w:fldCharType="end"/>
      </w:r>
    </w:p>
    <w:p w14:paraId="65B179A9">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"_Toc171671736" </w:instrText>
      </w:r>
      <w:r>
        <w:fldChar w:fldCharType="separate"/>
      </w:r>
      <w:r>
        <w:rPr>
          <w:rStyle w:val="11"/>
        </w:rPr>
        <w:t>（二）项目管理</w:t>
      </w:r>
      <w:r>
        <w:tab/>
      </w:r>
      <w:r>
        <w:fldChar w:fldCharType="begin"/>
      </w:r>
      <w:r>
        <w:instrText xml:space="preserve"> PAGEREF _Toc171671736 \h </w:instrText>
      </w:r>
      <w:r>
        <w:fldChar w:fldCharType="separate"/>
      </w:r>
      <w:r>
        <w:t>6</w:t>
      </w:r>
      <w:r>
        <w:fldChar w:fldCharType="end"/>
      </w:r>
      <w:r>
        <w:fldChar w:fldCharType="end"/>
      </w:r>
    </w:p>
    <w:p w14:paraId="19B28AE3">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"_Toc171671737" </w:instrText>
      </w:r>
      <w:r>
        <w:fldChar w:fldCharType="separate"/>
      </w:r>
      <w:r>
        <w:rPr>
          <w:rStyle w:val="11"/>
        </w:rPr>
        <w:t>（三）使用成效及通报情况</w:t>
      </w:r>
      <w:r>
        <w:tab/>
      </w:r>
      <w:r>
        <w:fldChar w:fldCharType="begin"/>
      </w:r>
      <w:r>
        <w:instrText xml:space="preserve"> PAGEREF _Toc171671737 \h </w:instrText>
      </w:r>
      <w:r>
        <w:fldChar w:fldCharType="separate"/>
      </w:r>
      <w:r>
        <w:t>7</w:t>
      </w:r>
      <w:r>
        <w:fldChar w:fldCharType="end"/>
      </w:r>
      <w:r>
        <w:fldChar w:fldCharType="end"/>
      </w:r>
    </w:p>
    <w:p w14:paraId="7E42793C">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"_Toc171671738" </w:instrText>
      </w:r>
      <w:r>
        <w:fldChar w:fldCharType="separate"/>
      </w:r>
      <w:r>
        <w:rPr>
          <w:rStyle w:val="11"/>
        </w:rPr>
        <w:t>五、存在的问题和建议</w:t>
      </w:r>
      <w:r>
        <w:tab/>
      </w:r>
      <w:r>
        <w:fldChar w:fldCharType="begin"/>
      </w:r>
      <w:r>
        <w:instrText xml:space="preserve"> PAGEREF _Toc171671738 \h </w:instrText>
      </w:r>
      <w:r>
        <w:fldChar w:fldCharType="separate"/>
      </w:r>
      <w:r>
        <w:t>7</w:t>
      </w:r>
      <w:r>
        <w:fldChar w:fldCharType="end"/>
      </w:r>
      <w:r>
        <w:fldChar w:fldCharType="end"/>
      </w:r>
    </w:p>
    <w:p w14:paraId="2C05E1B3">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"_Toc171671739" </w:instrText>
      </w:r>
      <w:r>
        <w:fldChar w:fldCharType="separate"/>
      </w:r>
      <w:r>
        <w:rPr>
          <w:rStyle w:val="11"/>
        </w:rPr>
        <w:t>（一）存在问题</w:t>
      </w:r>
      <w:r>
        <w:tab/>
      </w:r>
      <w:r>
        <w:fldChar w:fldCharType="begin"/>
      </w:r>
      <w:r>
        <w:instrText xml:space="preserve"> PAGEREF _Toc171671739 \h </w:instrText>
      </w:r>
      <w:r>
        <w:fldChar w:fldCharType="separate"/>
      </w:r>
      <w:r>
        <w:t>8</w:t>
      </w:r>
      <w:r>
        <w:fldChar w:fldCharType="end"/>
      </w:r>
      <w:r>
        <w:fldChar w:fldCharType="end"/>
      </w:r>
    </w:p>
    <w:p w14:paraId="1FB9D8C9">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"_Toc171671740" </w:instrText>
      </w:r>
      <w:r>
        <w:fldChar w:fldCharType="separate"/>
      </w:r>
      <w:r>
        <w:rPr>
          <w:rStyle w:val="11"/>
        </w:rPr>
        <w:t>（二）建议</w:t>
      </w:r>
      <w:r>
        <w:tab/>
      </w:r>
      <w:r>
        <w:fldChar w:fldCharType="begin"/>
      </w:r>
      <w:r>
        <w:instrText xml:space="preserve"> PAGEREF _Toc171671740 \h </w:instrText>
      </w:r>
      <w:r>
        <w:fldChar w:fldCharType="separate"/>
      </w:r>
      <w:r>
        <w:t>8</w:t>
      </w:r>
      <w:r>
        <w:fldChar w:fldCharType="end"/>
      </w:r>
      <w:r>
        <w:fldChar w:fldCharType="end"/>
      </w:r>
    </w:p>
    <w:p w14:paraId="6AF3271F">
      <w:pPr>
        <w:pStyle w:val="13"/>
        <w:spacing w:line="460" w:lineRule="exact"/>
        <w:rPr>
          <w:rFonts w:ascii="Arial Narrow" w:hAnsi="Arial Narrow" w:eastAsiaTheme="minorEastAsia"/>
          <w:bCs/>
          <w:w w:val="80"/>
        </w:rPr>
        <w:sectPr>
          <w:footerReference r:id="rId3" w:type="default"/>
          <w:pgSz w:w="11907" w:h="16840"/>
          <w:pgMar w:top="1418" w:right="1418" w:bottom="1134" w:left="1701" w:header="851" w:footer="851" w:gutter="0"/>
          <w:pgNumType w:start="1"/>
          <w:cols w:space="425" w:num="1"/>
          <w:docGrid w:linePitch="312" w:charSpace="0"/>
        </w:sectPr>
      </w:pPr>
      <w:r>
        <w:rPr>
          <w:rStyle w:val="11"/>
          <w:rFonts w:ascii="Arial Narrow" w:hAnsi="Arial Narrow" w:eastAsiaTheme="minorEastAsia"/>
          <w:color w:val="auto"/>
          <w:sz w:val="21"/>
          <w:szCs w:val="21"/>
          <w:u w:val="none"/>
        </w:rPr>
        <w:fldChar w:fldCharType="end"/>
      </w:r>
    </w:p>
    <w:p w14:paraId="2FF746D6">
      <w:pPr>
        <w:spacing w:line="360" w:lineRule="auto"/>
        <w:jc w:val="right"/>
        <w:rPr>
          <w:rFonts w:ascii="Arial Narrow" w:hAnsi="Arial Narrow" w:eastAsiaTheme="minorEastAsia"/>
          <w:bCs/>
          <w:w w:val="80"/>
          <w:sz w:val="28"/>
          <w:szCs w:val="28"/>
        </w:rPr>
      </w:pPr>
    </w:p>
    <w:p w14:paraId="616184F1">
      <w:pPr>
        <w:spacing w:line="360" w:lineRule="auto"/>
        <w:jc w:val="right"/>
        <w:rPr>
          <w:rFonts w:ascii="Arial Narrow" w:hAnsi="Arial Narrow" w:eastAsiaTheme="minorEastAsia"/>
          <w:bCs/>
          <w:w w:val="80"/>
          <w:sz w:val="28"/>
          <w:szCs w:val="28"/>
        </w:rPr>
      </w:pPr>
    </w:p>
    <w:p w14:paraId="57AB40D1">
      <w:pPr>
        <w:widowControl/>
        <w:jc w:val="distribute"/>
        <w:rPr>
          <w:rFonts w:ascii="Arial Narrow" w:hAnsi="Arial Narrow" w:cs="楷体" w:eastAsiaTheme="minorEastAsia"/>
          <w:bCs/>
          <w:kern w:val="0"/>
          <w:sz w:val="28"/>
          <w:szCs w:val="28"/>
        </w:rPr>
      </w:pPr>
      <w:r>
        <w:rPr>
          <w:rFonts w:ascii="Arial Narrow" w:hAnsi="Arial Narrow" w:cs="楷体" w:eastAsiaTheme="minorEastAsia"/>
          <w:b/>
          <w:kern w:val="0"/>
          <w:sz w:val="72"/>
          <w:szCs w:val="72"/>
        </w:rPr>
        <w:t>重庆铭鸿金全会计师事务所</w:t>
      </w:r>
    </w:p>
    <w:p w14:paraId="44970040">
      <w:pPr>
        <w:widowControl/>
        <w:spacing w:line="360" w:lineRule="auto"/>
        <w:ind w:right="-2"/>
        <w:jc w:val="distribute"/>
        <w:rPr>
          <w:rFonts w:ascii="Arial Narrow" w:hAnsi="Arial Narrow" w:eastAsiaTheme="minorEastAsia"/>
          <w:kern w:val="0"/>
          <w:sz w:val="28"/>
          <w:szCs w:val="28"/>
          <w:lang w:eastAsia="zh-TW"/>
        </w:rPr>
      </w:pPr>
      <w:r>
        <w:rPr>
          <w:rFonts w:ascii="Arial Narrow" w:hAnsi="Arial Narrow" w:eastAsiaTheme="minorEastAsia"/>
          <w:b/>
          <w:kern w:val="0"/>
          <w:sz w:val="32"/>
          <w:szCs w:val="20"/>
          <w:lang w:eastAsia="zh-TW"/>
        </w:rPr>
        <w:t xml:space="preserve">Chongqing </w:t>
      </w:r>
      <w:r>
        <w:rPr>
          <w:rFonts w:ascii="Arial Narrow" w:hAnsi="Arial Narrow" w:eastAsiaTheme="minorEastAsia"/>
          <w:b/>
          <w:kern w:val="0"/>
          <w:sz w:val="32"/>
          <w:szCs w:val="20"/>
        </w:rPr>
        <w:t>MingHong</w:t>
      </w:r>
      <w:r>
        <w:rPr>
          <w:rFonts w:ascii="Arial Narrow" w:hAnsi="Arial Narrow" w:eastAsiaTheme="minorEastAsia"/>
          <w:b/>
          <w:kern w:val="0"/>
          <w:sz w:val="32"/>
          <w:szCs w:val="20"/>
          <w:lang w:eastAsia="zh-TW"/>
        </w:rPr>
        <w:t xml:space="preserve"> </w:t>
      </w:r>
      <w:r>
        <w:rPr>
          <w:rFonts w:ascii="Arial Narrow" w:hAnsi="Arial Narrow" w:eastAsiaTheme="minorEastAsia"/>
          <w:b/>
          <w:kern w:val="0"/>
          <w:sz w:val="32"/>
          <w:szCs w:val="20"/>
        </w:rPr>
        <w:t>JinQuan</w:t>
      </w:r>
      <w:r>
        <w:rPr>
          <w:rFonts w:ascii="Arial Narrow" w:hAnsi="Arial Narrow" w:eastAsiaTheme="minorEastAsia"/>
          <w:b/>
          <w:kern w:val="0"/>
          <w:sz w:val="32"/>
          <w:szCs w:val="20"/>
          <w:lang w:eastAsia="zh-TW"/>
        </w:rPr>
        <w:t xml:space="preserve"> Certified Public Accountants</w:t>
      </w:r>
    </w:p>
    <w:p w14:paraId="0A742B7B">
      <w:pPr>
        <w:spacing w:line="360" w:lineRule="auto"/>
        <w:jc w:val="center"/>
        <w:rPr>
          <w:rFonts w:ascii="Arial Narrow" w:hAnsi="Arial Narrow" w:eastAsiaTheme="minorEastAsia"/>
          <w:sz w:val="28"/>
          <w:szCs w:val="28"/>
        </w:rPr>
      </w:pPr>
      <w:r>
        <w:rPr>
          <w:rFonts w:ascii="Arial Narrow" w:hAnsi="Arial Narrow" w:eastAsiaTheme="minorEastAsia"/>
          <w:kern w:val="0"/>
          <w:sz w:val="28"/>
          <w:szCs w:val="28"/>
        </w:rPr>
        <w:t>铭</w:t>
      </w:r>
      <w:r>
        <w:rPr>
          <w:rFonts w:ascii="Arial Narrow" w:hAnsi="Arial Narrow" w:eastAsiaTheme="minorEastAsia"/>
          <w:sz w:val="28"/>
          <w:szCs w:val="28"/>
        </w:rPr>
        <w:t>鸿咨字〔2024〕第0038号</w:t>
      </w:r>
    </w:p>
    <w:p w14:paraId="75294996">
      <w:pPr>
        <w:spacing w:line="360" w:lineRule="auto"/>
        <w:jc w:val="distribute"/>
        <w:rPr>
          <w:rFonts w:ascii="Arial Narrow" w:hAnsi="Arial Narrow" w:eastAsiaTheme="minorEastAsia"/>
          <w:w w:val="94"/>
        </w:rPr>
      </w:pPr>
      <w:r>
        <w:rPr>
          <w:rFonts w:hint="eastAsia" w:ascii="宋体" w:hAnsi="宋体" w:cs="宋体"/>
          <w:b/>
          <w:bCs/>
          <w:w w:val="94"/>
          <w:sz w:val="36"/>
          <w:szCs w:val="36"/>
        </w:rPr>
        <w:t>━━━━━━━━━━━━</w:t>
      </w:r>
      <w:r>
        <w:rPr>
          <w:rFonts w:ascii="Arial Narrow" w:hAnsi="Arial Narrow" w:eastAsiaTheme="minorEastAsia"/>
          <w:b/>
          <w:bCs/>
          <w:w w:val="94"/>
          <w:sz w:val="36"/>
          <w:szCs w:val="36"/>
        </w:rPr>
        <w:t xml:space="preserve"> </w:t>
      </w:r>
      <w:r>
        <w:rPr>
          <w:rFonts w:ascii="Segoe UI Symbol" w:hAnsi="Segoe UI Symbol" w:cs="Segoe UI Symbol" w:eastAsiaTheme="minorEastAsia"/>
          <w:b/>
          <w:bCs/>
          <w:w w:val="94"/>
          <w:sz w:val="36"/>
          <w:szCs w:val="36"/>
        </w:rPr>
        <w:t>★</w:t>
      </w:r>
      <w:r>
        <w:rPr>
          <w:rFonts w:ascii="Arial Narrow" w:hAnsi="Arial Narrow" w:eastAsiaTheme="minorEastAsia"/>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4460F472">
      <w:pPr>
        <w:adjustRightInd w:val="0"/>
        <w:snapToGrid w:val="0"/>
        <w:spacing w:line="360" w:lineRule="auto"/>
        <w:jc w:val="center"/>
        <w:rPr>
          <w:rStyle w:val="11"/>
          <w:rFonts w:ascii="Arial Narrow" w:hAnsi="Arial Narrow" w:eastAsiaTheme="minorEastAsia"/>
          <w:b/>
          <w:color w:val="auto"/>
          <w:sz w:val="36"/>
          <w:szCs w:val="36"/>
          <w:u w:val="none"/>
        </w:rPr>
      </w:pPr>
      <w:r>
        <w:rPr>
          <w:rStyle w:val="11"/>
          <w:rFonts w:ascii="Arial Narrow" w:hAnsi="Arial Narrow" w:eastAsiaTheme="minorEastAsia"/>
          <w:b/>
          <w:color w:val="auto"/>
          <w:sz w:val="36"/>
          <w:szCs w:val="36"/>
          <w:u w:val="none"/>
        </w:rPr>
        <w:t>重庆市铜梁区旧县街道2023年财政专项衔接资金</w:t>
      </w:r>
    </w:p>
    <w:p w14:paraId="26D6E266">
      <w:pPr>
        <w:adjustRightInd w:val="0"/>
        <w:snapToGrid w:val="0"/>
        <w:spacing w:line="360" w:lineRule="auto"/>
        <w:jc w:val="center"/>
        <w:rPr>
          <w:rFonts w:ascii="Arial Narrow" w:hAnsi="Arial Narrow" w:eastAsiaTheme="minorEastAsia"/>
          <w:b/>
          <w:sz w:val="36"/>
          <w:szCs w:val="36"/>
        </w:rPr>
      </w:pPr>
      <w:r>
        <w:rPr>
          <w:rStyle w:val="11"/>
          <w:rFonts w:ascii="Arial Narrow" w:hAnsi="Arial Narrow" w:eastAsiaTheme="minorEastAsia"/>
          <w:b/>
          <w:color w:val="auto"/>
          <w:sz w:val="36"/>
          <w:szCs w:val="36"/>
          <w:u w:val="none"/>
        </w:rPr>
        <w:t>2个项目</w:t>
      </w:r>
      <w:r>
        <w:rPr>
          <w:rFonts w:ascii="Arial Narrow" w:hAnsi="Arial Narrow" w:eastAsiaTheme="minorEastAsia"/>
          <w:b/>
          <w:sz w:val="36"/>
          <w:szCs w:val="36"/>
        </w:rPr>
        <w:t>绩效评价报告</w:t>
      </w:r>
    </w:p>
    <w:p w14:paraId="71B7EA31">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为深入贯彻落实党的十九大</w:t>
      </w:r>
      <w:r>
        <w:rPr>
          <w:rFonts w:hint="eastAsia" w:ascii="仿宋" w:hAnsi="仿宋" w:eastAsia="仿宋" w:cs="仿宋"/>
          <w:color w:val="auto"/>
        </w:rPr>
        <w:t>“</w:t>
      </w:r>
      <w:r>
        <w:rPr>
          <w:rFonts w:hint="eastAsia" w:ascii="宋体" w:hAnsi="宋体" w:eastAsia="宋体" w:cs="宋体"/>
          <w:color w:val="auto"/>
        </w:rPr>
        <w:t>全面实施绩效管理</w:t>
      </w:r>
      <w:r>
        <w:rPr>
          <w:rFonts w:hint="eastAsia" w:ascii="仿宋" w:hAnsi="仿宋" w:eastAsia="仿宋" w:cs="仿宋"/>
          <w:color w:val="auto"/>
        </w:rPr>
        <w:t>”</w:t>
      </w:r>
      <w:r>
        <w:rPr>
          <w:rFonts w:ascii="Arial Narrow" w:hAnsi="Arial Narrow" w:eastAsiaTheme="minorEastAsia"/>
          <w:color w:val="auto"/>
        </w:rPr>
        <w:t>决策部署，进一步提高政府投入资金的使用效益，促进公共服务资源的优化配置，根据《中华人民共和国预算法》、《项目支出绩效评价管理办法》（财预〔2020〕10号）</w:t>
      </w:r>
      <w:r>
        <w:rPr>
          <w:rFonts w:hint="eastAsia" w:ascii="Arial Narrow" w:hAnsi="Arial Narrow" w:eastAsiaTheme="minorEastAsia"/>
          <w:color w:val="auto"/>
          <w:lang w:eastAsia="zh-CN"/>
        </w:rPr>
        <w:t>、</w:t>
      </w:r>
      <w:r>
        <w:rPr>
          <w:rFonts w:ascii="Arial Narrow" w:hAnsi="Arial Narrow" w:eastAsiaTheme="minorEastAsia"/>
          <w:color w:val="auto"/>
        </w:rPr>
        <w:t>《重庆市市级政策和项目预算绩效管理办法（试行）》（渝财绩〔2019〕19号），受重庆市铜梁区财政局（以下简称</w:t>
      </w:r>
      <w:r>
        <w:rPr>
          <w:rFonts w:hint="eastAsia" w:ascii="仿宋" w:hAnsi="仿宋" w:eastAsia="仿宋" w:cs="仿宋"/>
          <w:color w:val="auto"/>
        </w:rPr>
        <w:t>“</w:t>
      </w:r>
      <w:r>
        <w:rPr>
          <w:rFonts w:hint="eastAsia" w:asciiTheme="minorEastAsia" w:hAnsiTheme="minorEastAsia" w:eastAsiaTheme="minorEastAsia" w:cstheme="minorEastAsia"/>
          <w:color w:val="auto"/>
        </w:rPr>
        <w:t>财政局</w:t>
      </w:r>
      <w:r>
        <w:rPr>
          <w:rFonts w:hint="eastAsia" w:ascii="仿宋" w:hAnsi="仿宋" w:eastAsia="仿宋" w:cs="仿宋"/>
          <w:color w:val="auto"/>
        </w:rPr>
        <w:t>”</w:t>
      </w:r>
      <w:r>
        <w:rPr>
          <w:rFonts w:ascii="Arial Narrow" w:hAnsi="Arial Narrow" w:eastAsiaTheme="minorEastAsia"/>
          <w:color w:val="auto"/>
        </w:rPr>
        <w:t>）的委托，我们对重庆市铜梁区乡村振兴局（以下简称</w:t>
      </w:r>
      <w:r>
        <w:rPr>
          <w:rFonts w:hint="eastAsia" w:ascii="仿宋" w:hAnsi="仿宋" w:eastAsia="仿宋" w:cs="仿宋"/>
          <w:color w:val="auto"/>
        </w:rPr>
        <w:t>“</w:t>
      </w:r>
      <w:r>
        <w:rPr>
          <w:rFonts w:hint="eastAsia" w:asciiTheme="majorEastAsia" w:hAnsiTheme="majorEastAsia" w:eastAsiaTheme="majorEastAsia" w:cstheme="majorEastAsia"/>
          <w:color w:val="auto"/>
        </w:rPr>
        <w:t>振兴局</w:t>
      </w:r>
      <w:r>
        <w:rPr>
          <w:rFonts w:hint="eastAsia" w:ascii="仿宋" w:hAnsi="仿宋" w:eastAsia="仿宋" w:cs="仿宋"/>
          <w:color w:val="auto"/>
        </w:rPr>
        <w:t>”</w:t>
      </w:r>
      <w:r>
        <w:rPr>
          <w:rFonts w:ascii="Arial Narrow" w:hAnsi="Arial Narrow" w:eastAsiaTheme="minorEastAsia"/>
          <w:color w:val="auto"/>
        </w:rPr>
        <w:t>）</w:t>
      </w:r>
      <w:r>
        <w:rPr>
          <w:rFonts w:ascii="Arial Narrow" w:hAnsi="Arial Narrow" w:eastAsiaTheme="minorEastAsia"/>
        </w:rPr>
        <w:t xml:space="preserve"> </w:t>
      </w:r>
      <w:r>
        <w:rPr>
          <w:rFonts w:ascii="Arial Narrow" w:hAnsi="Arial Narrow" w:eastAsiaTheme="minorEastAsia"/>
          <w:color w:val="auto"/>
        </w:rPr>
        <w:t>2023年旧县街道白果村枳壳基地设施建设项目和2023年旧县街道石砚村蔬菜基地基础设施建设项目进行绩效评价，现将评价情况报告如下：</w:t>
      </w:r>
    </w:p>
    <w:p w14:paraId="08B950A6">
      <w:pPr>
        <w:spacing w:before="240" w:beforeLines="100" w:line="360" w:lineRule="auto"/>
        <w:ind w:firstLine="482" w:firstLineChars="200"/>
        <w:jc w:val="left"/>
        <w:outlineLvl w:val="0"/>
        <w:rPr>
          <w:rFonts w:ascii="Arial Narrow" w:hAnsi="Arial Narrow" w:eastAsiaTheme="minorEastAsia"/>
          <w:b/>
          <w:sz w:val="24"/>
        </w:rPr>
      </w:pPr>
      <w:bookmarkStart w:id="3" w:name="_Toc171671724"/>
      <w:r>
        <w:rPr>
          <w:rFonts w:ascii="Arial Narrow" w:hAnsi="Arial Narrow" w:eastAsiaTheme="minorEastAsia"/>
          <w:b/>
          <w:sz w:val="24"/>
        </w:rPr>
        <w:t>一、基本情况</w:t>
      </w:r>
      <w:bookmarkEnd w:id="3"/>
    </w:p>
    <w:p w14:paraId="28871CAC">
      <w:pPr>
        <w:spacing w:before="120" w:beforeLines="50" w:line="360" w:lineRule="auto"/>
        <w:ind w:firstLine="482" w:firstLineChars="200"/>
        <w:jc w:val="left"/>
        <w:outlineLvl w:val="0"/>
        <w:rPr>
          <w:rFonts w:ascii="Arial Narrow" w:hAnsi="Arial Narrow" w:cs="宋体" w:eastAsiaTheme="minorEastAsia"/>
          <w:b/>
          <w:bCs/>
          <w:kern w:val="0"/>
          <w:sz w:val="24"/>
        </w:rPr>
      </w:pPr>
      <w:bookmarkStart w:id="4" w:name="_Toc171671725"/>
      <w:r>
        <w:rPr>
          <w:rFonts w:ascii="Arial Narrow" w:hAnsi="Arial Narrow" w:cs="宋体" w:eastAsiaTheme="minorEastAsia"/>
          <w:b/>
          <w:bCs/>
          <w:kern w:val="0"/>
          <w:sz w:val="24"/>
        </w:rPr>
        <w:t>（一）</w:t>
      </w:r>
      <w:r>
        <w:rPr>
          <w:rFonts w:ascii="Arial Narrow" w:hAnsi="Arial Narrow" w:cs="宋体" w:eastAsiaTheme="minorEastAsia"/>
          <w:kern w:val="0"/>
          <w:sz w:val="24"/>
        </w:rPr>
        <w:t>项目情况</w:t>
      </w:r>
      <w:bookmarkEnd w:id="4"/>
    </w:p>
    <w:p w14:paraId="31C13EA9">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1</w:t>
      </w:r>
      <w:r>
        <w:rPr>
          <w:rFonts w:hint="eastAsia" w:ascii="Arial Narrow" w:hAnsi="Arial Narrow" w:cs="宋体" w:eastAsiaTheme="minorEastAsia"/>
          <w:kern w:val="0"/>
          <w:sz w:val="24"/>
        </w:rPr>
        <w:t>.</w:t>
      </w:r>
      <w:r>
        <w:rPr>
          <w:rFonts w:ascii="Arial Narrow" w:hAnsi="Arial Narrow" w:cs="宋体" w:eastAsiaTheme="minorEastAsia"/>
          <w:kern w:val="0"/>
          <w:sz w:val="24"/>
        </w:rPr>
        <w:t>2023年旧县街道白果村枳壳基地设施建设项目</w:t>
      </w:r>
    </w:p>
    <w:p w14:paraId="2CDA42AD">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w:t>
      </w:r>
      <w:r>
        <w:rPr>
          <w:rFonts w:hint="eastAsia" w:ascii="Arial Narrow" w:hAnsi="Arial Narrow" w:cs="宋体" w:eastAsiaTheme="minorEastAsia"/>
          <w:kern w:val="0"/>
          <w:sz w:val="24"/>
        </w:rPr>
        <w:t>重庆市</w:t>
      </w:r>
      <w:r>
        <w:rPr>
          <w:rFonts w:ascii="Arial Narrow" w:hAnsi="Arial Narrow" w:cs="宋体" w:eastAsiaTheme="minorEastAsia"/>
          <w:kern w:val="0"/>
          <w:sz w:val="24"/>
        </w:rPr>
        <w:t>铜梁区旧县街道白果村股份经济合作联合社</w:t>
      </w:r>
    </w:p>
    <w:p w14:paraId="64287702">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项目地点：旧县街道白果村</w:t>
      </w:r>
    </w:p>
    <w:p w14:paraId="06067776">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建设内容：新建蓄水池1座；安装灌溉</w:t>
      </w:r>
      <w:r>
        <w:rPr>
          <w:rFonts w:hint="eastAsia" w:ascii="Arial Narrow" w:hAnsi="Arial Narrow" w:cs="宋体" w:eastAsiaTheme="minorEastAsia"/>
          <w:kern w:val="0"/>
          <w:sz w:val="24"/>
          <w:lang w:val="en-US" w:eastAsia="zh-CN"/>
        </w:rPr>
        <w:t>管</w:t>
      </w:r>
      <w:r>
        <w:rPr>
          <w:rFonts w:ascii="Arial Narrow" w:hAnsi="Arial Narrow" w:cs="宋体" w:eastAsiaTheme="minorEastAsia"/>
          <w:kern w:val="0"/>
          <w:sz w:val="24"/>
        </w:rPr>
        <w:t>网；购买枳壳苗2万株；购买化肥10吨；</w:t>
      </w:r>
      <w:r>
        <w:rPr>
          <w:rFonts w:hint="eastAsia" w:ascii="Arial Narrow" w:hAnsi="Arial Narrow" w:cs="宋体" w:eastAsiaTheme="minorEastAsia"/>
          <w:kern w:val="0"/>
          <w:sz w:val="24"/>
          <w:lang w:val="en-US" w:eastAsia="zh-CN"/>
        </w:rPr>
        <w:t>人工</w:t>
      </w:r>
      <w:r>
        <w:rPr>
          <w:rFonts w:ascii="Arial Narrow" w:hAnsi="Arial Narrow" w:cs="宋体" w:eastAsiaTheme="minorEastAsia"/>
          <w:kern w:val="0"/>
          <w:sz w:val="24"/>
        </w:rPr>
        <w:t xml:space="preserve">管护300个工作日。 </w:t>
      </w:r>
    </w:p>
    <w:p w14:paraId="084DD739">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项目资金安排情况：该项目2023年计划投入50万元，实际投入50万元，均为上级补助资金。</w:t>
      </w:r>
    </w:p>
    <w:p w14:paraId="6D7AF612">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项目起止时间：2023年4月-2023年12月</w:t>
      </w:r>
    </w:p>
    <w:p w14:paraId="414AC153">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2</w:t>
      </w:r>
      <w:r>
        <w:rPr>
          <w:rFonts w:hint="eastAsia" w:ascii="Arial Narrow" w:hAnsi="Arial Narrow" w:cs="宋体" w:eastAsiaTheme="minorEastAsia"/>
          <w:kern w:val="0"/>
          <w:sz w:val="24"/>
        </w:rPr>
        <w:t>.</w:t>
      </w:r>
      <w:r>
        <w:rPr>
          <w:rFonts w:ascii="Arial Narrow" w:hAnsi="Arial Narrow" w:cs="宋体" w:eastAsiaTheme="minorEastAsia"/>
          <w:kern w:val="0"/>
          <w:sz w:val="24"/>
        </w:rPr>
        <w:t>2023年旧县街道石砚村蔬菜基地基础设施建设项目</w:t>
      </w:r>
    </w:p>
    <w:p w14:paraId="371852A1">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w:t>
      </w:r>
      <w:r>
        <w:rPr>
          <w:rFonts w:hint="eastAsia" w:ascii="Arial Narrow" w:hAnsi="Arial Narrow" w:cs="宋体" w:eastAsiaTheme="minorEastAsia"/>
          <w:kern w:val="0"/>
          <w:sz w:val="24"/>
        </w:rPr>
        <w:t>重庆市</w:t>
      </w:r>
      <w:r>
        <w:rPr>
          <w:rFonts w:ascii="Arial Narrow" w:hAnsi="Arial Narrow" w:cs="宋体" w:eastAsiaTheme="minorEastAsia"/>
          <w:kern w:val="0"/>
          <w:sz w:val="24"/>
        </w:rPr>
        <w:t>铜梁区旧县街道石砚村股份经济合作联合社</w:t>
      </w:r>
    </w:p>
    <w:p w14:paraId="70496536">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项目地点：旧县街道石砚村15、17、18、21、22、25社</w:t>
      </w:r>
    </w:p>
    <w:p w14:paraId="42319FCB">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 xml:space="preserve">建设内容：新建蔬菜钢架大棚3800平方米；新建地插式360度喷灌系统5000平方米，分别为PE给水主管、PE给水支管；购置农业机械6台，分别是潍柴雷沃M704-2EF2（G4）拖拉机一台、巨隆科技1GQN-160型旋耕机一台、巨隆科技1GZL-135L1型起垄机一台、潍柴雷沃M1204-5X（G4）拖拉机一台、巨隆科技1GQN-230H型旋耕机一台、巨隆科技2BMSF-12/6型免耕播种机一台。 </w:t>
      </w:r>
    </w:p>
    <w:p w14:paraId="4FF86C8E">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项目资金安排情况：该项目2023年计划投入50万元，实际投入为50万元，均为上级补助资金。</w:t>
      </w:r>
    </w:p>
    <w:p w14:paraId="01095C3F">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项目起止时间：2023年1月-2023年7月</w:t>
      </w:r>
    </w:p>
    <w:p w14:paraId="2F2852CC">
      <w:pPr>
        <w:spacing w:line="360" w:lineRule="auto"/>
        <w:ind w:firstLine="482" w:firstLineChars="200"/>
        <w:jc w:val="left"/>
        <w:outlineLvl w:val="0"/>
        <w:rPr>
          <w:rFonts w:ascii="Arial Narrow" w:hAnsi="Arial Narrow" w:eastAsiaTheme="minorEastAsia"/>
          <w:b/>
          <w:sz w:val="24"/>
        </w:rPr>
      </w:pPr>
      <w:bookmarkStart w:id="5" w:name="_Toc171671726"/>
      <w:r>
        <w:rPr>
          <w:rFonts w:ascii="Arial Narrow" w:hAnsi="Arial Narrow" w:eastAsiaTheme="minorEastAsia"/>
          <w:b/>
          <w:sz w:val="24"/>
        </w:rPr>
        <w:t>二、绩效评价工作情况</w:t>
      </w:r>
      <w:bookmarkEnd w:id="5"/>
    </w:p>
    <w:p w14:paraId="08C0A4A2">
      <w:pPr>
        <w:spacing w:line="360" w:lineRule="auto"/>
        <w:ind w:firstLine="482" w:firstLineChars="200"/>
        <w:jc w:val="left"/>
        <w:outlineLvl w:val="0"/>
        <w:rPr>
          <w:rFonts w:ascii="Arial Narrow" w:hAnsi="Arial Narrow" w:eastAsiaTheme="minorEastAsia"/>
          <w:b/>
          <w:sz w:val="24"/>
        </w:rPr>
      </w:pPr>
      <w:bookmarkStart w:id="6" w:name="_Toc513775099"/>
      <w:bookmarkStart w:id="7" w:name="_Toc171671727"/>
      <w:r>
        <w:rPr>
          <w:rFonts w:ascii="Arial Narrow" w:hAnsi="Arial Narrow" w:eastAsiaTheme="minorEastAsia"/>
          <w:b/>
          <w:sz w:val="24"/>
        </w:rPr>
        <w:t>（一）绩效评价目的</w:t>
      </w:r>
      <w:bookmarkEnd w:id="6"/>
      <w:bookmarkEnd w:id="7"/>
    </w:p>
    <w:p w14:paraId="7CCFEB3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通过实施财政重点绩效评价，总结项目实施主要成效，分析影响项目绩效的主要问题及成因，为进一步加强财政资金管理、提高资金使用效益提供依据。</w:t>
      </w:r>
    </w:p>
    <w:p w14:paraId="7FC3CC1D">
      <w:pPr>
        <w:spacing w:line="360" w:lineRule="auto"/>
        <w:ind w:firstLine="482" w:firstLineChars="200"/>
        <w:jc w:val="left"/>
        <w:outlineLvl w:val="0"/>
        <w:rPr>
          <w:rFonts w:ascii="Arial Narrow" w:hAnsi="Arial Narrow" w:eastAsiaTheme="minorEastAsia"/>
          <w:b/>
          <w:sz w:val="24"/>
        </w:rPr>
      </w:pPr>
      <w:bookmarkStart w:id="8" w:name="_Toc171671728"/>
      <w:bookmarkStart w:id="9" w:name="_Toc513775100"/>
      <w:r>
        <w:rPr>
          <w:rFonts w:ascii="Arial Narrow" w:hAnsi="Arial Narrow" w:eastAsiaTheme="minorEastAsia"/>
          <w:b/>
          <w:sz w:val="24"/>
        </w:rPr>
        <w:t>（二）绩效评价的基本内容</w:t>
      </w:r>
      <w:bookmarkEnd w:id="8"/>
    </w:p>
    <w:p w14:paraId="3DAE4945">
      <w:pPr>
        <w:pStyle w:val="14"/>
        <w:spacing w:line="360" w:lineRule="auto"/>
        <w:ind w:firstLine="480" w:firstLineChars="200"/>
        <w:rPr>
          <w:rFonts w:ascii="Arial Narrow" w:hAnsi="Arial Narrow" w:eastAsiaTheme="minorEastAsia"/>
          <w:color w:val="auto"/>
        </w:rPr>
      </w:pPr>
      <w:bookmarkStart w:id="10" w:name="_Toc166332968"/>
      <w:r>
        <w:rPr>
          <w:rFonts w:ascii="Arial Narrow" w:hAnsi="Arial Narrow" w:eastAsiaTheme="minorEastAsia"/>
          <w:color w:val="auto"/>
        </w:rPr>
        <w:t>1.绩效目标的设定情况；</w:t>
      </w:r>
    </w:p>
    <w:p w14:paraId="014C342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2.资金投入和使用情况；</w:t>
      </w:r>
    </w:p>
    <w:p w14:paraId="440E670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3.为实现绩效目标制定的制度、采取的措施等；</w:t>
      </w:r>
    </w:p>
    <w:p w14:paraId="24DB478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4.绩效目标的实现程度及效果；</w:t>
      </w:r>
    </w:p>
    <w:p w14:paraId="604313D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5.根据实际情况需要评价的其他内容。</w:t>
      </w:r>
    </w:p>
    <w:p w14:paraId="3FE6C533">
      <w:pPr>
        <w:spacing w:line="360" w:lineRule="auto"/>
        <w:ind w:firstLine="482" w:firstLineChars="200"/>
        <w:jc w:val="left"/>
        <w:outlineLvl w:val="0"/>
        <w:rPr>
          <w:rFonts w:ascii="Arial Narrow" w:hAnsi="Arial Narrow" w:eastAsiaTheme="minorEastAsia"/>
          <w:b/>
          <w:sz w:val="24"/>
        </w:rPr>
      </w:pPr>
      <w:bookmarkStart w:id="11" w:name="_Toc171671729"/>
      <w:r>
        <w:rPr>
          <w:rFonts w:ascii="Arial Narrow" w:hAnsi="Arial Narrow" w:eastAsiaTheme="minorEastAsia"/>
          <w:b/>
          <w:sz w:val="24"/>
        </w:rPr>
        <w:t>（三）绩效评价依据</w:t>
      </w:r>
      <w:bookmarkEnd w:id="9"/>
      <w:bookmarkEnd w:id="10"/>
      <w:bookmarkEnd w:id="11"/>
      <w:bookmarkStart w:id="12" w:name="_Toc335040595"/>
    </w:p>
    <w:bookmarkEnd w:id="12"/>
    <w:p w14:paraId="37D1D22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1.《重庆市铜梁区财政衔接推进乡村振兴补助资金绩效评价及考核办法》的通知（铜财〔2022〕678号）</w:t>
      </w:r>
    </w:p>
    <w:p w14:paraId="0CD8F08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2.《重庆市铜梁区财政局关于开展2023年度项目财政重点绩效评价的通知》（铜财〔2024〕237号）</w:t>
      </w:r>
    </w:p>
    <w:p w14:paraId="70B49AE3">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3.《重庆市财政衔接推进乡村振兴补助资金绩效评价及考核办法》（渝财农〔2022〕2号</w:t>
      </w:r>
      <w:r>
        <w:rPr>
          <w:rFonts w:hint="eastAsia" w:ascii="Arial Narrow" w:hAnsi="Arial Narrow" w:eastAsiaTheme="minorEastAsia"/>
          <w:color w:val="auto"/>
          <w:lang w:eastAsia="zh-CN"/>
        </w:rPr>
        <w:t>）</w:t>
      </w:r>
    </w:p>
    <w:p w14:paraId="04EFC5A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4.《铜梁区区级政策和项目预算绩效管理办法</w:t>
      </w:r>
      <w:r>
        <w:rPr>
          <w:rFonts w:hint="eastAsia" w:ascii="Arial Narrow" w:hAnsi="Arial Narrow" w:eastAsiaTheme="minorEastAsia"/>
          <w:color w:val="auto"/>
          <w:lang w:eastAsia="zh-CN"/>
        </w:rPr>
        <w:t>（</w:t>
      </w:r>
      <w:r>
        <w:rPr>
          <w:rFonts w:ascii="Arial Narrow" w:hAnsi="Arial Narrow" w:eastAsiaTheme="minorEastAsia"/>
          <w:color w:val="auto"/>
        </w:rPr>
        <w:t>试行</w:t>
      </w:r>
      <w:r>
        <w:rPr>
          <w:rFonts w:hint="eastAsia" w:ascii="Arial Narrow" w:hAnsi="Arial Narrow" w:eastAsiaTheme="minorEastAsia"/>
          <w:color w:val="auto"/>
          <w:lang w:eastAsia="zh-CN"/>
        </w:rPr>
        <w:t>）</w:t>
      </w:r>
      <w:r>
        <w:rPr>
          <w:rFonts w:ascii="Arial Narrow" w:hAnsi="Arial Narrow" w:eastAsiaTheme="minorEastAsia"/>
          <w:color w:val="auto"/>
        </w:rPr>
        <w:t>》（铜财〔2022〕41号）</w:t>
      </w:r>
    </w:p>
    <w:p w14:paraId="51DF43F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5.《重庆市财政局等6部门关于加强财政衔接推进乡村振兴补助资金使用管理的实施意见》（渝财农〔2022〕73号）</w:t>
      </w:r>
    </w:p>
    <w:p w14:paraId="4EA9C0B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6.《铜梁区巩固拓展脱贫攻坚成果和衔接乡村振兴项目库建设管理实施细则》（铜乡振〔2021〕7号）</w:t>
      </w:r>
    </w:p>
    <w:p w14:paraId="6073A07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7.《铜梁区财政衔接推进乡村振兴补助资金项目公告公示实施办法》（铜委农办〔2021〕19号）</w:t>
      </w:r>
    </w:p>
    <w:p w14:paraId="0D2F8F8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8.《项目支出绩效评价管理办法》（财预〔2020〕10号）</w:t>
      </w:r>
    </w:p>
    <w:p w14:paraId="6E85669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9.《重庆市市级政策和项目预算绩效管理办法》（渝财绩〔2019〕19号）</w:t>
      </w:r>
    </w:p>
    <w:p w14:paraId="1BA4F3C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10.《会计师事务所财政支出绩效评价业务指引》（注协</w:t>
      </w:r>
      <w:bookmarkStart w:id="13" w:name="_Hlk162597612"/>
      <w:r>
        <w:rPr>
          <w:rFonts w:ascii="Arial Narrow" w:hAnsi="Arial Narrow" w:eastAsiaTheme="minorEastAsia"/>
          <w:color w:val="auto"/>
        </w:rPr>
        <w:t>〔2016〕</w:t>
      </w:r>
      <w:bookmarkEnd w:id="13"/>
      <w:r>
        <w:rPr>
          <w:rFonts w:ascii="Arial Narrow" w:hAnsi="Arial Narrow" w:eastAsiaTheme="minorEastAsia"/>
          <w:color w:val="auto"/>
        </w:rPr>
        <w:t>10号）</w:t>
      </w:r>
    </w:p>
    <w:p w14:paraId="450D894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11.评价工作人员通过现场调查、核实等获得的资料等</w:t>
      </w:r>
    </w:p>
    <w:p w14:paraId="246A6050">
      <w:pPr>
        <w:spacing w:line="360" w:lineRule="auto"/>
        <w:ind w:firstLine="482" w:firstLineChars="200"/>
        <w:jc w:val="left"/>
        <w:outlineLvl w:val="0"/>
        <w:rPr>
          <w:rFonts w:ascii="Arial Narrow" w:hAnsi="Arial Narrow" w:eastAsiaTheme="minorEastAsia"/>
          <w:b/>
          <w:sz w:val="24"/>
        </w:rPr>
      </w:pPr>
      <w:bookmarkStart w:id="14" w:name="_Toc171671730"/>
      <w:r>
        <w:rPr>
          <w:rFonts w:ascii="Arial Narrow" w:hAnsi="Arial Narrow" w:eastAsiaTheme="minorEastAsia"/>
          <w:b/>
          <w:sz w:val="24"/>
        </w:rPr>
        <w:t>（四）绩效评价原则和指标体系</w:t>
      </w:r>
      <w:bookmarkEnd w:id="14"/>
    </w:p>
    <w:p w14:paraId="7D14DE1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1.绩效评价主要遵循以下原则：</w:t>
      </w:r>
    </w:p>
    <w:p w14:paraId="51D05DC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（1）相关性原则。应当与绩效目标有直接的联系，能够恰当反映目标的实现程度。</w:t>
      </w:r>
    </w:p>
    <w:p w14:paraId="2B562DF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（2）重要性原则。应当优先使用最具评价对象代表性、最能反映评价要求的核心指标。</w:t>
      </w:r>
    </w:p>
    <w:p w14:paraId="12FC7D2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（3）可比性原则。对同类评价对象要设定共性的绩效评价指标，以便于评价结果可以相互比较。</w:t>
      </w:r>
    </w:p>
    <w:p w14:paraId="20F0C0B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（4）系统性原则。应当将定量指标与定性指标相结合，系统反映财政支出所产生的社会效益和可持续影响等。</w:t>
      </w:r>
    </w:p>
    <w:p w14:paraId="3E54587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（5）经济性原则。应当通俗易懂、简便易行，数据的获得应当考虑现实条件和可操作性，符合成本效益原则。</w:t>
      </w:r>
    </w:p>
    <w:p w14:paraId="266146C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2.绩效评价指标体系</w:t>
      </w:r>
    </w:p>
    <w:p w14:paraId="18C9B60E">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根据《重庆市铜梁区财政衔接推进乡村振兴补助资金绩效评价及考核办法》的通知（铜财〔2022〕678号</w:t>
      </w:r>
      <w:r>
        <w:rPr>
          <w:rFonts w:hint="eastAsia" w:ascii="Arial Narrow" w:hAnsi="Arial Narrow" w:eastAsiaTheme="minorEastAsia"/>
          <w:color w:val="auto"/>
          <w:lang w:eastAsia="zh-CN"/>
        </w:rPr>
        <w:t>）</w:t>
      </w:r>
      <w:r>
        <w:rPr>
          <w:rFonts w:ascii="Arial Narrow" w:hAnsi="Arial Narrow" w:eastAsiaTheme="minorEastAsia"/>
          <w:color w:val="auto"/>
        </w:rPr>
        <w:t>，本次绩效评价及考核指标体系如下：</w:t>
      </w:r>
    </w:p>
    <w:p w14:paraId="70226833">
      <w:pPr>
        <w:pStyle w:val="14"/>
        <w:spacing w:line="360" w:lineRule="auto"/>
        <w:ind w:firstLine="482" w:firstLineChars="200"/>
        <w:jc w:val="center"/>
        <w:rPr>
          <w:rFonts w:ascii="Arial Narrow" w:hAnsi="Arial Narrow" w:eastAsiaTheme="minorEastAsia"/>
          <w:b/>
          <w:bCs/>
          <w:color w:val="auto"/>
        </w:rPr>
      </w:pPr>
      <w:r>
        <w:rPr>
          <w:rFonts w:ascii="Arial Narrow" w:hAnsi="Arial Narrow" w:eastAsiaTheme="minorEastAsia"/>
          <w:b/>
          <w:bCs/>
          <w:color w:val="auto"/>
        </w:rPr>
        <w:t>铜梁区衔接资金项目绩效评价及考核指标评分表</w:t>
      </w:r>
    </w:p>
    <w:tbl>
      <w:tblPr>
        <w:tblStyle w:val="9"/>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33DC7705">
        <w:tblPrEx>
          <w:tblCellMar>
            <w:top w:w="0" w:type="dxa"/>
            <w:left w:w="108" w:type="dxa"/>
            <w:bottom w:w="0" w:type="dxa"/>
            <w:right w:w="108" w:type="dxa"/>
          </w:tblCellMar>
        </w:tblPrEx>
        <w:trPr>
          <w:cantSplit/>
          <w:trHeight w:val="201"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89213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3191AC3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385E645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0F55E31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2F41D84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22E006B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评价标准</w:t>
            </w:r>
          </w:p>
        </w:tc>
      </w:tr>
      <w:tr w14:paraId="660D6573">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01AE17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7F75B3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72429B3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0FABC92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4A8E0B1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488545E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资金使用方向符合文件规定（2分）。</w:t>
            </w:r>
          </w:p>
        </w:tc>
      </w:tr>
      <w:tr w14:paraId="0EE959AA">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725A87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36CD048B">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583244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5B66F51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3636E9F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0FA52BD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区财政局下达资金文件时间到区级业务主管部门下达项目及资金计划文件时间间隔≤30日（3分）。</w:t>
            </w:r>
          </w:p>
        </w:tc>
      </w:tr>
      <w:tr w14:paraId="1AB81EE1">
        <w:tblPrEx>
          <w:tblCellMar>
            <w:top w:w="0" w:type="dxa"/>
            <w:left w:w="108" w:type="dxa"/>
            <w:bottom w:w="0" w:type="dxa"/>
            <w:right w:w="108" w:type="dxa"/>
          </w:tblCellMar>
        </w:tblPrEx>
        <w:trPr>
          <w:cantSplit/>
          <w:trHeight w:val="108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4A0B1FA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A6C86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项目管理（55分）</w:t>
            </w:r>
          </w:p>
        </w:tc>
        <w:tc>
          <w:tcPr>
            <w:tcW w:w="1049" w:type="dxa"/>
            <w:tcBorders>
              <w:top w:val="single" w:color="auto" w:sz="4" w:space="0"/>
              <w:left w:val="nil"/>
              <w:bottom w:val="single" w:color="auto" w:sz="4" w:space="0"/>
              <w:right w:val="single" w:color="auto" w:sz="4" w:space="0"/>
            </w:tcBorders>
            <w:shd w:val="clear" w:color="auto" w:fill="auto"/>
            <w:vAlign w:val="center"/>
          </w:tcPr>
          <w:p w14:paraId="4363F45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项目库建设管理情况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458E559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single" w:color="auto" w:sz="4" w:space="0"/>
              <w:left w:val="nil"/>
              <w:bottom w:val="single" w:color="auto" w:sz="4" w:space="0"/>
              <w:right w:val="nil"/>
            </w:tcBorders>
            <w:shd w:val="clear" w:color="auto" w:fill="auto"/>
            <w:vAlign w:val="center"/>
          </w:tcPr>
          <w:p w14:paraId="2D32885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评价落实《铜梁区巩固拓展脱贫攻坚成果和衔接乡村振兴项目库建设管理实施细则》（铜乡振〔2021〕7号）落实情况。根据抽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single" w:color="auto" w:sz="4" w:space="0"/>
              <w:bottom w:val="single" w:color="auto" w:sz="4" w:space="0"/>
              <w:right w:val="single" w:color="auto" w:sz="4" w:space="0"/>
            </w:tcBorders>
            <w:shd w:val="clear" w:color="auto" w:fill="auto"/>
            <w:vAlign w:val="center"/>
          </w:tcPr>
          <w:p w14:paraId="666B28E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1.项目入库及时充分、程序规范、内容完整（3分）；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2.入库项目具备实施条件（2分）；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3.衔接资金用于项目库之外的项目（-5分）。</w:t>
            </w:r>
          </w:p>
        </w:tc>
      </w:tr>
      <w:tr w14:paraId="49B8F510">
        <w:tblPrEx>
          <w:tblCellMar>
            <w:top w:w="0" w:type="dxa"/>
            <w:left w:w="108" w:type="dxa"/>
            <w:bottom w:w="0" w:type="dxa"/>
            <w:right w:w="108" w:type="dxa"/>
          </w:tblCellMar>
        </w:tblPrEx>
        <w:trPr>
          <w:cantSplit/>
          <w:trHeight w:val="1621"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417EADE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4</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3F45B1F7">
            <w:pPr>
              <w:widowControl/>
              <w:jc w:val="left"/>
              <w:rPr>
                <w:rFonts w:ascii="Arial Narrow" w:hAnsi="Arial Narrow" w:cs="宋体" w:eastAsiaTheme="minorEastAsia"/>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28EC542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项目绩效管理情况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3C1CCA4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270BAE4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评价具体项目实施方案明确绩效目标情况、开展跟踪监督绩效监控情况、事后评价情况等。根据抽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2035F1A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1.及时制定绩效目标、审核绩效目标（2分）；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2.开展绩效监控不少于1次（2分）；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3.对绩效目标偏离项目采取纠偏措施（2分）；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4.项目实施完毕后立即开展绩效自评，并形成绩效自评报告及绩效自评表。（2分）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5.项目绩效是否达到预期。（2分）</w:t>
            </w:r>
          </w:p>
        </w:tc>
      </w:tr>
      <w:tr w14:paraId="46DB2831">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0C7E57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175A3CE9">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4AC01F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5CC5B49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741EDACB">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评价有序推进项目前期工作、组织实施、项目验收、资料报送等情况。根据抽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235AF58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1.项目实施方法存在变更是否按规定报批；（1分）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2.是否定期对项目实施情况进行监督检查，对检查中发现的问题进行整改；（2分）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3.是否按照项目实施节点按时提交项目报账资料；（1分）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4.日常管理资料是否及时归档整理；（1分）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5.项目完工后是否在规定时间内进行验收。（1分）</w:t>
            </w:r>
          </w:p>
        </w:tc>
      </w:tr>
      <w:tr w14:paraId="54CFDED9">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A85CAF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2E9D00F4">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24718E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223B9BF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6A7AAC3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评价有序推进项目工作和资金支付情况。根据抽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5D39225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主要通过支出进度评价有序推进项目工作和资金支付情况，于7月末、10月中旬定期调度。</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1.7月末支出进度评分4分。资金支出进度达到全区平均进度或者序时进度的，得满分；未达到的按照与序时进度的比例扣分；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2.10月中旬支出进度评分4分。资金支出进度达到全区平均进度或者序时进度的，得满分；未达到的按照与序时进度的比例扣分；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0ED8EE32">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146F40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0B2653B2">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BDB739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7895D57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72A9C60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评价定期开展监督检查情况、发现问题整改情况。根据未处理问题比例扣减。根据抽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02755B6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1.定期开展项目实施和资金支出进度等跟踪督促情况，落实到位的得2分，未完全落实到位的酌情扣分；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2.跟踪督促及各类检查发现问题整改到位情况，满分5分，根据未整改问题比例扣减；</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3.全国12317防止返贫监测和乡村振兴咨询服务平台（简称12317平台）反馈问题处理情况，满分1分。</w:t>
            </w:r>
          </w:p>
        </w:tc>
      </w:tr>
      <w:tr w14:paraId="66BB9577">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9ADF83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4E832048">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5571DF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58FE5BA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251C3293">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评价账务处理，资产转固，收益管理、档案管理等情况。根据抽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5A63671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1.财务处理是否规范，原始凭证是否齐全，建成资产是否及时转固、收益管理是否合规；（4分）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2.档案管理是否完整、合规、真实。（1分）</w:t>
            </w:r>
          </w:p>
        </w:tc>
      </w:tr>
      <w:tr w14:paraId="006C3300">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553D59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057BE506">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D4E23C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3C9A5EA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371FBF0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评价区级、镇级、村级落实《铜梁区财政衔接推进乡村振兴补助资金项目公告公示实施办法》（铜委农办〔2021〕19号）文件要求情况。根据抽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576221C">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分区级、镇级、村级进行评价。</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1.抽查区级公示公开情况，满分3分，未完整公开酌情扣分；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2.抽查镇级公示公开情况，满分3分，未完整公开酌情扣分；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3.抽查村级公示公开情况，满分3分，未完整公开酌情扣分。</w:t>
            </w:r>
          </w:p>
        </w:tc>
      </w:tr>
      <w:tr w14:paraId="1CA2620C">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E0ABE1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050CE3C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09FCE75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4270102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0D0EBE5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评价项目是否达到预期成效，后续管护是否存在问题等。根据抽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74D61FA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满分35分，根据抽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项目情况赋分。项目管理各环节，每存在一例不符合相关规定的，扣0.5分，扣完为止。</w:t>
            </w:r>
          </w:p>
        </w:tc>
      </w:tr>
      <w:tr w14:paraId="6203D9E2">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499322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2D51CB34">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917177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468F11E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5986D6C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55AD173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75FF3482">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EE66BC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4801696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4DBDD0B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4816E94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2D3405E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3227459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1.在财政衔接资金分配、使用、监管等方面存在机制创新；（2分）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2.国家、市级对我区财政衔接资金绩效评价中，被财政部、国家乡村振兴局及其第三方总结经验做法，并调研推广的。（3分）</w:t>
            </w:r>
          </w:p>
        </w:tc>
      </w:tr>
      <w:tr w14:paraId="6F58DC10">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BE0F14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3637D68F">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A4FA0A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1B061AD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67D2591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6872D40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考核材料、数据中存在虚假信息的，或经有关部门监督检查发现问题的，视情节严重程度扣1-10分。</w:t>
            </w:r>
          </w:p>
        </w:tc>
      </w:tr>
    </w:tbl>
    <w:p w14:paraId="48795A2E">
      <w:pPr>
        <w:spacing w:before="120" w:beforeLines="50" w:line="360" w:lineRule="auto"/>
        <w:ind w:firstLine="482" w:firstLineChars="200"/>
        <w:jc w:val="left"/>
        <w:outlineLvl w:val="0"/>
        <w:rPr>
          <w:rFonts w:ascii="Arial Narrow" w:hAnsi="Arial Narrow" w:eastAsiaTheme="minorEastAsia"/>
          <w:b/>
          <w:sz w:val="24"/>
        </w:rPr>
      </w:pPr>
      <w:bookmarkStart w:id="15" w:name="_Toc171671731"/>
      <w:r>
        <w:rPr>
          <w:rFonts w:ascii="Arial Narrow" w:hAnsi="Arial Narrow" w:eastAsiaTheme="minorEastAsia"/>
          <w:b/>
          <w:sz w:val="24"/>
        </w:rPr>
        <w:t>（五）绩效评价标准和评价方法</w:t>
      </w:r>
      <w:bookmarkEnd w:id="15"/>
    </w:p>
    <w:p w14:paraId="34AD6D0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1.绩效评价标准</w:t>
      </w:r>
    </w:p>
    <w:p w14:paraId="0D5710D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绩效评价标准采用定量评分，满分为100分。指标分值我们是根据确定的指标内容及项目实施的具体情况综合分析确定的，详见附件。</w:t>
      </w:r>
    </w:p>
    <w:p w14:paraId="44D8207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绩效评价结果分为优（得分</w:t>
      </w:r>
      <w:bookmarkStart w:id="16" w:name="_Hlk162596803"/>
      <w:r>
        <w:rPr>
          <w:rFonts w:ascii="Arial Narrow" w:hAnsi="Arial Narrow" w:eastAsiaTheme="minorEastAsia"/>
          <w:color w:val="auto"/>
        </w:rPr>
        <w:t>≥90</w:t>
      </w:r>
      <w:bookmarkEnd w:id="16"/>
      <w:r>
        <w:rPr>
          <w:rFonts w:ascii="Arial Narrow" w:hAnsi="Arial Narrow" w:eastAsiaTheme="minorEastAsia"/>
          <w:color w:val="auto"/>
        </w:rPr>
        <w:t>）、良</w:t>
      </w:r>
      <w:bookmarkStart w:id="17" w:name="_Hlk168473502"/>
      <w:r>
        <w:rPr>
          <w:rFonts w:ascii="Arial Narrow" w:hAnsi="Arial Narrow" w:eastAsiaTheme="minorEastAsia"/>
          <w:color w:val="auto"/>
        </w:rPr>
        <w:t>（90＞得分≥80）</w:t>
      </w:r>
      <w:bookmarkEnd w:id="17"/>
      <w:r>
        <w:rPr>
          <w:rFonts w:ascii="Arial Narrow" w:hAnsi="Arial Narrow" w:eastAsiaTheme="minorEastAsia"/>
          <w:color w:val="auto"/>
        </w:rPr>
        <w:t>、中（80＞得分≥60）、差（得分＜60）四个等级，按百分制综合得分高低按分值划段确定。</w:t>
      </w:r>
    </w:p>
    <w:p w14:paraId="68D2461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2.绩效评价方法</w:t>
      </w:r>
    </w:p>
    <w:p w14:paraId="2A07B4B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绩效评价技术方法主要有成本效益分析法、比较法、因素分析法、最低成本法、公众评判法等。</w:t>
      </w:r>
    </w:p>
    <w:p w14:paraId="5627C30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成本效益分析法。是指将一定时期内的支出与效益进行对比分析，以评价绩效目标的实现程度。</w:t>
      </w:r>
    </w:p>
    <w:p w14:paraId="314EA9B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比较法。是指通过对绩效目标与实施效果、历史与当期情况、不同部门和地区同类支出的比较，综合分析绩效目标实现程度。</w:t>
      </w:r>
    </w:p>
    <w:p w14:paraId="597E2E1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因素分析法。是指通过综合分析影响绩效目标实现、实施效果的内外因素，评价绩效目标实现程度。</w:t>
      </w:r>
    </w:p>
    <w:p w14:paraId="4B9D5CE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最低成本法。是指对效益确定却不易计量的多个同类对象的实施成本进行比较，评价绩效目标实现程度。</w:t>
      </w:r>
    </w:p>
    <w:p w14:paraId="4D81DB2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公众评判法。是指通过专家评估、公众问卷及抽样调查等对预算支出效果进行评判，评价绩效目标实现程度。</w:t>
      </w:r>
    </w:p>
    <w:p w14:paraId="7E6232C3">
      <w:pPr>
        <w:spacing w:line="360" w:lineRule="auto"/>
        <w:ind w:firstLine="482" w:firstLineChars="200"/>
        <w:jc w:val="left"/>
        <w:outlineLvl w:val="0"/>
        <w:rPr>
          <w:rFonts w:ascii="Arial Narrow" w:hAnsi="Arial Narrow" w:eastAsiaTheme="minorEastAsia"/>
          <w:b/>
          <w:sz w:val="24"/>
        </w:rPr>
      </w:pPr>
      <w:bookmarkStart w:id="18" w:name="_Toc437528932"/>
      <w:bookmarkStart w:id="19" w:name="_Toc171671732"/>
      <w:r>
        <w:rPr>
          <w:rFonts w:ascii="Arial Narrow" w:hAnsi="Arial Narrow" w:eastAsiaTheme="minorEastAsia"/>
          <w:b/>
          <w:sz w:val="24"/>
        </w:rPr>
        <w:t>（六）绩效评价</w:t>
      </w:r>
      <w:bookmarkEnd w:id="18"/>
      <w:r>
        <w:rPr>
          <w:rFonts w:ascii="Arial Narrow" w:hAnsi="Arial Narrow" w:eastAsiaTheme="minorEastAsia"/>
          <w:b/>
          <w:sz w:val="24"/>
        </w:rPr>
        <w:t>工作过程</w:t>
      </w:r>
      <w:bookmarkEnd w:id="19"/>
    </w:p>
    <w:p w14:paraId="0ED73A7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1.经铜梁区财政局确定为</w:t>
      </w:r>
      <w:r>
        <w:rPr>
          <w:rFonts w:hint="eastAsia" w:ascii="仿宋" w:hAnsi="仿宋" w:eastAsia="仿宋" w:cs="仿宋"/>
          <w:color w:val="auto"/>
        </w:rPr>
        <w:t>“</w:t>
      </w:r>
      <w:r>
        <w:rPr>
          <w:rFonts w:ascii="Arial Narrow" w:hAnsi="Arial Narrow" w:eastAsiaTheme="minorEastAsia"/>
          <w:color w:val="auto"/>
        </w:rPr>
        <w:t>2023年财政专项衔接资金项目</w:t>
      </w:r>
      <w:r>
        <w:rPr>
          <w:rFonts w:hint="eastAsia" w:ascii="仿宋" w:hAnsi="仿宋" w:eastAsia="仿宋" w:cs="仿宋"/>
          <w:color w:val="auto"/>
        </w:rPr>
        <w:t>”</w:t>
      </w:r>
      <w:r>
        <w:rPr>
          <w:rFonts w:ascii="Arial Narrow" w:hAnsi="Arial Narrow" w:eastAsiaTheme="minorEastAsia"/>
          <w:color w:val="auto"/>
        </w:rPr>
        <w:t>项目绩效评价服务单位后我所成立了绩效评价工作小组。</w:t>
      </w:r>
    </w:p>
    <w:p w14:paraId="1AA3DB2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2.根据项目实际情况收集项目基础资料及数据深入了解项目整体情况。</w:t>
      </w:r>
    </w:p>
    <w:p w14:paraId="51A105BC">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3.组织实施现场调查、检查、走访等具体工作</w:t>
      </w:r>
      <w:r>
        <w:rPr>
          <w:rFonts w:hint="eastAsia" w:ascii="Arial Narrow" w:hAnsi="Arial Narrow" w:eastAsiaTheme="minorEastAsia"/>
          <w:color w:val="auto"/>
          <w:lang w:eastAsia="zh-CN"/>
        </w:rPr>
        <w:t>。</w:t>
      </w:r>
    </w:p>
    <w:p w14:paraId="607AF4E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4.依据收集到的项目相关资料和数据，比照经贵单位审定的评价指标体系的评分标准，分别对项目评价打分，汇总后加权平均形成综合评价得分，并对该项目的绩效评价等级进行确认。</w:t>
      </w:r>
    </w:p>
    <w:p w14:paraId="6DE2ABE9">
      <w:pPr>
        <w:spacing w:line="360" w:lineRule="auto"/>
        <w:ind w:firstLine="482" w:firstLineChars="200"/>
        <w:jc w:val="left"/>
        <w:outlineLvl w:val="0"/>
        <w:rPr>
          <w:rFonts w:ascii="Arial Narrow" w:hAnsi="Arial Narrow" w:eastAsiaTheme="minorEastAsia"/>
          <w:b/>
          <w:sz w:val="24"/>
        </w:rPr>
      </w:pPr>
      <w:bookmarkStart w:id="20" w:name="_Toc437528933"/>
      <w:bookmarkStart w:id="21" w:name="_Toc171671733"/>
      <w:r>
        <w:rPr>
          <w:rFonts w:ascii="Arial Narrow" w:hAnsi="Arial Narrow" w:eastAsiaTheme="minorEastAsia"/>
          <w:b/>
          <w:sz w:val="24"/>
        </w:rPr>
        <w:t>三、项目评价</w:t>
      </w:r>
      <w:bookmarkEnd w:id="20"/>
      <w:r>
        <w:rPr>
          <w:rFonts w:ascii="Arial Narrow" w:hAnsi="Arial Narrow" w:eastAsiaTheme="minorEastAsia"/>
          <w:b/>
          <w:sz w:val="24"/>
        </w:rPr>
        <w:t>结论</w:t>
      </w:r>
      <w:bookmarkEnd w:id="21"/>
    </w:p>
    <w:p w14:paraId="73DED75F">
      <w:pPr>
        <w:spacing w:line="360" w:lineRule="auto"/>
        <w:ind w:firstLine="424" w:firstLineChars="177"/>
        <w:jc w:val="left"/>
        <w:rPr>
          <w:rFonts w:ascii="Arial Narrow" w:hAnsi="Arial Narrow" w:eastAsiaTheme="minorEastAsia"/>
          <w:sz w:val="24"/>
        </w:rPr>
      </w:pPr>
      <w:r>
        <w:rPr>
          <w:rFonts w:ascii="Arial Narrow" w:hAnsi="Arial Narrow" w:eastAsiaTheme="minorEastAsia"/>
          <w:sz w:val="24"/>
        </w:rPr>
        <w:t>2023年旧县街道石砚村蔬菜基地基础设施建设项目绩效评价得分98.00分，绩效评价等级为：优；</w:t>
      </w:r>
    </w:p>
    <w:p w14:paraId="2CBE2C1B">
      <w:pPr>
        <w:spacing w:line="360" w:lineRule="auto"/>
        <w:ind w:firstLine="424" w:firstLineChars="177"/>
        <w:jc w:val="left"/>
        <w:rPr>
          <w:rFonts w:ascii="Arial Narrow" w:hAnsi="Arial Narrow" w:eastAsiaTheme="minorEastAsia"/>
          <w:sz w:val="24"/>
        </w:rPr>
      </w:pPr>
      <w:r>
        <w:rPr>
          <w:rFonts w:ascii="Arial Narrow" w:hAnsi="Arial Narrow" w:eastAsiaTheme="minorEastAsia"/>
          <w:sz w:val="24"/>
        </w:rPr>
        <w:t>2023年旧县街道石砚村蔬菜基地基础设施建设项目绩效评价得分95.50分，绩效评价等级为：优。</w:t>
      </w:r>
    </w:p>
    <w:p w14:paraId="56F031BA">
      <w:pPr>
        <w:spacing w:line="360" w:lineRule="auto"/>
        <w:ind w:firstLine="482" w:firstLineChars="200"/>
        <w:outlineLvl w:val="0"/>
        <w:rPr>
          <w:rFonts w:ascii="Arial Narrow" w:hAnsi="Arial Narrow" w:eastAsiaTheme="minorEastAsia"/>
          <w:b/>
          <w:sz w:val="24"/>
        </w:rPr>
      </w:pPr>
      <w:bookmarkStart w:id="22" w:name="_Toc171671734"/>
      <w:r>
        <w:rPr>
          <w:rFonts w:ascii="Arial Narrow" w:hAnsi="Arial Narrow" w:eastAsiaTheme="minorEastAsia"/>
          <w:b/>
          <w:sz w:val="24"/>
        </w:rPr>
        <w:t>四、综合评价情况</w:t>
      </w:r>
      <w:bookmarkEnd w:id="22"/>
    </w:p>
    <w:p w14:paraId="70AE6597">
      <w:pPr>
        <w:spacing w:line="360" w:lineRule="auto"/>
        <w:ind w:firstLine="482" w:firstLineChars="200"/>
        <w:jc w:val="left"/>
        <w:outlineLvl w:val="0"/>
        <w:rPr>
          <w:rFonts w:ascii="Arial Narrow" w:hAnsi="Arial Narrow" w:eastAsiaTheme="minorEastAsia"/>
          <w:b/>
          <w:sz w:val="24"/>
        </w:rPr>
      </w:pPr>
      <w:bookmarkStart w:id="23" w:name="_Toc171671735"/>
      <w:r>
        <w:rPr>
          <w:rFonts w:ascii="Arial Narrow" w:hAnsi="Arial Narrow" w:eastAsiaTheme="minorEastAsia"/>
          <w:b/>
          <w:sz w:val="24"/>
        </w:rPr>
        <w:t>（一）资金管理</w:t>
      </w:r>
      <w:bookmarkEnd w:id="23"/>
    </w:p>
    <w:p w14:paraId="4550882F">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1.财政衔接资金安排情况</w:t>
      </w:r>
    </w:p>
    <w:p w14:paraId="0C066EC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项目按照《重庆市财政局关于提前下达2023年市财政衔接推进乡村振兴补助资金预算的通知》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渝财农〔2022〕146</w:t>
      </w:r>
      <w:r>
        <w:rPr>
          <w:rFonts w:hint="eastAsia" w:ascii="Arial Narrow" w:hAnsi="Arial Narrow" w:eastAsiaTheme="minorEastAsia"/>
          <w:sz w:val="24"/>
          <w:lang w:val="en-US" w:eastAsia="zh-CN"/>
        </w:rPr>
        <w:t>号</w:t>
      </w:r>
      <w:r>
        <w:rPr>
          <w:rFonts w:hint="eastAsia" w:ascii="Arial Narrow" w:hAnsi="Arial Narrow" w:eastAsiaTheme="minorEastAsia"/>
          <w:sz w:val="24"/>
          <w:lang w:eastAsia="zh-CN"/>
        </w:rPr>
        <w:t>）</w:t>
      </w:r>
      <w:r>
        <w:rPr>
          <w:rFonts w:ascii="Arial Narrow" w:hAnsi="Arial Narrow" w:eastAsiaTheme="minorEastAsia"/>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铜财〔2023〕46号</w:t>
      </w:r>
      <w:r>
        <w:rPr>
          <w:rFonts w:hint="eastAsia" w:ascii="Arial Narrow" w:hAnsi="Arial Narrow" w:eastAsiaTheme="minorEastAsia"/>
          <w:sz w:val="24"/>
          <w:lang w:eastAsia="zh-CN"/>
        </w:rPr>
        <w:t>）</w:t>
      </w:r>
      <w:r>
        <w:rPr>
          <w:rFonts w:ascii="Arial Narrow" w:hAnsi="Arial Narrow" w:eastAsiaTheme="minorEastAsia"/>
          <w:sz w:val="24"/>
        </w:rPr>
        <w:t>等相关政策性文件规定落实衔接资金。</w:t>
      </w:r>
    </w:p>
    <w:p w14:paraId="7E1C969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2.资金分解下达进度</w:t>
      </w:r>
    </w:p>
    <w:p w14:paraId="49B2D5C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以上2个项目资金从区财政局下达资金文件时间到区级业务主管部门下达项目及资金计划文件时间间隔小于30天。</w:t>
      </w:r>
    </w:p>
    <w:p w14:paraId="2AFB927E">
      <w:pPr>
        <w:spacing w:line="360" w:lineRule="auto"/>
        <w:ind w:firstLine="482" w:firstLineChars="200"/>
        <w:jc w:val="left"/>
        <w:outlineLvl w:val="0"/>
        <w:rPr>
          <w:rFonts w:ascii="Arial Narrow" w:hAnsi="Arial Narrow" w:eastAsiaTheme="minorEastAsia"/>
          <w:b/>
          <w:sz w:val="24"/>
        </w:rPr>
      </w:pPr>
      <w:bookmarkStart w:id="24" w:name="_Toc171671736"/>
      <w:r>
        <w:rPr>
          <w:rFonts w:ascii="Arial Narrow" w:hAnsi="Arial Narrow" w:eastAsiaTheme="minorEastAsia"/>
          <w:b/>
          <w:sz w:val="24"/>
        </w:rPr>
        <w:t>（二）项目管理</w:t>
      </w:r>
      <w:bookmarkEnd w:id="24"/>
    </w:p>
    <w:p w14:paraId="2D93A10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1.项目库建设管理情况</w:t>
      </w:r>
    </w:p>
    <w:p w14:paraId="7EFE4E7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项目入库及时充分、程序规范、内容完整，制定</w:t>
      </w:r>
      <w:r>
        <w:rPr>
          <w:rFonts w:hint="eastAsia" w:ascii="Arial Narrow" w:hAnsi="Arial Narrow" w:eastAsiaTheme="minorEastAsia"/>
          <w:sz w:val="24"/>
        </w:rPr>
        <w:t>了</w:t>
      </w:r>
      <w:r>
        <w:rPr>
          <w:rFonts w:ascii="Arial Narrow" w:hAnsi="Arial Narrow" w:eastAsiaTheme="minorEastAsia"/>
          <w:sz w:val="24"/>
        </w:rPr>
        <w:t>切合实际的实施方案，具备实施条件，衔接资金未用于项目库之外的项目。</w:t>
      </w:r>
    </w:p>
    <w:p w14:paraId="2CA9389B">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2.项目绩效管理情况</w:t>
      </w:r>
    </w:p>
    <w:p w14:paraId="0360B22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w:t>
      </w:r>
      <w:r>
        <w:rPr>
          <w:rFonts w:ascii="Arial Narrow" w:hAnsi="Arial Narrow" w:cs="宋体" w:eastAsiaTheme="minorEastAsia"/>
          <w:kern w:val="0"/>
          <w:sz w:val="24"/>
        </w:rPr>
        <w:t>及时制定了明确的绩效目标，实施过程中对绩效目标进行监控，对绩效目标偏离项目采取纠偏措施。在项目实施完毕后开展了绩效自评，并形成绩效自评表，项目绩效基本达到预期，项目实施完毕后及时形成自评报告。</w:t>
      </w:r>
    </w:p>
    <w:p w14:paraId="0F968BD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3.项目建设管理情况</w:t>
      </w:r>
    </w:p>
    <w:p w14:paraId="7F237F7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项目实施方案不存在变更情况，实施</w:t>
      </w:r>
      <w:r>
        <w:rPr>
          <w:rFonts w:hint="eastAsia" w:ascii="Arial Narrow" w:hAnsi="Arial Narrow" w:eastAsiaTheme="minorEastAsia"/>
          <w:sz w:val="24"/>
          <w:lang w:eastAsia="zh-CN"/>
        </w:rPr>
        <w:t>过程</w:t>
      </w:r>
      <w:r>
        <w:rPr>
          <w:rFonts w:ascii="Arial Narrow" w:hAnsi="Arial Narrow" w:eastAsiaTheme="minorEastAsia"/>
          <w:sz w:val="24"/>
        </w:rPr>
        <w:t>中由重庆市铜梁区乡村振兴局进行监督检查，检查中未发现重大问题，项目按照实施节点按时提交项目报账资料，项目资料归档整理及时。</w:t>
      </w:r>
    </w:p>
    <w:p w14:paraId="0FB8C74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4.预算执行率情况</w:t>
      </w:r>
    </w:p>
    <w:p w14:paraId="555EBB6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2023年旧县街道白果村枳壳基地设施建设项目七月末、十月末资金支出进度均超过全区平均水平，十二月底的资金预算执行率达到100%。</w:t>
      </w:r>
    </w:p>
    <w:p w14:paraId="1173F86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2023年旧县街道石砚村蔬菜基地基础设施建设项目七月末、十月末资金支出进度均超过全区平均水平，十二</w:t>
      </w:r>
      <w:r>
        <w:rPr>
          <w:rFonts w:hint="eastAsia" w:ascii="Arial Narrow" w:hAnsi="Arial Narrow" w:eastAsiaTheme="minorEastAsia"/>
          <w:sz w:val="24"/>
          <w:lang w:eastAsia="zh-CN"/>
        </w:rPr>
        <w:t>月</w:t>
      </w:r>
      <w:r>
        <w:rPr>
          <w:rFonts w:ascii="Arial Narrow" w:hAnsi="Arial Narrow" w:eastAsiaTheme="minorEastAsia"/>
          <w:sz w:val="24"/>
        </w:rPr>
        <w:t>底的资金预算执行率达到100%。</w:t>
      </w:r>
    </w:p>
    <w:p w14:paraId="4BD5497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5.跟踪督促及发现问题整改情况</w:t>
      </w:r>
    </w:p>
    <w:p w14:paraId="5DD41E9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通过实施单位提供的监控表、自评表等资料显示，项目实施单位定期开展项目实施和资金支出进度等跟踪督促，跟踪督促及各类检查发现问题整改到位。</w:t>
      </w:r>
    </w:p>
    <w:p w14:paraId="5D4EB64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6.账务处理及档案管理等情况</w:t>
      </w:r>
    </w:p>
    <w:p w14:paraId="2CB663E8">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项目实施单位对该项目账务处理规范，档案管理完整。</w:t>
      </w:r>
    </w:p>
    <w:p w14:paraId="03CD12F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7.信息公开和公告公示制度落实情况</w:t>
      </w:r>
    </w:p>
    <w:p w14:paraId="2B3982AB">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重庆市铜梁区乡村振兴局对以上2个项目入库情况、资金计划完成情况等进行了公告公示。</w:t>
      </w:r>
    </w:p>
    <w:p w14:paraId="4D6C736D">
      <w:pPr>
        <w:spacing w:line="360" w:lineRule="auto"/>
        <w:ind w:firstLine="482" w:firstLineChars="200"/>
        <w:jc w:val="left"/>
        <w:outlineLvl w:val="0"/>
        <w:rPr>
          <w:rFonts w:ascii="Arial Narrow" w:hAnsi="Arial Narrow" w:eastAsiaTheme="minorEastAsia"/>
          <w:b/>
          <w:sz w:val="24"/>
        </w:rPr>
      </w:pPr>
      <w:bookmarkStart w:id="25" w:name="_Toc171671737"/>
      <w:r>
        <w:rPr>
          <w:rFonts w:ascii="Arial Narrow" w:hAnsi="Arial Narrow" w:eastAsiaTheme="minorEastAsia"/>
          <w:b/>
          <w:sz w:val="24"/>
        </w:rPr>
        <w:t>（三）使用成效及通报情况</w:t>
      </w:r>
      <w:bookmarkEnd w:id="25"/>
    </w:p>
    <w:p w14:paraId="1CED1D08">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1.资金使用效益</w:t>
      </w:r>
    </w:p>
    <w:p w14:paraId="426D7C9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项目总体资金均专款专用，项目完成进度和及时性达到计划预期目的。完成项目的质量能够达标，完成进行了自评、项目资金完整。</w:t>
      </w:r>
    </w:p>
    <w:p w14:paraId="204EB978">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2.通报情况</w:t>
      </w:r>
    </w:p>
    <w:p w14:paraId="27C8083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2023年旧县街道白果村枳壳基地设施建设项目因进度达到80%未完工项目被铜梁区财政局（铜财〔2023〕347号）通报一次。</w:t>
      </w:r>
    </w:p>
    <w:p w14:paraId="63A8DE37">
      <w:pPr>
        <w:spacing w:line="360" w:lineRule="auto"/>
        <w:ind w:firstLine="482" w:firstLineChars="200"/>
        <w:outlineLvl w:val="0"/>
        <w:rPr>
          <w:rFonts w:ascii="Arial Narrow" w:hAnsi="Arial Narrow" w:eastAsiaTheme="minorEastAsia"/>
          <w:b/>
          <w:sz w:val="24"/>
        </w:rPr>
      </w:pPr>
      <w:bookmarkStart w:id="26" w:name="_Toc171671738"/>
      <w:r>
        <w:rPr>
          <w:rFonts w:ascii="Arial Narrow" w:hAnsi="Arial Narrow" w:eastAsiaTheme="minorEastAsia"/>
          <w:b/>
          <w:sz w:val="24"/>
        </w:rPr>
        <w:t>五、存在的问题和建议</w:t>
      </w:r>
      <w:bookmarkEnd w:id="26"/>
    </w:p>
    <w:p w14:paraId="34012ED4">
      <w:pPr>
        <w:spacing w:line="360" w:lineRule="auto"/>
        <w:ind w:firstLine="482" w:firstLineChars="200"/>
        <w:jc w:val="left"/>
        <w:outlineLvl w:val="0"/>
        <w:rPr>
          <w:rFonts w:ascii="Arial Narrow" w:hAnsi="Arial Narrow" w:eastAsiaTheme="minorEastAsia"/>
          <w:b/>
          <w:sz w:val="24"/>
        </w:rPr>
      </w:pPr>
      <w:bookmarkStart w:id="27" w:name="_Toc171671739"/>
      <w:r>
        <w:rPr>
          <w:rFonts w:ascii="Arial Narrow" w:hAnsi="Arial Narrow" w:eastAsiaTheme="minorEastAsia"/>
          <w:b/>
          <w:sz w:val="24"/>
        </w:rPr>
        <w:t>（一）存在问题</w:t>
      </w:r>
      <w:bookmarkEnd w:id="27"/>
    </w:p>
    <w:p w14:paraId="6D9F557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1.未见项目建成后的后续管护记录；</w:t>
      </w:r>
    </w:p>
    <w:p w14:paraId="16E9918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2.项目资金拨付进度较晚，最后一笔款于2023年12月支出。</w:t>
      </w:r>
    </w:p>
    <w:p w14:paraId="088355AA">
      <w:pPr>
        <w:spacing w:line="360" w:lineRule="auto"/>
        <w:ind w:firstLine="482" w:firstLineChars="200"/>
        <w:jc w:val="left"/>
        <w:outlineLvl w:val="0"/>
        <w:rPr>
          <w:rFonts w:ascii="Arial Narrow" w:hAnsi="Arial Narrow" w:eastAsiaTheme="minorEastAsia"/>
          <w:b/>
          <w:sz w:val="24"/>
        </w:rPr>
      </w:pPr>
      <w:bookmarkStart w:id="28" w:name="_Toc171671740"/>
      <w:r>
        <w:rPr>
          <w:rFonts w:ascii="Arial Narrow" w:hAnsi="Arial Narrow" w:eastAsiaTheme="minorEastAsia"/>
          <w:b/>
          <w:sz w:val="24"/>
        </w:rPr>
        <w:t>（二）建议</w:t>
      </w:r>
      <w:bookmarkEnd w:id="28"/>
    </w:p>
    <w:p w14:paraId="55EFD4E1">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w:t>
      </w:r>
      <w:r>
        <w:rPr>
          <w:rFonts w:ascii="Arial Narrow" w:hAnsi="Arial Narrow" w:eastAsiaTheme="minorEastAsia"/>
          <w:sz w:val="24"/>
        </w:rPr>
        <w:t>建立健全日常巡查管护制度，定期巡查管护，保证项目长期健康运行，持续发挥衔接资金带贫作用</w:t>
      </w:r>
      <w:r>
        <w:rPr>
          <w:rStyle w:val="11"/>
          <w:rFonts w:ascii="Arial Narrow" w:hAnsi="Arial Narrow" w:eastAsiaTheme="minorEastAsia"/>
          <w:color w:val="auto"/>
          <w:sz w:val="24"/>
          <w:u w:val="none"/>
        </w:rPr>
        <w:t>；</w:t>
      </w:r>
    </w:p>
    <w:p w14:paraId="013A367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w:t>
      </w:r>
      <w:r>
        <w:rPr>
          <w:rStyle w:val="11"/>
          <w:rFonts w:ascii="Arial Narrow" w:hAnsi="Arial Narrow" w:eastAsiaTheme="minorEastAsia"/>
          <w:color w:val="auto"/>
          <w:sz w:val="24"/>
          <w:u w:val="none"/>
        </w:rPr>
        <w:t>严格按照财政资金预算执行，及时拨付项目资金。针对财政专项资金,建议实施单位在规定时间内支付项目资金,杜绝资金滞留、挤占、截留、挪用等现象的发生。</w:t>
      </w:r>
    </w:p>
    <w:p w14:paraId="674B7BAA">
      <w:pPr>
        <w:adjustRightInd w:val="0"/>
        <w:snapToGrid w:val="0"/>
        <w:spacing w:line="360" w:lineRule="auto"/>
        <w:ind w:firstLine="480" w:firstLineChars="200"/>
        <w:rPr>
          <w:rFonts w:ascii="Arial Narrow" w:hAnsi="Arial Narrow" w:eastAsiaTheme="minorEastAsia"/>
          <w:sz w:val="24"/>
        </w:rPr>
      </w:pPr>
    </w:p>
    <w:p w14:paraId="562A8D45">
      <w:pPr>
        <w:adjustRightInd w:val="0"/>
        <w:snapToGrid w:val="0"/>
        <w:spacing w:line="360" w:lineRule="auto"/>
        <w:ind w:firstLine="480" w:firstLineChars="200"/>
        <w:rPr>
          <w:rFonts w:ascii="Arial Narrow" w:hAnsi="Arial Narrow" w:eastAsiaTheme="minorEastAsia"/>
          <w:sz w:val="24"/>
        </w:rPr>
      </w:pPr>
    </w:p>
    <w:p w14:paraId="72178CF2">
      <w:pPr>
        <w:adjustRightInd w:val="0"/>
        <w:snapToGrid w:val="0"/>
        <w:spacing w:line="360" w:lineRule="auto"/>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附件：1</w:t>
      </w:r>
      <w:r>
        <w:rPr>
          <w:rStyle w:val="11"/>
          <w:rFonts w:hint="eastAsia" w:ascii="Arial Narrow" w:hAnsi="Arial Narrow" w:eastAsiaTheme="minorEastAsia"/>
          <w:color w:val="auto"/>
          <w:sz w:val="24"/>
          <w:u w:val="none"/>
          <w:lang w:val="en-US" w:eastAsia="zh-CN"/>
        </w:rPr>
        <w:t>.</w:t>
      </w:r>
      <w:r>
        <w:rPr>
          <w:rStyle w:val="11"/>
          <w:rFonts w:hint="eastAsia" w:ascii="Arial Narrow" w:hAnsi="Arial Narrow" w:eastAsiaTheme="minorEastAsia"/>
          <w:color w:val="auto"/>
          <w:sz w:val="24"/>
          <w:u w:val="none"/>
        </w:rPr>
        <w:t>铜梁区衔接资金项目绩效评价及考核指标评分表</w:t>
      </w:r>
      <w:r>
        <w:rPr>
          <w:rStyle w:val="11"/>
          <w:rFonts w:ascii="Arial Narrow" w:hAnsi="Arial Narrow" w:eastAsiaTheme="minorEastAsia"/>
          <w:color w:val="auto"/>
          <w:sz w:val="24"/>
          <w:u w:val="none"/>
        </w:rPr>
        <w:t>；</w:t>
      </w:r>
    </w:p>
    <w:p w14:paraId="0614C197">
      <w:pPr>
        <w:adjustRightInd w:val="0"/>
        <w:snapToGrid w:val="0"/>
        <w:spacing w:line="360" w:lineRule="auto"/>
        <w:ind w:firstLine="720" w:firstLineChars="3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w:t>
      </w:r>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会计师事务所营业执照和资质复印件。</w:t>
      </w:r>
    </w:p>
    <w:p w14:paraId="6E5707A0">
      <w:pPr>
        <w:adjustRightInd w:val="0"/>
        <w:snapToGrid w:val="0"/>
        <w:spacing w:line="360" w:lineRule="auto"/>
        <w:ind w:firstLine="720" w:firstLineChars="300"/>
        <w:rPr>
          <w:rStyle w:val="11"/>
          <w:rFonts w:ascii="Arial Narrow" w:hAnsi="Arial Narrow" w:eastAsiaTheme="minorEastAsia"/>
          <w:color w:val="auto"/>
          <w:sz w:val="24"/>
          <w:u w:val="none"/>
        </w:rPr>
      </w:pPr>
    </w:p>
    <w:p w14:paraId="277BC336">
      <w:pPr>
        <w:adjustRightInd w:val="0"/>
        <w:snapToGrid w:val="0"/>
        <w:spacing w:line="360" w:lineRule="auto"/>
        <w:ind w:firstLine="720" w:firstLineChars="300"/>
        <w:rPr>
          <w:rStyle w:val="11"/>
          <w:rFonts w:ascii="Arial Narrow" w:hAnsi="Arial Narrow" w:eastAsiaTheme="minorEastAsia"/>
          <w:color w:val="auto"/>
          <w:sz w:val="24"/>
          <w:u w:val="none"/>
        </w:rPr>
      </w:pPr>
    </w:p>
    <w:p w14:paraId="62876F2F">
      <w:pPr>
        <w:adjustRightInd w:val="0"/>
        <w:snapToGrid w:val="0"/>
        <w:spacing w:line="360" w:lineRule="auto"/>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重庆铭鸿金全会计师事务所有限责任公司</w:t>
      </w:r>
    </w:p>
    <w:p w14:paraId="7375B1DD">
      <w:pPr>
        <w:adjustRightInd w:val="0"/>
        <w:snapToGrid w:val="0"/>
        <w:spacing w:line="360" w:lineRule="auto"/>
        <w:ind w:right="960" w:firstLine="4800" w:firstLineChars="2000"/>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二</w:t>
      </w:r>
      <w:r>
        <w:rPr>
          <w:rStyle w:val="11"/>
          <w:rFonts w:hint="eastAsia" w:ascii="Arial Narrow" w:hAnsi="Arial Narrow" w:eastAsiaTheme="minorEastAsia"/>
          <w:color w:val="auto"/>
          <w:sz w:val="24"/>
          <w:u w:val="none"/>
          <w:lang w:val="en-US" w:eastAsia="zh-CN"/>
        </w:rPr>
        <w:t>〇</w:t>
      </w:r>
      <w:bookmarkStart w:id="29" w:name="_GoBack"/>
      <w:bookmarkEnd w:id="29"/>
      <w:r>
        <w:rPr>
          <w:rStyle w:val="11"/>
          <w:rFonts w:ascii="Arial Narrow" w:hAnsi="Arial Narrow" w:eastAsiaTheme="minorEastAsia"/>
          <w:color w:val="auto"/>
          <w:sz w:val="24"/>
          <w:u w:val="none"/>
        </w:rPr>
        <w:t>二四年六月</w:t>
      </w:r>
      <w:r>
        <w:rPr>
          <w:rStyle w:val="11"/>
          <w:rFonts w:hint="eastAsia" w:ascii="Arial Narrow" w:hAnsi="Arial Narrow" w:eastAsiaTheme="minorEastAsia"/>
          <w:color w:val="auto"/>
          <w:sz w:val="24"/>
          <w:u w:val="none"/>
        </w:rPr>
        <w:t>三十</w:t>
      </w:r>
      <w:r>
        <w:rPr>
          <w:rStyle w:val="11"/>
          <w:rFonts w:ascii="Arial Narrow" w:hAnsi="Arial Narrow" w:eastAsiaTheme="minorEastAsia"/>
          <w:color w:val="auto"/>
          <w:sz w:val="24"/>
          <w:u w:val="none"/>
        </w:rPr>
        <w:t>日</w:t>
      </w:r>
    </w:p>
    <w:sectPr>
      <w:headerReference r:id="rId4" w:type="default"/>
      <w:footerReference r:id="rId5" w:type="default"/>
      <w:pgSz w:w="11906" w:h="16838"/>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5754C">
    <w:pPr>
      <w:pStyle w:val="5"/>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9EF9C">
    <w:pPr>
      <w:pStyle w:val="5"/>
      <w:jc w:val="center"/>
      <w:rPr>
        <w:rFonts w:hint="eastAsia"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F872CB">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7F872CB">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09682">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03CC9"/>
    <w:rsid w:val="000048D1"/>
    <w:rsid w:val="00007A67"/>
    <w:rsid w:val="00023EC4"/>
    <w:rsid w:val="000343D6"/>
    <w:rsid w:val="00060BD2"/>
    <w:rsid w:val="000637E7"/>
    <w:rsid w:val="00063E0B"/>
    <w:rsid w:val="00066A05"/>
    <w:rsid w:val="000769EE"/>
    <w:rsid w:val="0008236A"/>
    <w:rsid w:val="00086903"/>
    <w:rsid w:val="00093CF7"/>
    <w:rsid w:val="00094BEA"/>
    <w:rsid w:val="00096EF3"/>
    <w:rsid w:val="000B69A7"/>
    <w:rsid w:val="000D1A3B"/>
    <w:rsid w:val="000E3B8B"/>
    <w:rsid w:val="000E4529"/>
    <w:rsid w:val="000E6A52"/>
    <w:rsid w:val="000F2B58"/>
    <w:rsid w:val="0010003E"/>
    <w:rsid w:val="00104568"/>
    <w:rsid w:val="00107D74"/>
    <w:rsid w:val="00125922"/>
    <w:rsid w:val="0013351F"/>
    <w:rsid w:val="00134388"/>
    <w:rsid w:val="00143A99"/>
    <w:rsid w:val="00152152"/>
    <w:rsid w:val="00163B00"/>
    <w:rsid w:val="00164C87"/>
    <w:rsid w:val="001802C4"/>
    <w:rsid w:val="001819DF"/>
    <w:rsid w:val="001A2F96"/>
    <w:rsid w:val="001A42EB"/>
    <w:rsid w:val="001A5651"/>
    <w:rsid w:val="001C6F32"/>
    <w:rsid w:val="001E0132"/>
    <w:rsid w:val="001F3624"/>
    <w:rsid w:val="001F43AE"/>
    <w:rsid w:val="0020106A"/>
    <w:rsid w:val="00204413"/>
    <w:rsid w:val="00216472"/>
    <w:rsid w:val="00224D96"/>
    <w:rsid w:val="00226E7E"/>
    <w:rsid w:val="002360A5"/>
    <w:rsid w:val="002441B3"/>
    <w:rsid w:val="00245725"/>
    <w:rsid w:val="00254FC8"/>
    <w:rsid w:val="002663D6"/>
    <w:rsid w:val="00276D1C"/>
    <w:rsid w:val="00282997"/>
    <w:rsid w:val="002914F2"/>
    <w:rsid w:val="00294F41"/>
    <w:rsid w:val="002A4DF7"/>
    <w:rsid w:val="002B1561"/>
    <w:rsid w:val="002C083D"/>
    <w:rsid w:val="002C36AE"/>
    <w:rsid w:val="002C4BF0"/>
    <w:rsid w:val="002C5020"/>
    <w:rsid w:val="002C7EFA"/>
    <w:rsid w:val="002E09F1"/>
    <w:rsid w:val="002E10D6"/>
    <w:rsid w:val="002F5600"/>
    <w:rsid w:val="00314819"/>
    <w:rsid w:val="00314A5A"/>
    <w:rsid w:val="00314D84"/>
    <w:rsid w:val="00322B11"/>
    <w:rsid w:val="00324E2F"/>
    <w:rsid w:val="00331DC5"/>
    <w:rsid w:val="00337E89"/>
    <w:rsid w:val="003403BC"/>
    <w:rsid w:val="003427DA"/>
    <w:rsid w:val="00362EF1"/>
    <w:rsid w:val="00364CA3"/>
    <w:rsid w:val="0037066E"/>
    <w:rsid w:val="00375EC1"/>
    <w:rsid w:val="00376F09"/>
    <w:rsid w:val="00384C3C"/>
    <w:rsid w:val="003879CE"/>
    <w:rsid w:val="00397659"/>
    <w:rsid w:val="003A00D8"/>
    <w:rsid w:val="003A1ECE"/>
    <w:rsid w:val="003A39DD"/>
    <w:rsid w:val="003B42BF"/>
    <w:rsid w:val="003C258D"/>
    <w:rsid w:val="003C31C4"/>
    <w:rsid w:val="004077FE"/>
    <w:rsid w:val="00414A58"/>
    <w:rsid w:val="004200C2"/>
    <w:rsid w:val="00420AA7"/>
    <w:rsid w:val="00421311"/>
    <w:rsid w:val="00421C71"/>
    <w:rsid w:val="00422B66"/>
    <w:rsid w:val="0044730F"/>
    <w:rsid w:val="00451B44"/>
    <w:rsid w:val="00470930"/>
    <w:rsid w:val="00477B31"/>
    <w:rsid w:val="004A7B95"/>
    <w:rsid w:val="004C1F3A"/>
    <w:rsid w:val="004C38B4"/>
    <w:rsid w:val="004D1145"/>
    <w:rsid w:val="004D2A61"/>
    <w:rsid w:val="004D2A6E"/>
    <w:rsid w:val="004E6833"/>
    <w:rsid w:val="004F367F"/>
    <w:rsid w:val="004F7A0F"/>
    <w:rsid w:val="00501A64"/>
    <w:rsid w:val="00536985"/>
    <w:rsid w:val="00536F63"/>
    <w:rsid w:val="00565296"/>
    <w:rsid w:val="00572DD6"/>
    <w:rsid w:val="00577297"/>
    <w:rsid w:val="005A2955"/>
    <w:rsid w:val="005B1179"/>
    <w:rsid w:val="005E133F"/>
    <w:rsid w:val="005E1730"/>
    <w:rsid w:val="005E4847"/>
    <w:rsid w:val="005F01BA"/>
    <w:rsid w:val="005F289A"/>
    <w:rsid w:val="005F3C4E"/>
    <w:rsid w:val="005F7548"/>
    <w:rsid w:val="0060606D"/>
    <w:rsid w:val="0061001E"/>
    <w:rsid w:val="00613DCA"/>
    <w:rsid w:val="0061417A"/>
    <w:rsid w:val="00615E5C"/>
    <w:rsid w:val="006553BC"/>
    <w:rsid w:val="00655510"/>
    <w:rsid w:val="00655BBA"/>
    <w:rsid w:val="00662ED7"/>
    <w:rsid w:val="0068522F"/>
    <w:rsid w:val="0069156D"/>
    <w:rsid w:val="0069678B"/>
    <w:rsid w:val="006A58E0"/>
    <w:rsid w:val="006A6102"/>
    <w:rsid w:val="006D14F7"/>
    <w:rsid w:val="006E75D6"/>
    <w:rsid w:val="006E7DA1"/>
    <w:rsid w:val="006F7CBD"/>
    <w:rsid w:val="00717B7E"/>
    <w:rsid w:val="0072082C"/>
    <w:rsid w:val="0073019B"/>
    <w:rsid w:val="00730A8E"/>
    <w:rsid w:val="00740E9D"/>
    <w:rsid w:val="00741402"/>
    <w:rsid w:val="00742AD3"/>
    <w:rsid w:val="007545D5"/>
    <w:rsid w:val="00786924"/>
    <w:rsid w:val="007A6BE6"/>
    <w:rsid w:val="007B57A1"/>
    <w:rsid w:val="007D0A35"/>
    <w:rsid w:val="007D695C"/>
    <w:rsid w:val="008050B0"/>
    <w:rsid w:val="00813ADF"/>
    <w:rsid w:val="008224B5"/>
    <w:rsid w:val="00824435"/>
    <w:rsid w:val="00827385"/>
    <w:rsid w:val="00842151"/>
    <w:rsid w:val="008478E1"/>
    <w:rsid w:val="00856815"/>
    <w:rsid w:val="00866999"/>
    <w:rsid w:val="008952B1"/>
    <w:rsid w:val="008A3E89"/>
    <w:rsid w:val="008D0C1C"/>
    <w:rsid w:val="008D4F7C"/>
    <w:rsid w:val="008E609D"/>
    <w:rsid w:val="0090729E"/>
    <w:rsid w:val="00920F8C"/>
    <w:rsid w:val="009309C0"/>
    <w:rsid w:val="00931593"/>
    <w:rsid w:val="0093428C"/>
    <w:rsid w:val="0093667D"/>
    <w:rsid w:val="0095292C"/>
    <w:rsid w:val="00956B38"/>
    <w:rsid w:val="00973421"/>
    <w:rsid w:val="0097685B"/>
    <w:rsid w:val="009826CB"/>
    <w:rsid w:val="00983CB7"/>
    <w:rsid w:val="0099506C"/>
    <w:rsid w:val="009957B8"/>
    <w:rsid w:val="0099666C"/>
    <w:rsid w:val="00997895"/>
    <w:rsid w:val="009B4F6B"/>
    <w:rsid w:val="009C0564"/>
    <w:rsid w:val="009E4A98"/>
    <w:rsid w:val="009F1C42"/>
    <w:rsid w:val="00A03D08"/>
    <w:rsid w:val="00A066D6"/>
    <w:rsid w:val="00A14650"/>
    <w:rsid w:val="00A2597D"/>
    <w:rsid w:val="00A32CEF"/>
    <w:rsid w:val="00A352D4"/>
    <w:rsid w:val="00A467FF"/>
    <w:rsid w:val="00A554AB"/>
    <w:rsid w:val="00A66761"/>
    <w:rsid w:val="00A8562F"/>
    <w:rsid w:val="00A922C5"/>
    <w:rsid w:val="00A95CA5"/>
    <w:rsid w:val="00AB0136"/>
    <w:rsid w:val="00AC3880"/>
    <w:rsid w:val="00AD0284"/>
    <w:rsid w:val="00AE470F"/>
    <w:rsid w:val="00AF58DD"/>
    <w:rsid w:val="00B134A6"/>
    <w:rsid w:val="00B25A79"/>
    <w:rsid w:val="00B37BAB"/>
    <w:rsid w:val="00B7289F"/>
    <w:rsid w:val="00B779A4"/>
    <w:rsid w:val="00B77ED8"/>
    <w:rsid w:val="00B977FA"/>
    <w:rsid w:val="00BA142A"/>
    <w:rsid w:val="00BA212E"/>
    <w:rsid w:val="00BB3674"/>
    <w:rsid w:val="00BC2692"/>
    <w:rsid w:val="00BC7BED"/>
    <w:rsid w:val="00BD6FFD"/>
    <w:rsid w:val="00BD75F7"/>
    <w:rsid w:val="00BF38D8"/>
    <w:rsid w:val="00BF4A94"/>
    <w:rsid w:val="00C02FB6"/>
    <w:rsid w:val="00C107C7"/>
    <w:rsid w:val="00C12443"/>
    <w:rsid w:val="00C35442"/>
    <w:rsid w:val="00C36A73"/>
    <w:rsid w:val="00C41EBB"/>
    <w:rsid w:val="00C43388"/>
    <w:rsid w:val="00C60A62"/>
    <w:rsid w:val="00C8677E"/>
    <w:rsid w:val="00C87D50"/>
    <w:rsid w:val="00CB54FB"/>
    <w:rsid w:val="00CC769D"/>
    <w:rsid w:val="00CE181A"/>
    <w:rsid w:val="00CF0849"/>
    <w:rsid w:val="00D1562E"/>
    <w:rsid w:val="00D254D3"/>
    <w:rsid w:val="00D26E16"/>
    <w:rsid w:val="00D415D5"/>
    <w:rsid w:val="00D61F80"/>
    <w:rsid w:val="00D87042"/>
    <w:rsid w:val="00DA4F34"/>
    <w:rsid w:val="00DB3B16"/>
    <w:rsid w:val="00DB55F0"/>
    <w:rsid w:val="00DD1941"/>
    <w:rsid w:val="00E035A0"/>
    <w:rsid w:val="00E065AA"/>
    <w:rsid w:val="00E1143D"/>
    <w:rsid w:val="00E23D6E"/>
    <w:rsid w:val="00E27A95"/>
    <w:rsid w:val="00E316A2"/>
    <w:rsid w:val="00E32864"/>
    <w:rsid w:val="00E53B0A"/>
    <w:rsid w:val="00E66C12"/>
    <w:rsid w:val="00E67B82"/>
    <w:rsid w:val="00E709E2"/>
    <w:rsid w:val="00E768C4"/>
    <w:rsid w:val="00E80BDA"/>
    <w:rsid w:val="00E872F3"/>
    <w:rsid w:val="00E91097"/>
    <w:rsid w:val="00EA195F"/>
    <w:rsid w:val="00EA1C10"/>
    <w:rsid w:val="00EA30BF"/>
    <w:rsid w:val="00EB474C"/>
    <w:rsid w:val="00EB52C5"/>
    <w:rsid w:val="00ED0A8C"/>
    <w:rsid w:val="00EE279E"/>
    <w:rsid w:val="00F31057"/>
    <w:rsid w:val="00F36680"/>
    <w:rsid w:val="00F4160A"/>
    <w:rsid w:val="00F45323"/>
    <w:rsid w:val="00F54C3F"/>
    <w:rsid w:val="00F612AC"/>
    <w:rsid w:val="00F61D28"/>
    <w:rsid w:val="00F64D50"/>
    <w:rsid w:val="00F6551E"/>
    <w:rsid w:val="00F6572C"/>
    <w:rsid w:val="00F84DF0"/>
    <w:rsid w:val="00F85329"/>
    <w:rsid w:val="00F85A77"/>
    <w:rsid w:val="00F91D4D"/>
    <w:rsid w:val="00F96185"/>
    <w:rsid w:val="00FA6718"/>
    <w:rsid w:val="00FC369E"/>
    <w:rsid w:val="00FD1A79"/>
    <w:rsid w:val="00FD5F18"/>
    <w:rsid w:val="00FE1E65"/>
    <w:rsid w:val="00FE5705"/>
    <w:rsid w:val="00FF09B7"/>
    <w:rsid w:val="00FF5AA5"/>
    <w:rsid w:val="020E00E1"/>
    <w:rsid w:val="02717C9D"/>
    <w:rsid w:val="043C3BFF"/>
    <w:rsid w:val="0C955D75"/>
    <w:rsid w:val="10FD0312"/>
    <w:rsid w:val="120E6874"/>
    <w:rsid w:val="1F833952"/>
    <w:rsid w:val="211F6021"/>
    <w:rsid w:val="2156473F"/>
    <w:rsid w:val="270731DD"/>
    <w:rsid w:val="357129F4"/>
    <w:rsid w:val="371050B8"/>
    <w:rsid w:val="45947F31"/>
    <w:rsid w:val="4A2B72F7"/>
    <w:rsid w:val="4DF1278B"/>
    <w:rsid w:val="50497F34"/>
    <w:rsid w:val="5F5C1802"/>
    <w:rsid w:val="60087B46"/>
    <w:rsid w:val="618042AF"/>
    <w:rsid w:val="629B4EDD"/>
    <w:rsid w:val="68E640B5"/>
    <w:rsid w:val="6C0B491D"/>
    <w:rsid w:val="72FE3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Date"/>
    <w:basedOn w:val="1"/>
    <w:next w:val="1"/>
    <w:link w:val="18"/>
    <w:qFormat/>
    <w:uiPriority w:val="0"/>
    <w:pPr>
      <w:ind w:left="100" w:leftChars="2500"/>
    </w:p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日期 字符"/>
    <w:basedOn w:val="10"/>
    <w:link w:val="4"/>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5918</Words>
  <Characters>6362</Characters>
  <Lines>54</Lines>
  <Paragraphs>15</Paragraphs>
  <TotalTime>1</TotalTime>
  <ScaleCrop>false</ScaleCrop>
  <LinksUpToDate>false</LinksUpToDate>
  <CharactersWithSpaces>6392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2024-07-29T09:48:00Z</cp:lastPrinted>
  <dcterms:modified xsi:type="dcterms:W3CDTF">2024-11-20T01:28:49Z</dcterms:modified>
  <cp:revision>288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65EAF5E598344254AD3F6654E078890E_13</vt:lpwstr>
  </property>
</Properties>
</file>