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12BF5">
      <w:pPr>
        <w:spacing w:line="360" w:lineRule="auto"/>
        <w:jc w:val="center"/>
        <w:rPr>
          <w:rFonts w:ascii="Arial Narrow" w:hAnsi="Arial Narrow" w:eastAsiaTheme="minorEastAsia"/>
          <w:b/>
          <w:bCs/>
          <w:sz w:val="36"/>
          <w:szCs w:val="36"/>
        </w:rPr>
      </w:pPr>
    </w:p>
    <w:p w14:paraId="1F2D6F09">
      <w:pPr>
        <w:spacing w:line="360" w:lineRule="auto"/>
        <w:jc w:val="center"/>
        <w:rPr>
          <w:rFonts w:ascii="Arial Narrow" w:hAnsi="Arial Narrow" w:eastAsiaTheme="minorEastAsia"/>
          <w:b/>
          <w:bCs/>
          <w:sz w:val="36"/>
          <w:szCs w:val="36"/>
        </w:rPr>
      </w:pPr>
    </w:p>
    <w:p w14:paraId="3754EAAD">
      <w:pPr>
        <w:spacing w:line="360" w:lineRule="auto"/>
        <w:jc w:val="center"/>
        <w:rPr>
          <w:rFonts w:ascii="Arial Narrow" w:hAnsi="Arial Narrow" w:eastAsiaTheme="minorEastAsia"/>
          <w:b/>
          <w:bCs/>
          <w:sz w:val="36"/>
          <w:szCs w:val="36"/>
        </w:rPr>
      </w:pPr>
    </w:p>
    <w:p w14:paraId="406EAC43">
      <w:pPr>
        <w:spacing w:line="360" w:lineRule="auto"/>
        <w:jc w:val="center"/>
        <w:rPr>
          <w:rFonts w:ascii="Arial Narrow" w:hAnsi="Arial Narrow" w:eastAsiaTheme="minorEastAsia"/>
          <w:b/>
          <w:bCs/>
          <w:sz w:val="36"/>
          <w:szCs w:val="36"/>
        </w:rPr>
      </w:pPr>
    </w:p>
    <w:p w14:paraId="4DAA0E81">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重庆市铜梁区二坪镇狮子村乡村振兴产业基础设施建设</w:t>
      </w:r>
      <w:r>
        <w:rPr>
          <w:rFonts w:hint="eastAsia" w:ascii="Arial Narrow" w:hAnsi="Arial Narrow" w:eastAsiaTheme="minorEastAsia"/>
          <w:b/>
          <w:sz w:val="44"/>
          <w:szCs w:val="44"/>
          <w:lang w:val="en-US" w:eastAsia="zh-CN"/>
        </w:rPr>
        <w:t>等2个项目</w:t>
      </w:r>
      <w:r>
        <w:rPr>
          <w:rFonts w:ascii="Arial Narrow" w:hAnsi="Arial Narrow" w:eastAsiaTheme="minorEastAsia"/>
          <w:b/>
          <w:sz w:val="44"/>
          <w:szCs w:val="44"/>
        </w:rPr>
        <w:t>财政专项衔接资金</w:t>
      </w:r>
    </w:p>
    <w:p w14:paraId="5B46072B">
      <w:pPr>
        <w:adjustRightInd w:val="0"/>
        <w:snapToGrid w:val="0"/>
        <w:spacing w:line="360" w:lineRule="auto"/>
        <w:jc w:val="center"/>
        <w:rPr>
          <w:rFonts w:ascii="Arial Narrow" w:hAnsi="Arial Narrow" w:eastAsiaTheme="minorEastAsia"/>
          <w:b/>
          <w:sz w:val="44"/>
          <w:szCs w:val="44"/>
        </w:rPr>
      </w:pPr>
    </w:p>
    <w:p w14:paraId="5F74C577">
      <w:pPr>
        <w:adjustRightInd w:val="0"/>
        <w:snapToGrid w:val="0"/>
        <w:spacing w:line="360" w:lineRule="auto"/>
        <w:jc w:val="center"/>
        <w:rPr>
          <w:rFonts w:ascii="Arial Narrow" w:hAnsi="Arial Narrow" w:eastAsiaTheme="minorEastAsia"/>
          <w:b/>
          <w:sz w:val="44"/>
          <w:szCs w:val="44"/>
        </w:rPr>
      </w:pPr>
    </w:p>
    <w:p w14:paraId="51AE786F">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192690FC">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铭鸿咨字【2024】第0036号</w:t>
      </w:r>
    </w:p>
    <w:p w14:paraId="44060201">
      <w:pPr>
        <w:adjustRightInd w:val="0"/>
        <w:snapToGrid w:val="0"/>
        <w:spacing w:line="360" w:lineRule="auto"/>
        <w:jc w:val="center"/>
        <w:rPr>
          <w:rFonts w:ascii="Arial Narrow" w:hAnsi="Arial Narrow" w:eastAsiaTheme="minorEastAsia"/>
          <w:b/>
          <w:spacing w:val="100"/>
          <w:sz w:val="32"/>
          <w:szCs w:val="32"/>
        </w:rPr>
      </w:pPr>
    </w:p>
    <w:p w14:paraId="7B5F68EA">
      <w:pPr>
        <w:adjustRightInd w:val="0"/>
        <w:snapToGrid w:val="0"/>
        <w:spacing w:line="360" w:lineRule="auto"/>
        <w:jc w:val="center"/>
        <w:rPr>
          <w:rFonts w:ascii="Arial Narrow" w:hAnsi="Arial Narrow" w:eastAsiaTheme="minorEastAsia"/>
          <w:b/>
          <w:spacing w:val="100"/>
          <w:sz w:val="32"/>
          <w:szCs w:val="32"/>
        </w:rPr>
      </w:pPr>
    </w:p>
    <w:p w14:paraId="204CEE2C">
      <w:pPr>
        <w:adjustRightInd w:val="0"/>
        <w:snapToGrid w:val="0"/>
        <w:spacing w:line="360" w:lineRule="auto"/>
        <w:jc w:val="center"/>
        <w:rPr>
          <w:rFonts w:ascii="Arial Narrow" w:hAnsi="Arial Narrow" w:eastAsiaTheme="minorEastAsia"/>
          <w:b/>
          <w:spacing w:val="100"/>
          <w:sz w:val="32"/>
          <w:szCs w:val="32"/>
        </w:rPr>
      </w:pPr>
    </w:p>
    <w:p w14:paraId="3FC6CCBF">
      <w:pPr>
        <w:adjustRightInd w:val="0"/>
        <w:snapToGrid w:val="0"/>
        <w:spacing w:line="360" w:lineRule="auto"/>
        <w:jc w:val="center"/>
        <w:rPr>
          <w:rFonts w:ascii="Arial Narrow" w:hAnsi="Arial Narrow" w:eastAsiaTheme="minorEastAsia"/>
          <w:b/>
          <w:spacing w:val="100"/>
          <w:sz w:val="32"/>
          <w:szCs w:val="32"/>
        </w:rPr>
      </w:pPr>
    </w:p>
    <w:p w14:paraId="7D5442DF">
      <w:pPr>
        <w:adjustRightInd w:val="0"/>
        <w:snapToGrid w:val="0"/>
        <w:spacing w:line="360" w:lineRule="auto"/>
        <w:jc w:val="center"/>
        <w:rPr>
          <w:rFonts w:ascii="Arial Narrow" w:hAnsi="Arial Narrow" w:eastAsiaTheme="minorEastAsia"/>
          <w:b/>
          <w:spacing w:val="100"/>
          <w:sz w:val="32"/>
          <w:szCs w:val="32"/>
        </w:rPr>
      </w:pPr>
    </w:p>
    <w:p w14:paraId="49BB6C10">
      <w:pPr>
        <w:adjustRightInd w:val="0"/>
        <w:snapToGrid w:val="0"/>
        <w:spacing w:line="360" w:lineRule="auto"/>
        <w:jc w:val="center"/>
        <w:rPr>
          <w:rFonts w:ascii="Arial Narrow" w:hAnsi="Arial Narrow" w:eastAsiaTheme="minorEastAsia"/>
          <w:b/>
          <w:spacing w:val="100"/>
          <w:sz w:val="32"/>
          <w:szCs w:val="32"/>
        </w:rPr>
      </w:pPr>
    </w:p>
    <w:p w14:paraId="1DDBD125">
      <w:pPr>
        <w:adjustRightInd w:val="0"/>
        <w:snapToGrid w:val="0"/>
        <w:spacing w:line="360" w:lineRule="auto"/>
        <w:jc w:val="center"/>
        <w:rPr>
          <w:rFonts w:ascii="Arial Narrow" w:hAnsi="Arial Narrow" w:eastAsiaTheme="minorEastAsia"/>
          <w:b/>
          <w:spacing w:val="100"/>
          <w:sz w:val="32"/>
          <w:szCs w:val="32"/>
        </w:rPr>
      </w:pPr>
    </w:p>
    <w:p w14:paraId="345FB01F">
      <w:pPr>
        <w:adjustRightInd w:val="0"/>
        <w:snapToGrid w:val="0"/>
        <w:spacing w:line="360" w:lineRule="auto"/>
        <w:jc w:val="center"/>
        <w:rPr>
          <w:rFonts w:ascii="Arial Narrow" w:hAnsi="Arial Narrow" w:eastAsiaTheme="minorEastAsia"/>
          <w:b/>
          <w:spacing w:val="100"/>
          <w:sz w:val="32"/>
          <w:szCs w:val="32"/>
        </w:rPr>
      </w:pPr>
    </w:p>
    <w:p w14:paraId="6776B9BC">
      <w:pPr>
        <w:adjustRightInd w:val="0"/>
        <w:snapToGrid w:val="0"/>
        <w:spacing w:line="360" w:lineRule="auto"/>
        <w:jc w:val="center"/>
        <w:rPr>
          <w:rFonts w:ascii="Arial Narrow" w:hAnsi="Arial Narrow" w:eastAsiaTheme="minorEastAsia"/>
          <w:b/>
          <w:spacing w:val="100"/>
          <w:sz w:val="32"/>
          <w:szCs w:val="32"/>
        </w:rPr>
      </w:pPr>
    </w:p>
    <w:p w14:paraId="1258F849">
      <w:pPr>
        <w:adjustRightInd w:val="0"/>
        <w:snapToGrid w:val="0"/>
        <w:spacing w:line="360" w:lineRule="auto"/>
        <w:jc w:val="center"/>
        <w:rPr>
          <w:rFonts w:ascii="Arial Narrow" w:hAnsi="Arial Narrow" w:eastAsiaTheme="minorEastAsia"/>
          <w:b/>
          <w:spacing w:val="100"/>
          <w:sz w:val="32"/>
          <w:szCs w:val="32"/>
        </w:rPr>
      </w:pPr>
    </w:p>
    <w:p w14:paraId="74CB316F">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24C7910E">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185B2124">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3EAC6725">
      <w:pPr>
        <w:spacing w:line="360" w:lineRule="auto"/>
        <w:jc w:val="center"/>
        <w:rPr>
          <w:rFonts w:ascii="Arial Narrow" w:hAnsi="Arial Narrow" w:eastAsiaTheme="minorEastAsia"/>
          <w:sz w:val="24"/>
        </w:rPr>
      </w:pPr>
    </w:p>
    <w:p w14:paraId="22AB452B">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"_Toc171669394" </w:instrText>
      </w:r>
      <w:r>
        <w:fldChar w:fldCharType="separate"/>
      </w:r>
      <w:r>
        <w:rPr>
          <w:rStyle w:val="11"/>
        </w:rPr>
        <w:t>一、基本情况</w:t>
      </w:r>
      <w:r>
        <w:tab/>
      </w:r>
      <w:r>
        <w:fldChar w:fldCharType="begin"/>
      </w:r>
      <w:r>
        <w:instrText xml:space="preserve"> PAGEREF _Toc171669394 \h </w:instrText>
      </w:r>
      <w:r>
        <w:fldChar w:fldCharType="separate"/>
      </w:r>
      <w:r>
        <w:t>1</w:t>
      </w:r>
      <w:r>
        <w:fldChar w:fldCharType="end"/>
      </w:r>
      <w:r>
        <w:fldChar w:fldCharType="end"/>
      </w:r>
    </w:p>
    <w:p w14:paraId="3843A3C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"_Toc171669395" </w:instrText>
      </w:r>
      <w:r>
        <w:fldChar w:fldCharType="separate"/>
      </w:r>
      <w:r>
        <w:rPr>
          <w:rStyle w:val="11"/>
          <w:rFonts w:cs="宋体"/>
          <w:kern w:val="0"/>
        </w:rPr>
        <w:t>（一）项目情况</w:t>
      </w:r>
      <w:r>
        <w:tab/>
      </w:r>
      <w:r>
        <w:fldChar w:fldCharType="begin"/>
      </w:r>
      <w:r>
        <w:instrText xml:space="preserve"> PAGEREF _Toc171669395 \h </w:instrText>
      </w:r>
      <w:r>
        <w:fldChar w:fldCharType="separate"/>
      </w:r>
      <w:r>
        <w:t>1</w:t>
      </w:r>
      <w:r>
        <w:fldChar w:fldCharType="end"/>
      </w:r>
      <w:r>
        <w:fldChar w:fldCharType="end"/>
      </w:r>
    </w:p>
    <w:p w14:paraId="0D2404B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"_Toc171669396" </w:instrText>
      </w:r>
      <w:r>
        <w:fldChar w:fldCharType="separate"/>
      </w:r>
      <w:r>
        <w:rPr>
          <w:rStyle w:val="11"/>
        </w:rPr>
        <w:t>二、绩效评价工作情况</w:t>
      </w:r>
      <w:r>
        <w:tab/>
      </w:r>
      <w:r>
        <w:fldChar w:fldCharType="begin"/>
      </w:r>
      <w:r>
        <w:instrText xml:space="preserve"> PAGEREF _Toc171669396 \h </w:instrText>
      </w:r>
      <w:r>
        <w:fldChar w:fldCharType="separate"/>
      </w:r>
      <w:r>
        <w:t>2</w:t>
      </w:r>
      <w:r>
        <w:fldChar w:fldCharType="end"/>
      </w:r>
      <w:r>
        <w:fldChar w:fldCharType="end"/>
      </w:r>
    </w:p>
    <w:p w14:paraId="21029EB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"_Toc171669397" </w:instrText>
      </w:r>
      <w:r>
        <w:fldChar w:fldCharType="separate"/>
      </w:r>
      <w:r>
        <w:rPr>
          <w:rStyle w:val="11"/>
        </w:rPr>
        <w:t>（一）绩效评价目的</w:t>
      </w:r>
      <w:r>
        <w:tab/>
      </w:r>
      <w:r>
        <w:fldChar w:fldCharType="begin"/>
      </w:r>
      <w:r>
        <w:instrText xml:space="preserve"> PAGEREF _Toc171669397 \h </w:instrText>
      </w:r>
      <w:r>
        <w:fldChar w:fldCharType="separate"/>
      </w:r>
      <w:r>
        <w:t>2</w:t>
      </w:r>
      <w:r>
        <w:fldChar w:fldCharType="end"/>
      </w:r>
      <w:r>
        <w:fldChar w:fldCharType="end"/>
      </w:r>
    </w:p>
    <w:p w14:paraId="43C0DDE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"_Toc171669398" </w:instrText>
      </w:r>
      <w:r>
        <w:fldChar w:fldCharType="separate"/>
      </w:r>
      <w:r>
        <w:rPr>
          <w:rStyle w:val="11"/>
        </w:rPr>
        <w:t>（二）绩效评价的基本内容</w:t>
      </w:r>
      <w:r>
        <w:tab/>
      </w:r>
      <w:r>
        <w:fldChar w:fldCharType="begin"/>
      </w:r>
      <w:r>
        <w:instrText xml:space="preserve"> PAGEREF _Toc171669398 \h </w:instrText>
      </w:r>
      <w:r>
        <w:fldChar w:fldCharType="separate"/>
      </w:r>
      <w:r>
        <w:t>2</w:t>
      </w:r>
      <w:r>
        <w:fldChar w:fldCharType="end"/>
      </w:r>
      <w:r>
        <w:fldChar w:fldCharType="end"/>
      </w:r>
    </w:p>
    <w:p w14:paraId="3119E31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"_Toc171669399" </w:instrText>
      </w:r>
      <w:r>
        <w:fldChar w:fldCharType="separate"/>
      </w:r>
      <w:r>
        <w:rPr>
          <w:rStyle w:val="11"/>
        </w:rPr>
        <w:t>（三）绩效评价依据</w:t>
      </w:r>
      <w:r>
        <w:tab/>
      </w:r>
      <w:r>
        <w:fldChar w:fldCharType="begin"/>
      </w:r>
      <w:r>
        <w:instrText xml:space="preserve"> PAGEREF _Toc171669399 \h </w:instrText>
      </w:r>
      <w:r>
        <w:fldChar w:fldCharType="separate"/>
      </w:r>
      <w:r>
        <w:t>2</w:t>
      </w:r>
      <w:r>
        <w:fldChar w:fldCharType="end"/>
      </w:r>
      <w:r>
        <w:fldChar w:fldCharType="end"/>
      </w:r>
    </w:p>
    <w:p w14:paraId="75C7289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"_Toc171669400" </w:instrText>
      </w:r>
      <w:r>
        <w:fldChar w:fldCharType="separate"/>
      </w:r>
      <w:r>
        <w:rPr>
          <w:rStyle w:val="11"/>
        </w:rPr>
        <w:t>（四）绩效评价原则和指标体系</w:t>
      </w:r>
      <w:r>
        <w:tab/>
      </w:r>
      <w:r>
        <w:fldChar w:fldCharType="begin"/>
      </w:r>
      <w:r>
        <w:instrText xml:space="preserve"> PAGEREF _Toc171669400 \h </w:instrText>
      </w:r>
      <w:r>
        <w:fldChar w:fldCharType="separate"/>
      </w:r>
      <w:r>
        <w:t>3</w:t>
      </w:r>
      <w:r>
        <w:fldChar w:fldCharType="end"/>
      </w:r>
      <w:r>
        <w:fldChar w:fldCharType="end"/>
      </w:r>
    </w:p>
    <w:p w14:paraId="7A26C23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"_Toc171669401" </w:instrText>
      </w:r>
      <w:r>
        <w:fldChar w:fldCharType="separate"/>
      </w:r>
      <w:r>
        <w:rPr>
          <w:rStyle w:val="11"/>
        </w:rPr>
        <w:t>（五）绩效评价标准和评价方法</w:t>
      </w:r>
      <w:r>
        <w:tab/>
      </w:r>
      <w:r>
        <w:fldChar w:fldCharType="begin"/>
      </w:r>
      <w:r>
        <w:instrText xml:space="preserve"> PAGEREF _Toc171669401 \h </w:instrText>
      </w:r>
      <w:r>
        <w:fldChar w:fldCharType="separate"/>
      </w:r>
      <w:r>
        <w:t>5</w:t>
      </w:r>
      <w:r>
        <w:fldChar w:fldCharType="end"/>
      </w:r>
      <w:r>
        <w:fldChar w:fldCharType="end"/>
      </w:r>
    </w:p>
    <w:p w14:paraId="6F38DDE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"_Toc171669402" </w:instrText>
      </w:r>
      <w:r>
        <w:fldChar w:fldCharType="separate"/>
      </w:r>
      <w:r>
        <w:rPr>
          <w:rStyle w:val="11"/>
        </w:rPr>
        <w:t>（六）绩效评价工作过程</w:t>
      </w:r>
      <w:r>
        <w:tab/>
      </w:r>
      <w:r>
        <w:fldChar w:fldCharType="begin"/>
      </w:r>
      <w:r>
        <w:instrText xml:space="preserve"> PAGEREF _Toc171669402 \h </w:instrText>
      </w:r>
      <w:r>
        <w:fldChar w:fldCharType="separate"/>
      </w:r>
      <w:r>
        <w:t>6</w:t>
      </w:r>
      <w:r>
        <w:fldChar w:fldCharType="end"/>
      </w:r>
      <w:r>
        <w:fldChar w:fldCharType="end"/>
      </w:r>
    </w:p>
    <w:p w14:paraId="14C4CB2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"_Toc171669403" </w:instrText>
      </w:r>
      <w:r>
        <w:fldChar w:fldCharType="separate"/>
      </w:r>
      <w:r>
        <w:rPr>
          <w:rStyle w:val="11"/>
        </w:rPr>
        <w:t>三、项目评价结论</w:t>
      </w:r>
      <w:r>
        <w:tab/>
      </w:r>
      <w:r>
        <w:fldChar w:fldCharType="begin"/>
      </w:r>
      <w:r>
        <w:instrText xml:space="preserve"> PAGEREF _Toc171669403 \h </w:instrText>
      </w:r>
      <w:r>
        <w:fldChar w:fldCharType="separate"/>
      </w:r>
      <w:r>
        <w:t>6</w:t>
      </w:r>
      <w:r>
        <w:fldChar w:fldCharType="end"/>
      </w:r>
      <w:r>
        <w:fldChar w:fldCharType="end"/>
      </w:r>
    </w:p>
    <w:p w14:paraId="3DC30C6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"_Toc171669404" </w:instrText>
      </w:r>
      <w:r>
        <w:fldChar w:fldCharType="separate"/>
      </w:r>
      <w:r>
        <w:rPr>
          <w:rStyle w:val="11"/>
        </w:rPr>
        <w:t>四、综合评价情况</w:t>
      </w:r>
      <w:r>
        <w:tab/>
      </w:r>
      <w:r>
        <w:fldChar w:fldCharType="begin"/>
      </w:r>
      <w:r>
        <w:instrText xml:space="preserve"> PAGEREF _Toc171669404 \h </w:instrText>
      </w:r>
      <w:r>
        <w:fldChar w:fldCharType="separate"/>
      </w:r>
      <w:r>
        <w:t>6</w:t>
      </w:r>
      <w:r>
        <w:fldChar w:fldCharType="end"/>
      </w:r>
      <w:r>
        <w:fldChar w:fldCharType="end"/>
      </w:r>
    </w:p>
    <w:p w14:paraId="1CDA517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"_Toc171669405" </w:instrText>
      </w:r>
      <w:r>
        <w:fldChar w:fldCharType="separate"/>
      </w:r>
      <w:r>
        <w:rPr>
          <w:rStyle w:val="11"/>
        </w:rPr>
        <w:t>（一）资金管理</w:t>
      </w:r>
      <w:r>
        <w:tab/>
      </w:r>
      <w:r>
        <w:fldChar w:fldCharType="begin"/>
      </w:r>
      <w:r>
        <w:instrText xml:space="preserve"> PAGEREF _Toc171669405 \h </w:instrText>
      </w:r>
      <w:r>
        <w:fldChar w:fldCharType="separate"/>
      </w:r>
      <w:r>
        <w:t>6</w:t>
      </w:r>
      <w:r>
        <w:fldChar w:fldCharType="end"/>
      </w:r>
      <w:r>
        <w:fldChar w:fldCharType="end"/>
      </w:r>
    </w:p>
    <w:p w14:paraId="494A985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"_Toc171669406" </w:instrText>
      </w:r>
      <w:r>
        <w:fldChar w:fldCharType="separate"/>
      </w:r>
      <w:r>
        <w:rPr>
          <w:rStyle w:val="11"/>
        </w:rPr>
        <w:t>（二）项目管理</w:t>
      </w:r>
      <w:r>
        <w:tab/>
      </w:r>
      <w:r>
        <w:fldChar w:fldCharType="begin"/>
      </w:r>
      <w:r>
        <w:instrText xml:space="preserve"> PAGEREF _Toc171669406 \h </w:instrText>
      </w:r>
      <w:r>
        <w:fldChar w:fldCharType="separate"/>
      </w:r>
      <w:r>
        <w:t>6</w:t>
      </w:r>
      <w:r>
        <w:fldChar w:fldCharType="end"/>
      </w:r>
      <w:r>
        <w:fldChar w:fldCharType="end"/>
      </w:r>
    </w:p>
    <w:p w14:paraId="6E300AB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"_Toc171669407" </w:instrText>
      </w:r>
      <w:r>
        <w:fldChar w:fldCharType="separate"/>
      </w:r>
      <w:r>
        <w:rPr>
          <w:rStyle w:val="11"/>
        </w:rPr>
        <w:t>（三）使用成效及通报情况</w:t>
      </w:r>
      <w:r>
        <w:tab/>
      </w:r>
      <w:r>
        <w:fldChar w:fldCharType="begin"/>
      </w:r>
      <w:r>
        <w:instrText xml:space="preserve"> PAGEREF _Toc171669407 \h </w:instrText>
      </w:r>
      <w:r>
        <w:fldChar w:fldCharType="separate"/>
      </w:r>
      <w:r>
        <w:t>7</w:t>
      </w:r>
      <w:r>
        <w:fldChar w:fldCharType="end"/>
      </w:r>
      <w:r>
        <w:fldChar w:fldCharType="end"/>
      </w:r>
    </w:p>
    <w:p w14:paraId="38C28EA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"_Toc171669408" </w:instrText>
      </w:r>
      <w:r>
        <w:fldChar w:fldCharType="separate"/>
      </w:r>
      <w:r>
        <w:rPr>
          <w:rStyle w:val="11"/>
        </w:rPr>
        <w:t>五、存在的问题和建议</w:t>
      </w:r>
      <w:r>
        <w:tab/>
      </w:r>
      <w:r>
        <w:fldChar w:fldCharType="begin"/>
      </w:r>
      <w:r>
        <w:instrText xml:space="preserve"> PAGEREF _Toc171669408 \h </w:instrText>
      </w:r>
      <w:r>
        <w:fldChar w:fldCharType="separate"/>
      </w:r>
      <w:r>
        <w:t>7</w:t>
      </w:r>
      <w:r>
        <w:fldChar w:fldCharType="end"/>
      </w:r>
      <w:r>
        <w:fldChar w:fldCharType="end"/>
      </w:r>
    </w:p>
    <w:p w14:paraId="078073C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"_Toc171669409" </w:instrText>
      </w:r>
      <w:r>
        <w:fldChar w:fldCharType="separate"/>
      </w:r>
      <w:r>
        <w:rPr>
          <w:rStyle w:val="11"/>
        </w:rPr>
        <w:t>（一）存在问题</w:t>
      </w:r>
      <w:r>
        <w:tab/>
      </w:r>
      <w:r>
        <w:fldChar w:fldCharType="begin"/>
      </w:r>
      <w:r>
        <w:instrText xml:space="preserve"> PAGEREF _Toc171669409 \h </w:instrText>
      </w:r>
      <w:r>
        <w:fldChar w:fldCharType="separate"/>
      </w:r>
      <w:r>
        <w:t>7</w:t>
      </w:r>
      <w:r>
        <w:fldChar w:fldCharType="end"/>
      </w:r>
      <w:r>
        <w:fldChar w:fldCharType="end"/>
      </w:r>
    </w:p>
    <w:p w14:paraId="18A57E9C">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"_Toc171669410" </w:instrText>
      </w:r>
      <w:r>
        <w:fldChar w:fldCharType="separate"/>
      </w:r>
      <w:r>
        <w:rPr>
          <w:rStyle w:val="11"/>
        </w:rPr>
        <w:t>（二）建议</w:t>
      </w:r>
      <w:r>
        <w:tab/>
      </w:r>
      <w:r>
        <w:fldChar w:fldCharType="begin"/>
      </w:r>
      <w:r>
        <w:instrText xml:space="preserve"> PAGEREF _Toc171669410 \h </w:instrText>
      </w:r>
      <w:r>
        <w:fldChar w:fldCharType="separate"/>
      </w:r>
      <w:r>
        <w:t>8</w:t>
      </w:r>
      <w:r>
        <w:fldChar w:fldCharType="end"/>
      </w:r>
      <w:r>
        <w:fldChar w:fldCharType="end"/>
      </w:r>
    </w:p>
    <w:p w14:paraId="3E6CEF72">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1881845F">
      <w:pPr>
        <w:spacing w:line="360" w:lineRule="auto"/>
        <w:jc w:val="right"/>
        <w:rPr>
          <w:rFonts w:ascii="Arial Narrow" w:hAnsi="Arial Narrow" w:eastAsiaTheme="minorEastAsia"/>
          <w:bCs/>
          <w:w w:val="80"/>
          <w:sz w:val="28"/>
          <w:szCs w:val="28"/>
        </w:rPr>
      </w:pPr>
    </w:p>
    <w:p w14:paraId="459C9DBA">
      <w:pPr>
        <w:spacing w:line="360" w:lineRule="auto"/>
        <w:jc w:val="right"/>
        <w:rPr>
          <w:rFonts w:ascii="Arial Narrow" w:hAnsi="Arial Narrow" w:eastAsiaTheme="minorEastAsia"/>
          <w:bCs/>
          <w:w w:val="80"/>
          <w:sz w:val="28"/>
          <w:szCs w:val="28"/>
        </w:rPr>
      </w:pPr>
    </w:p>
    <w:p w14:paraId="3824241C">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318A01D9">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46883DD6">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鸿咨字〔2024〕第0036号</w:t>
      </w:r>
    </w:p>
    <w:p w14:paraId="6B177C5F">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166FC66">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重庆市铜梁区二坪镇2023年财政专项衔接资金</w:t>
      </w:r>
    </w:p>
    <w:p w14:paraId="1ABD02D9">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2个项目</w:t>
      </w:r>
      <w:r>
        <w:rPr>
          <w:rFonts w:ascii="Arial Narrow" w:hAnsi="Arial Narrow" w:eastAsiaTheme="minorEastAsia"/>
          <w:b/>
          <w:sz w:val="36"/>
          <w:szCs w:val="36"/>
        </w:rPr>
        <w:t>绩效评价报告</w:t>
      </w:r>
    </w:p>
    <w:p w14:paraId="594ECCA3">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ascii="Arial Narrow" w:hAnsi="Arial Narrow" w:eastAsiaTheme="minorEastAsia"/>
          <w:color w:val="auto"/>
        </w:rPr>
        <w:t>振兴局</w:t>
      </w:r>
      <w:r>
        <w:rPr>
          <w:rFonts w:hint="eastAsia" w:ascii="仿宋" w:hAnsi="仿宋" w:eastAsia="仿宋" w:cs="仿宋"/>
          <w:color w:val="auto"/>
        </w:rPr>
        <w:t>”</w:t>
      </w:r>
      <w:r>
        <w:rPr>
          <w:rFonts w:ascii="Arial Narrow" w:hAnsi="Arial Narrow" w:eastAsiaTheme="minorEastAsia"/>
          <w:color w:val="auto"/>
        </w:rPr>
        <w:t>）</w:t>
      </w:r>
      <w:r>
        <w:rPr>
          <w:rFonts w:ascii="Arial Narrow" w:hAnsi="Arial Narrow" w:eastAsiaTheme="minorEastAsia"/>
        </w:rPr>
        <w:t xml:space="preserve"> </w:t>
      </w:r>
      <w:r>
        <w:rPr>
          <w:rFonts w:ascii="Arial Narrow" w:hAnsi="Arial Narrow" w:eastAsiaTheme="minorEastAsia"/>
          <w:color w:val="auto"/>
        </w:rPr>
        <w:t>2023年二坪镇狮子村乡村振兴产业基础设施建设项目和2023年二坪镇隘口村生态渔业养殖建设项目进行绩效评价，现将评价情况报告如下：</w:t>
      </w:r>
    </w:p>
    <w:p w14:paraId="1909BF2A">
      <w:pPr>
        <w:spacing w:before="240" w:beforeLines="100" w:line="360" w:lineRule="auto"/>
        <w:ind w:firstLine="482" w:firstLineChars="200"/>
        <w:jc w:val="left"/>
        <w:outlineLvl w:val="0"/>
        <w:rPr>
          <w:rFonts w:ascii="Arial Narrow" w:hAnsi="Arial Narrow" w:eastAsiaTheme="minorEastAsia"/>
          <w:b/>
          <w:sz w:val="24"/>
        </w:rPr>
      </w:pPr>
      <w:bookmarkStart w:id="3" w:name="_Toc171669394"/>
      <w:r>
        <w:rPr>
          <w:rFonts w:ascii="Arial Narrow" w:hAnsi="Arial Narrow" w:eastAsiaTheme="minorEastAsia"/>
          <w:b/>
          <w:sz w:val="24"/>
        </w:rPr>
        <w:t>一、基本情况</w:t>
      </w:r>
      <w:bookmarkEnd w:id="3"/>
    </w:p>
    <w:p w14:paraId="79A8F3D3">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69395"/>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p>
    <w:p w14:paraId="5CEADCE0">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ascii="Arial Narrow" w:hAnsi="Arial Narrow" w:eastAsiaTheme="minorEastAsia"/>
        </w:rPr>
        <w:t xml:space="preserve"> </w:t>
      </w:r>
      <w:r>
        <w:rPr>
          <w:rFonts w:ascii="Arial Narrow" w:hAnsi="Arial Narrow" w:cs="宋体" w:eastAsiaTheme="minorEastAsia"/>
          <w:kern w:val="0"/>
          <w:sz w:val="24"/>
        </w:rPr>
        <w:t>2023年二坪镇狮子村乡村振兴产业基础设施建设项目</w:t>
      </w:r>
    </w:p>
    <w:p w14:paraId="73F590C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铜梁区二坪镇狮子村股份经济合作联合社</w:t>
      </w:r>
    </w:p>
    <w:p w14:paraId="60322F7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项目地点：二坪镇狮子村12、13社</w:t>
      </w:r>
    </w:p>
    <w:p w14:paraId="3C4E8E2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新建管理用房116.1平方米；室外地坪硬化150平方米；新修混凝土板便道300平方米（10cm厚）；新修生产作业便道260平方米（15cm厚）；新修化粪池1座（5m*3.8m*2m）；新修蓄水池坝坎1；新修蓄水池坝坎2；新修蓄水池坝坎3；新修混凝土梯步16平方米。</w:t>
      </w:r>
    </w:p>
    <w:p w14:paraId="4D110FB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项目资金安排情况：该项目2023年计划投入50万元，实际投入50万元，均为上级补助资金。</w:t>
      </w:r>
    </w:p>
    <w:p w14:paraId="6E650BD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项目起止时间：2023年5月-2023年10月</w:t>
      </w:r>
    </w:p>
    <w:p w14:paraId="135F25F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r>
        <w:rPr>
          <w:rFonts w:ascii="Arial Narrow" w:hAnsi="Arial Narrow" w:eastAsiaTheme="minorEastAsia"/>
        </w:rPr>
        <w:t xml:space="preserve"> </w:t>
      </w:r>
      <w:r>
        <w:rPr>
          <w:rFonts w:ascii="Arial Narrow" w:hAnsi="Arial Narrow" w:cs="宋体" w:eastAsiaTheme="minorEastAsia"/>
          <w:kern w:val="0"/>
          <w:sz w:val="24"/>
        </w:rPr>
        <w:t>2023年二坪镇隘口村生态渔业养殖建设项目</w:t>
      </w:r>
    </w:p>
    <w:p w14:paraId="3EC562D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铜梁区二坪镇隘口村股份经济合作联合社</w:t>
      </w:r>
    </w:p>
    <w:p w14:paraId="1773826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项目地点：二坪镇隘口村7组</w:t>
      </w:r>
    </w:p>
    <w:p w14:paraId="4419D45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 xml:space="preserve">建设内容：新建C20片石混凝土挡墙250米；新修鱼苗池1座（30*8*1.5）；新建3.5米高管理房90平方米。 </w:t>
      </w:r>
    </w:p>
    <w:p w14:paraId="6D046C3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项目资金安排情况：该项目2023年计划投入50万元，实际投入为50万元，均为上级补助资金。</w:t>
      </w:r>
    </w:p>
    <w:p w14:paraId="3AE6183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项目起止时间：2023年4月-2023年8月</w:t>
      </w:r>
    </w:p>
    <w:p w14:paraId="7E6AD67B">
      <w:pPr>
        <w:spacing w:line="360" w:lineRule="auto"/>
        <w:ind w:firstLine="482" w:firstLineChars="200"/>
        <w:jc w:val="left"/>
        <w:outlineLvl w:val="0"/>
        <w:rPr>
          <w:rFonts w:ascii="Arial Narrow" w:hAnsi="Arial Narrow" w:eastAsiaTheme="minorEastAsia"/>
          <w:b/>
          <w:sz w:val="24"/>
        </w:rPr>
      </w:pPr>
      <w:bookmarkStart w:id="5" w:name="_Toc171669396"/>
      <w:r>
        <w:rPr>
          <w:rFonts w:ascii="Arial Narrow" w:hAnsi="Arial Narrow" w:eastAsiaTheme="minorEastAsia"/>
          <w:b/>
          <w:sz w:val="24"/>
        </w:rPr>
        <w:t>二、绩效评价工作情况</w:t>
      </w:r>
      <w:bookmarkEnd w:id="5"/>
    </w:p>
    <w:p w14:paraId="0DE0CC07">
      <w:pPr>
        <w:spacing w:line="360" w:lineRule="auto"/>
        <w:ind w:firstLine="482" w:firstLineChars="200"/>
        <w:jc w:val="left"/>
        <w:outlineLvl w:val="0"/>
        <w:rPr>
          <w:rFonts w:ascii="Arial Narrow" w:hAnsi="Arial Narrow" w:eastAsiaTheme="minorEastAsia"/>
          <w:b/>
          <w:sz w:val="24"/>
        </w:rPr>
      </w:pPr>
      <w:bookmarkStart w:id="6" w:name="_Toc171669397"/>
      <w:bookmarkStart w:id="7" w:name="_Toc513775099"/>
      <w:r>
        <w:rPr>
          <w:rFonts w:ascii="Arial Narrow" w:hAnsi="Arial Narrow" w:eastAsiaTheme="minorEastAsia"/>
          <w:b/>
          <w:sz w:val="24"/>
        </w:rPr>
        <w:t>（一）绩效评价目的</w:t>
      </w:r>
      <w:bookmarkEnd w:id="6"/>
      <w:bookmarkEnd w:id="7"/>
    </w:p>
    <w:p w14:paraId="602019D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48DF67A9">
      <w:pPr>
        <w:spacing w:line="360" w:lineRule="auto"/>
        <w:ind w:firstLine="482" w:firstLineChars="200"/>
        <w:jc w:val="left"/>
        <w:outlineLvl w:val="0"/>
        <w:rPr>
          <w:rFonts w:ascii="Arial Narrow" w:hAnsi="Arial Narrow" w:eastAsiaTheme="minorEastAsia"/>
          <w:b/>
          <w:sz w:val="24"/>
        </w:rPr>
      </w:pPr>
      <w:bookmarkStart w:id="8" w:name="_Toc171669398"/>
      <w:bookmarkStart w:id="9" w:name="_Toc513775100"/>
      <w:r>
        <w:rPr>
          <w:rFonts w:ascii="Arial Narrow" w:hAnsi="Arial Narrow" w:eastAsiaTheme="minorEastAsia"/>
          <w:b/>
          <w:sz w:val="24"/>
        </w:rPr>
        <w:t>（二）绩效评价的基本内容</w:t>
      </w:r>
      <w:bookmarkEnd w:id="8"/>
    </w:p>
    <w:p w14:paraId="4C21941F">
      <w:pPr>
        <w:pStyle w:val="14"/>
        <w:spacing w:line="360" w:lineRule="auto"/>
        <w:ind w:firstLine="480" w:firstLineChars="200"/>
        <w:rPr>
          <w:rFonts w:ascii="Arial Narrow" w:hAnsi="Arial Narrow" w:eastAsiaTheme="minorEastAsia"/>
          <w:color w:val="auto"/>
        </w:rPr>
      </w:pPr>
      <w:bookmarkStart w:id="10" w:name="_Toc166332968"/>
      <w:r>
        <w:rPr>
          <w:rFonts w:ascii="Arial Narrow" w:hAnsi="Arial Narrow" w:eastAsiaTheme="minorEastAsia"/>
          <w:color w:val="auto"/>
        </w:rPr>
        <w:t>1.绩效目标的设定情况；</w:t>
      </w:r>
    </w:p>
    <w:p w14:paraId="768C9AA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4CC0AB1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3A5BB40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785E518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161FDF24">
      <w:pPr>
        <w:spacing w:line="360" w:lineRule="auto"/>
        <w:ind w:firstLine="482" w:firstLineChars="200"/>
        <w:jc w:val="left"/>
        <w:outlineLvl w:val="0"/>
        <w:rPr>
          <w:rFonts w:ascii="Arial Narrow" w:hAnsi="Arial Narrow" w:eastAsiaTheme="minorEastAsia"/>
          <w:b/>
          <w:sz w:val="24"/>
        </w:rPr>
      </w:pPr>
      <w:bookmarkStart w:id="11" w:name="_Toc171669399"/>
      <w:r>
        <w:rPr>
          <w:rFonts w:ascii="Arial Narrow" w:hAnsi="Arial Narrow" w:eastAsiaTheme="minorEastAsia"/>
          <w:b/>
          <w:sz w:val="24"/>
        </w:rPr>
        <w:t>（三）绩效评价依据</w:t>
      </w:r>
      <w:bookmarkEnd w:id="9"/>
      <w:bookmarkEnd w:id="10"/>
      <w:bookmarkEnd w:id="11"/>
      <w:bookmarkStart w:id="12" w:name="_Toc335040595"/>
    </w:p>
    <w:bookmarkEnd w:id="12"/>
    <w:p w14:paraId="17A8A98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4A5E93A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6275C7D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r>
        <w:rPr>
          <w:rFonts w:ascii="Arial Narrow" w:hAnsi="Arial Narrow" w:eastAsiaTheme="minorEastAsia"/>
          <w:color w:val="auto"/>
        </w:rPr>
        <w:t xml:space="preserve"> </w:t>
      </w:r>
    </w:p>
    <w:p w14:paraId="136A2E4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Arial Narrow" w:hAnsi="Arial Narrow" w:eastAsiaTheme="minorEastAsia"/>
          <w:color w:val="auto"/>
          <w:lang w:eastAsia="zh-CN"/>
        </w:rPr>
        <w:t>（</w:t>
      </w:r>
      <w:r>
        <w:rPr>
          <w:rFonts w:ascii="Arial Narrow" w:hAnsi="Arial Narrow" w:eastAsiaTheme="minorEastAsia"/>
          <w:color w:val="auto"/>
        </w:rPr>
        <w:t>试行</w:t>
      </w:r>
      <w:r>
        <w:rPr>
          <w:rFonts w:hint="eastAsia" w:ascii="Arial Narrow" w:hAnsi="Arial Narrow" w:eastAsiaTheme="minorEastAsia"/>
          <w:color w:val="auto"/>
          <w:lang w:eastAsia="zh-CN"/>
        </w:rPr>
        <w:t>）</w:t>
      </w:r>
      <w:r>
        <w:rPr>
          <w:rFonts w:ascii="Arial Narrow" w:hAnsi="Arial Narrow" w:eastAsiaTheme="minorEastAsia"/>
          <w:color w:val="auto"/>
        </w:rPr>
        <w:t>》（铜财〔2022〕41号）</w:t>
      </w:r>
    </w:p>
    <w:p w14:paraId="5D7FE47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20CD225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1531533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5E983BD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5C8466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0DC741D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3" w:name="_Hlk162597612"/>
      <w:r>
        <w:rPr>
          <w:rFonts w:ascii="Arial Narrow" w:hAnsi="Arial Narrow" w:eastAsiaTheme="minorEastAsia"/>
          <w:color w:val="auto"/>
        </w:rPr>
        <w:t>〔2016〕</w:t>
      </w:r>
      <w:bookmarkEnd w:id="13"/>
      <w:r>
        <w:rPr>
          <w:rFonts w:ascii="Arial Narrow" w:hAnsi="Arial Narrow" w:eastAsiaTheme="minorEastAsia"/>
          <w:color w:val="auto"/>
        </w:rPr>
        <w:t>10号）</w:t>
      </w:r>
    </w:p>
    <w:p w14:paraId="02C7D83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17FDCC34">
      <w:pPr>
        <w:spacing w:line="360" w:lineRule="auto"/>
        <w:ind w:firstLine="482" w:firstLineChars="200"/>
        <w:jc w:val="left"/>
        <w:outlineLvl w:val="0"/>
        <w:rPr>
          <w:rFonts w:ascii="Arial Narrow" w:hAnsi="Arial Narrow" w:eastAsiaTheme="minorEastAsia"/>
          <w:b/>
          <w:sz w:val="24"/>
        </w:rPr>
      </w:pPr>
      <w:bookmarkStart w:id="14" w:name="_Toc171669400"/>
      <w:r>
        <w:rPr>
          <w:rFonts w:ascii="Arial Narrow" w:hAnsi="Arial Narrow" w:eastAsiaTheme="minorEastAsia"/>
          <w:b/>
          <w:sz w:val="24"/>
        </w:rPr>
        <w:t>（四）绩效评价原则和指标体系</w:t>
      </w:r>
      <w:bookmarkEnd w:id="14"/>
    </w:p>
    <w:p w14:paraId="4D57673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1B4AD5E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49B6A97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7272D5B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620D8A7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01B2F63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778B9DF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7A8DA790">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2A4597F2">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5F643E81">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35549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E164FA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1DCAC38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F9FBA8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49327D9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60FCC67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2C29AD6F">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947703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045F64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55E9D56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7DF4565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018D7DE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39077A0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4598989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B6439A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43D858C5">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37A636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A93106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1E1835C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3289E12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62809292">
        <w:tblPrEx>
          <w:tblCellMar>
            <w:top w:w="0" w:type="dxa"/>
            <w:left w:w="108" w:type="dxa"/>
            <w:bottom w:w="0" w:type="dxa"/>
            <w:right w:w="108" w:type="dxa"/>
          </w:tblCellMar>
        </w:tblPrEx>
        <w:trPr>
          <w:cantSplit/>
          <w:trHeight w:val="108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0D5FAC9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93273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single" w:color="auto" w:sz="4" w:space="0"/>
              <w:left w:val="nil"/>
              <w:bottom w:val="single" w:color="auto" w:sz="4" w:space="0"/>
              <w:right w:val="single" w:color="auto" w:sz="4" w:space="0"/>
            </w:tcBorders>
            <w:shd w:val="clear" w:color="auto" w:fill="auto"/>
            <w:vAlign w:val="center"/>
          </w:tcPr>
          <w:p w14:paraId="4FB241D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45F473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nil"/>
            </w:tcBorders>
            <w:shd w:val="clear" w:color="auto" w:fill="auto"/>
            <w:vAlign w:val="center"/>
          </w:tcPr>
          <w:p w14:paraId="59BAC64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single" w:color="auto" w:sz="4" w:space="0"/>
              <w:bottom w:val="single" w:color="auto" w:sz="4" w:space="0"/>
              <w:right w:val="single" w:color="auto" w:sz="4" w:space="0"/>
            </w:tcBorders>
            <w:shd w:val="clear" w:color="auto" w:fill="auto"/>
            <w:vAlign w:val="center"/>
          </w:tcPr>
          <w:p w14:paraId="668474C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36C671A9">
        <w:tblPrEx>
          <w:tblCellMar>
            <w:top w:w="0" w:type="dxa"/>
            <w:left w:w="108" w:type="dxa"/>
            <w:bottom w:w="0" w:type="dxa"/>
            <w:right w:w="108" w:type="dxa"/>
          </w:tblCellMar>
        </w:tblPrEx>
        <w:trPr>
          <w:cantSplit/>
          <w:trHeight w:val="162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0A0AAA7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3AD14726">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67F296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5191CF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37741F7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0899FCE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5DF37C53">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B233E6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27DAF66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8F098A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57DE20F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5FA4EBD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E92221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4E75E725">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2DD6B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2546F58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829870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19FDB99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0E18E23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AA13B8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8F430FD">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FEFC0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0AE19B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037BC1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4B475E7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439D4B9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B63398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651AD425">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1CF3A5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4FE3C79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6BBDD9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D27CD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40882D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913D12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1A69DB2D">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99FF99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19EB622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C9B518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3733E6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6549D16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9C2C32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4C6BAF45">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6793C8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941CEF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3021825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9A8A72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4167322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8672AC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25980294">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58876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10888486">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C7AEF5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C2623A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C38F94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58F848A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00CA3451">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EFA4CE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417EB1C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265A30F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010651D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79F4C3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4271B4C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502F1FE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6F7AA7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238EAC29">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DCE4A8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38DA286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1B56FA2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077284B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3029E0DF">
      <w:pPr>
        <w:spacing w:before="120" w:beforeLines="50" w:line="360" w:lineRule="auto"/>
        <w:ind w:firstLine="482" w:firstLineChars="200"/>
        <w:jc w:val="left"/>
        <w:outlineLvl w:val="0"/>
        <w:rPr>
          <w:rFonts w:ascii="Arial Narrow" w:hAnsi="Arial Narrow" w:eastAsiaTheme="minorEastAsia"/>
          <w:b/>
          <w:sz w:val="24"/>
        </w:rPr>
      </w:pPr>
      <w:bookmarkStart w:id="15" w:name="_Toc171669401"/>
      <w:r>
        <w:rPr>
          <w:rFonts w:ascii="Arial Narrow" w:hAnsi="Arial Narrow" w:eastAsiaTheme="minorEastAsia"/>
          <w:b/>
          <w:sz w:val="24"/>
        </w:rPr>
        <w:t>（五）绩效评价标准和评价方法</w:t>
      </w:r>
      <w:bookmarkEnd w:id="15"/>
    </w:p>
    <w:p w14:paraId="1421FE9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1D3B15C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6F518D8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6" w:name="_Hlk162596803"/>
      <w:r>
        <w:rPr>
          <w:rFonts w:ascii="Arial Narrow" w:hAnsi="Arial Narrow" w:eastAsiaTheme="minorEastAsia"/>
          <w:color w:val="auto"/>
        </w:rPr>
        <w:t>≥90</w:t>
      </w:r>
      <w:bookmarkEnd w:id="16"/>
      <w:r>
        <w:rPr>
          <w:rFonts w:ascii="Arial Narrow" w:hAnsi="Arial Narrow" w:eastAsiaTheme="minorEastAsia"/>
          <w:color w:val="auto"/>
        </w:rPr>
        <w:t>）、良</w:t>
      </w:r>
      <w:bookmarkStart w:id="17" w:name="_Hlk168473502"/>
      <w:r>
        <w:rPr>
          <w:rFonts w:ascii="Arial Narrow" w:hAnsi="Arial Narrow" w:eastAsiaTheme="minorEastAsia"/>
          <w:color w:val="auto"/>
        </w:rPr>
        <w:t>（90＞得分≥80）</w:t>
      </w:r>
      <w:bookmarkEnd w:id="17"/>
      <w:r>
        <w:rPr>
          <w:rFonts w:ascii="Arial Narrow" w:hAnsi="Arial Narrow" w:eastAsiaTheme="minorEastAsia"/>
          <w:color w:val="auto"/>
        </w:rPr>
        <w:t>、中（80＞得分≥60）、差（得分＜60）四个等级，按百分制综合得分高低按分值划段确定。</w:t>
      </w:r>
    </w:p>
    <w:p w14:paraId="0F3A399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1C721C3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1C97A16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2FAF4CC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65842B0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73AA6DA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6D11EFB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57674B39">
      <w:pPr>
        <w:spacing w:line="360" w:lineRule="auto"/>
        <w:ind w:firstLine="482" w:firstLineChars="200"/>
        <w:jc w:val="left"/>
        <w:outlineLvl w:val="0"/>
        <w:rPr>
          <w:rFonts w:ascii="Arial Narrow" w:hAnsi="Arial Narrow" w:eastAsiaTheme="minorEastAsia"/>
          <w:b/>
          <w:sz w:val="24"/>
        </w:rPr>
      </w:pPr>
      <w:bookmarkStart w:id="18" w:name="_Toc437528932"/>
      <w:bookmarkStart w:id="19" w:name="_Toc171669402"/>
      <w:r>
        <w:rPr>
          <w:rFonts w:ascii="Arial Narrow" w:hAnsi="Arial Narrow" w:eastAsiaTheme="minorEastAsia"/>
          <w:b/>
          <w:sz w:val="24"/>
        </w:rPr>
        <w:t>（六）绩效评价</w:t>
      </w:r>
      <w:bookmarkEnd w:id="18"/>
      <w:r>
        <w:rPr>
          <w:rFonts w:ascii="Arial Narrow" w:hAnsi="Arial Narrow" w:eastAsiaTheme="minorEastAsia"/>
          <w:b/>
          <w:sz w:val="24"/>
        </w:rPr>
        <w:t>工作过程</w:t>
      </w:r>
      <w:bookmarkEnd w:id="19"/>
    </w:p>
    <w:p w14:paraId="7C5D854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4568F1F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59C9A88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3.组织实施现场调查、检查、走访等具体工作</w:t>
      </w:r>
    </w:p>
    <w:p w14:paraId="10C38F2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6EB346B2">
      <w:pPr>
        <w:spacing w:line="360" w:lineRule="auto"/>
        <w:ind w:firstLine="482" w:firstLineChars="200"/>
        <w:jc w:val="left"/>
        <w:outlineLvl w:val="0"/>
        <w:rPr>
          <w:rFonts w:ascii="Arial Narrow" w:hAnsi="Arial Narrow" w:eastAsiaTheme="minorEastAsia"/>
          <w:b/>
          <w:sz w:val="24"/>
        </w:rPr>
      </w:pPr>
      <w:bookmarkStart w:id="20" w:name="_Toc437528933"/>
      <w:bookmarkStart w:id="21" w:name="_Toc171669403"/>
      <w:r>
        <w:rPr>
          <w:rFonts w:ascii="Arial Narrow" w:hAnsi="Arial Narrow" w:eastAsiaTheme="minorEastAsia"/>
          <w:b/>
          <w:sz w:val="24"/>
        </w:rPr>
        <w:t>三、项目评价</w:t>
      </w:r>
      <w:bookmarkEnd w:id="20"/>
      <w:r>
        <w:rPr>
          <w:rFonts w:ascii="Arial Narrow" w:hAnsi="Arial Narrow" w:eastAsiaTheme="minorEastAsia"/>
          <w:b/>
          <w:sz w:val="24"/>
        </w:rPr>
        <w:t>结论</w:t>
      </w:r>
      <w:bookmarkEnd w:id="21"/>
    </w:p>
    <w:p w14:paraId="53B02B11">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2023年二坪镇狮子村乡村振兴产业基础设施建设项目绩效评价得分98.5分，绩效评价等级为：优；</w:t>
      </w:r>
    </w:p>
    <w:p w14:paraId="5EA1AB03">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2023年二坪镇隘口村生态渔业养殖建设项目绩效评价得分99.00分，绩效评价等级为：优。</w:t>
      </w:r>
    </w:p>
    <w:p w14:paraId="0900D49D">
      <w:pPr>
        <w:spacing w:line="360" w:lineRule="auto"/>
        <w:ind w:firstLine="482" w:firstLineChars="200"/>
        <w:outlineLvl w:val="0"/>
        <w:rPr>
          <w:rFonts w:ascii="Arial Narrow" w:hAnsi="Arial Narrow" w:eastAsiaTheme="minorEastAsia"/>
          <w:b/>
          <w:sz w:val="24"/>
        </w:rPr>
      </w:pPr>
      <w:bookmarkStart w:id="22" w:name="_Toc171669404"/>
      <w:r>
        <w:rPr>
          <w:rFonts w:ascii="Arial Narrow" w:hAnsi="Arial Narrow" w:eastAsiaTheme="minorEastAsia"/>
          <w:b/>
          <w:sz w:val="24"/>
        </w:rPr>
        <w:t>四、综合评价情况</w:t>
      </w:r>
      <w:bookmarkEnd w:id="22"/>
    </w:p>
    <w:p w14:paraId="3C342F77">
      <w:pPr>
        <w:spacing w:line="360" w:lineRule="auto"/>
        <w:ind w:firstLine="482" w:firstLineChars="200"/>
        <w:jc w:val="left"/>
        <w:outlineLvl w:val="0"/>
        <w:rPr>
          <w:rFonts w:ascii="Arial Narrow" w:hAnsi="Arial Narrow" w:eastAsiaTheme="minorEastAsia"/>
          <w:b/>
          <w:sz w:val="24"/>
        </w:rPr>
      </w:pPr>
      <w:bookmarkStart w:id="23" w:name="_Toc171669405"/>
      <w:r>
        <w:rPr>
          <w:rFonts w:ascii="Arial Narrow" w:hAnsi="Arial Narrow" w:eastAsiaTheme="minorEastAsia"/>
          <w:b/>
          <w:sz w:val="24"/>
        </w:rPr>
        <w:t>（一）资金管理</w:t>
      </w:r>
      <w:bookmarkEnd w:id="23"/>
    </w:p>
    <w:p w14:paraId="6FEEA314">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1A35FD0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565142A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662758D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以上2个项目资金从区财政局下达资金文件时间到区级业务主管部门下达项目及资金计划文件时间间隔小于30天。</w:t>
      </w:r>
    </w:p>
    <w:p w14:paraId="4455CFFA">
      <w:pPr>
        <w:spacing w:line="360" w:lineRule="auto"/>
        <w:ind w:firstLine="482" w:firstLineChars="200"/>
        <w:jc w:val="left"/>
        <w:outlineLvl w:val="0"/>
        <w:rPr>
          <w:rFonts w:ascii="Arial Narrow" w:hAnsi="Arial Narrow" w:eastAsiaTheme="minorEastAsia"/>
          <w:b/>
          <w:sz w:val="24"/>
        </w:rPr>
      </w:pPr>
      <w:bookmarkStart w:id="24" w:name="_Toc171669406"/>
      <w:r>
        <w:rPr>
          <w:rFonts w:ascii="Arial Narrow" w:hAnsi="Arial Narrow" w:eastAsiaTheme="minorEastAsia"/>
          <w:b/>
          <w:sz w:val="24"/>
        </w:rPr>
        <w:t>（二）项目管理</w:t>
      </w:r>
      <w:bookmarkEnd w:id="24"/>
    </w:p>
    <w:p w14:paraId="07BB6F5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396E7F3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5D7584A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1833BC0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437B44F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06DED4F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w:t>
      </w:r>
    </w:p>
    <w:p w14:paraId="57256FD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3677AC6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2023年二坪镇狮子村乡村振兴产业基础设施建设项目七月末、十月末资金支出进度均超过全区平均水平，十一月中旬的资金预算执行率达到100%。</w:t>
      </w:r>
    </w:p>
    <w:p w14:paraId="4A620E1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2023年二坪镇隘口村生态渔业养殖建设项目七月末资金支出进度均超过全区平均水平，十月底的资金预算执行率达到100%。</w:t>
      </w:r>
    </w:p>
    <w:p w14:paraId="4941744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3853A97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6133B5C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2DD3390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p>
    <w:p w14:paraId="3FD9109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w:t>
      </w:r>
      <w:r>
        <w:rPr>
          <w:rFonts w:ascii="Arial Narrow" w:hAnsi="Arial Narrow" w:eastAsiaTheme="minorEastAsia"/>
        </w:rPr>
        <w:t xml:space="preserve"> </w:t>
      </w:r>
      <w:r>
        <w:rPr>
          <w:rFonts w:ascii="Arial Narrow" w:hAnsi="Arial Narrow" w:eastAsiaTheme="minorEastAsia"/>
          <w:sz w:val="24"/>
        </w:rPr>
        <w:t>信息公开和公告公示制度落实情况</w:t>
      </w:r>
    </w:p>
    <w:p w14:paraId="1D20AD3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重庆市铜梁区乡村振兴局对以上2个项目入库情况、资金计划完成情况等进行了公告公示。</w:t>
      </w:r>
    </w:p>
    <w:p w14:paraId="42A6FF2D">
      <w:pPr>
        <w:spacing w:line="360" w:lineRule="auto"/>
        <w:ind w:firstLine="482" w:firstLineChars="200"/>
        <w:jc w:val="left"/>
        <w:outlineLvl w:val="0"/>
        <w:rPr>
          <w:rFonts w:ascii="Arial Narrow" w:hAnsi="Arial Narrow" w:eastAsiaTheme="minorEastAsia"/>
          <w:b/>
          <w:sz w:val="24"/>
        </w:rPr>
      </w:pPr>
      <w:bookmarkStart w:id="25" w:name="_Toc171669407"/>
      <w:r>
        <w:rPr>
          <w:rFonts w:ascii="Arial Narrow" w:hAnsi="Arial Narrow" w:eastAsiaTheme="minorEastAsia"/>
          <w:b/>
          <w:sz w:val="24"/>
        </w:rPr>
        <w:t>（三）使用成效及通报情况</w:t>
      </w:r>
      <w:bookmarkEnd w:id="25"/>
    </w:p>
    <w:p w14:paraId="6224EB3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28DDA68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3582054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6AB6624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项目实施管理日常表现良好，未被通报和问题反馈情况。</w:t>
      </w:r>
    </w:p>
    <w:p w14:paraId="332D56F9">
      <w:pPr>
        <w:spacing w:line="360" w:lineRule="auto"/>
        <w:ind w:firstLine="482" w:firstLineChars="200"/>
        <w:outlineLvl w:val="0"/>
        <w:rPr>
          <w:rFonts w:ascii="Arial Narrow" w:hAnsi="Arial Narrow" w:eastAsiaTheme="minorEastAsia"/>
          <w:b/>
          <w:sz w:val="24"/>
        </w:rPr>
      </w:pPr>
      <w:bookmarkStart w:id="26" w:name="_Toc171669408"/>
      <w:r>
        <w:rPr>
          <w:rFonts w:ascii="Arial Narrow" w:hAnsi="Arial Narrow" w:eastAsiaTheme="minorEastAsia"/>
          <w:b/>
          <w:sz w:val="24"/>
        </w:rPr>
        <w:t>五、存在的问题和建议</w:t>
      </w:r>
      <w:bookmarkEnd w:id="26"/>
    </w:p>
    <w:p w14:paraId="6E88CDB8">
      <w:pPr>
        <w:spacing w:line="360" w:lineRule="auto"/>
        <w:ind w:firstLine="482" w:firstLineChars="200"/>
        <w:jc w:val="left"/>
        <w:outlineLvl w:val="0"/>
        <w:rPr>
          <w:rFonts w:ascii="Arial Narrow" w:hAnsi="Arial Narrow" w:eastAsiaTheme="minorEastAsia"/>
          <w:b/>
          <w:sz w:val="24"/>
        </w:rPr>
      </w:pPr>
      <w:bookmarkStart w:id="27" w:name="_Toc171669409"/>
      <w:r>
        <w:rPr>
          <w:rFonts w:ascii="Arial Narrow" w:hAnsi="Arial Narrow" w:eastAsiaTheme="minorEastAsia"/>
          <w:b/>
          <w:sz w:val="24"/>
        </w:rPr>
        <w:t>（一）存在问题</w:t>
      </w:r>
      <w:bookmarkEnd w:id="27"/>
    </w:p>
    <w:p w14:paraId="338D8FA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1.项目资金拨付进度较晚，最后一笔款于2023年11月支出。</w:t>
      </w:r>
    </w:p>
    <w:p w14:paraId="22B674F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2.未见项目建成后的后续管护记录。</w:t>
      </w:r>
    </w:p>
    <w:p w14:paraId="130E9407">
      <w:pPr>
        <w:spacing w:line="360" w:lineRule="auto"/>
        <w:ind w:firstLine="482" w:firstLineChars="200"/>
        <w:jc w:val="left"/>
        <w:outlineLvl w:val="0"/>
        <w:rPr>
          <w:rFonts w:ascii="Arial Narrow" w:hAnsi="Arial Narrow" w:eastAsiaTheme="minorEastAsia"/>
          <w:b/>
          <w:sz w:val="24"/>
        </w:rPr>
      </w:pPr>
      <w:bookmarkStart w:id="28" w:name="_Toc171669410"/>
      <w:r>
        <w:rPr>
          <w:rFonts w:ascii="Arial Narrow" w:hAnsi="Arial Narrow" w:eastAsiaTheme="minorEastAsia"/>
          <w:b/>
          <w:sz w:val="24"/>
        </w:rPr>
        <w:t>（二）建议</w:t>
      </w:r>
      <w:bookmarkEnd w:id="28"/>
    </w:p>
    <w:p w14:paraId="7E6045C7">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1.严格按照财政资金预算执行，及时拨付项目资金。针对财政专项资金,建议实施单位在规定时间内支付项目资金，杜绝资金滞留、挤占、截留、挪用等现象的发生。</w:t>
      </w:r>
    </w:p>
    <w:p w14:paraId="0773359B">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2.建立健全日常巡查管护制度，定期巡查管护，保证项目长期健康运行，持续发挥衔接资金带贫作用。</w:t>
      </w:r>
    </w:p>
    <w:p w14:paraId="6D000469">
      <w:pPr>
        <w:adjustRightInd w:val="0"/>
        <w:snapToGrid w:val="0"/>
        <w:spacing w:line="360" w:lineRule="auto"/>
        <w:ind w:firstLine="480" w:firstLineChars="200"/>
        <w:rPr>
          <w:rFonts w:ascii="Arial Narrow" w:hAnsi="Arial Narrow" w:eastAsiaTheme="minorEastAsia"/>
          <w:sz w:val="24"/>
        </w:rPr>
      </w:pPr>
    </w:p>
    <w:p w14:paraId="2BB43CF4">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r>
        <w:rPr>
          <w:rStyle w:val="11"/>
          <w:rFonts w:ascii="Arial Narrow" w:hAnsi="Arial Narrow" w:eastAsiaTheme="minorEastAsia"/>
          <w:color w:val="auto"/>
          <w:sz w:val="24"/>
          <w:u w:val="none"/>
        </w:rPr>
        <w:t>；</w:t>
      </w:r>
    </w:p>
    <w:p w14:paraId="2B8E94B6">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7110F070">
      <w:pPr>
        <w:adjustRightInd w:val="0"/>
        <w:snapToGrid w:val="0"/>
        <w:spacing w:line="360" w:lineRule="auto"/>
        <w:ind w:firstLine="720" w:firstLineChars="300"/>
        <w:rPr>
          <w:rStyle w:val="11"/>
          <w:rFonts w:ascii="Arial Narrow" w:hAnsi="Arial Narrow" w:eastAsiaTheme="minorEastAsia"/>
          <w:color w:val="auto"/>
          <w:sz w:val="24"/>
          <w:u w:val="none"/>
        </w:rPr>
      </w:pPr>
    </w:p>
    <w:p w14:paraId="32F3FDD4">
      <w:pPr>
        <w:adjustRightInd w:val="0"/>
        <w:snapToGrid w:val="0"/>
        <w:spacing w:line="360" w:lineRule="auto"/>
        <w:ind w:firstLine="720" w:firstLineChars="300"/>
        <w:rPr>
          <w:rStyle w:val="11"/>
          <w:rFonts w:ascii="Arial Narrow" w:hAnsi="Arial Narrow" w:eastAsiaTheme="minorEastAsia"/>
          <w:color w:val="auto"/>
          <w:sz w:val="24"/>
          <w:u w:val="none"/>
        </w:rPr>
      </w:pPr>
    </w:p>
    <w:p w14:paraId="60E716A9">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1FDFE3AA">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29" w:name="_GoBack"/>
      <w:bookmarkEnd w:id="29"/>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A1253">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07776">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63C7A">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263C7A">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F3A6E">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7A67"/>
    <w:rsid w:val="00022DCD"/>
    <w:rsid w:val="00023EC4"/>
    <w:rsid w:val="000343D6"/>
    <w:rsid w:val="00060BD2"/>
    <w:rsid w:val="000637E7"/>
    <w:rsid w:val="00063E0B"/>
    <w:rsid w:val="00066A05"/>
    <w:rsid w:val="000769EE"/>
    <w:rsid w:val="0008236A"/>
    <w:rsid w:val="00086903"/>
    <w:rsid w:val="00093CF7"/>
    <w:rsid w:val="00094BEA"/>
    <w:rsid w:val="00096EF3"/>
    <w:rsid w:val="000B69A7"/>
    <w:rsid w:val="000D0560"/>
    <w:rsid w:val="000D1A3B"/>
    <w:rsid w:val="000E4529"/>
    <w:rsid w:val="000E6A52"/>
    <w:rsid w:val="000F2B58"/>
    <w:rsid w:val="0010003E"/>
    <w:rsid w:val="00104568"/>
    <w:rsid w:val="00125922"/>
    <w:rsid w:val="0013351F"/>
    <w:rsid w:val="00134388"/>
    <w:rsid w:val="00143A99"/>
    <w:rsid w:val="00152152"/>
    <w:rsid w:val="00164C87"/>
    <w:rsid w:val="001802C4"/>
    <w:rsid w:val="001819DF"/>
    <w:rsid w:val="001A2F96"/>
    <w:rsid w:val="001A42EB"/>
    <w:rsid w:val="001A5651"/>
    <w:rsid w:val="001B0B3E"/>
    <w:rsid w:val="001C1033"/>
    <w:rsid w:val="001C6F32"/>
    <w:rsid w:val="001E0132"/>
    <w:rsid w:val="001F3624"/>
    <w:rsid w:val="001F43AE"/>
    <w:rsid w:val="0020106A"/>
    <w:rsid w:val="00204413"/>
    <w:rsid w:val="00216472"/>
    <w:rsid w:val="00224D96"/>
    <w:rsid w:val="00226E7E"/>
    <w:rsid w:val="002360A5"/>
    <w:rsid w:val="002441B3"/>
    <w:rsid w:val="00245725"/>
    <w:rsid w:val="00254FC8"/>
    <w:rsid w:val="002663D6"/>
    <w:rsid w:val="002754E5"/>
    <w:rsid w:val="00276D1C"/>
    <w:rsid w:val="00282997"/>
    <w:rsid w:val="002914F2"/>
    <w:rsid w:val="00293FB8"/>
    <w:rsid w:val="00294F41"/>
    <w:rsid w:val="002B1561"/>
    <w:rsid w:val="002C083D"/>
    <w:rsid w:val="002C36AE"/>
    <w:rsid w:val="002C4BF0"/>
    <w:rsid w:val="002C5020"/>
    <w:rsid w:val="002C6623"/>
    <w:rsid w:val="002C69CB"/>
    <w:rsid w:val="002C7EFA"/>
    <w:rsid w:val="002D26D8"/>
    <w:rsid w:val="002E09F1"/>
    <w:rsid w:val="002E10D6"/>
    <w:rsid w:val="002F5600"/>
    <w:rsid w:val="00314819"/>
    <w:rsid w:val="00314A5A"/>
    <w:rsid w:val="00314D84"/>
    <w:rsid w:val="00322B11"/>
    <w:rsid w:val="00324E2F"/>
    <w:rsid w:val="00331DC5"/>
    <w:rsid w:val="003403BC"/>
    <w:rsid w:val="003427DA"/>
    <w:rsid w:val="00362EF1"/>
    <w:rsid w:val="00364CA3"/>
    <w:rsid w:val="0037066E"/>
    <w:rsid w:val="00384C3C"/>
    <w:rsid w:val="003879CE"/>
    <w:rsid w:val="00397659"/>
    <w:rsid w:val="003A00D8"/>
    <w:rsid w:val="003A1ECE"/>
    <w:rsid w:val="003B42BF"/>
    <w:rsid w:val="003C31C4"/>
    <w:rsid w:val="004077FE"/>
    <w:rsid w:val="00414A58"/>
    <w:rsid w:val="004200C2"/>
    <w:rsid w:val="00420AA7"/>
    <w:rsid w:val="00421311"/>
    <w:rsid w:val="00421C71"/>
    <w:rsid w:val="0044730F"/>
    <w:rsid w:val="00451B44"/>
    <w:rsid w:val="00470930"/>
    <w:rsid w:val="00477B31"/>
    <w:rsid w:val="004A7B95"/>
    <w:rsid w:val="004C1F3A"/>
    <w:rsid w:val="004C38B4"/>
    <w:rsid w:val="004D1145"/>
    <w:rsid w:val="004D2A61"/>
    <w:rsid w:val="004D2A6E"/>
    <w:rsid w:val="004E6833"/>
    <w:rsid w:val="004F367F"/>
    <w:rsid w:val="004F7A0F"/>
    <w:rsid w:val="00501A64"/>
    <w:rsid w:val="00536985"/>
    <w:rsid w:val="00536F63"/>
    <w:rsid w:val="00565296"/>
    <w:rsid w:val="00572DD6"/>
    <w:rsid w:val="00577297"/>
    <w:rsid w:val="005A2955"/>
    <w:rsid w:val="005E133F"/>
    <w:rsid w:val="005E4847"/>
    <w:rsid w:val="005F01BA"/>
    <w:rsid w:val="005F289A"/>
    <w:rsid w:val="005F3C4E"/>
    <w:rsid w:val="005F7548"/>
    <w:rsid w:val="0060606D"/>
    <w:rsid w:val="0061001E"/>
    <w:rsid w:val="00613DCA"/>
    <w:rsid w:val="0061417A"/>
    <w:rsid w:val="00615E5C"/>
    <w:rsid w:val="0064667B"/>
    <w:rsid w:val="006553BC"/>
    <w:rsid w:val="00655510"/>
    <w:rsid w:val="00655BBA"/>
    <w:rsid w:val="00662ED7"/>
    <w:rsid w:val="0068522F"/>
    <w:rsid w:val="0069156D"/>
    <w:rsid w:val="0069678B"/>
    <w:rsid w:val="006A15F5"/>
    <w:rsid w:val="006A58E0"/>
    <w:rsid w:val="006D14F7"/>
    <w:rsid w:val="006E75D6"/>
    <w:rsid w:val="006E7DA1"/>
    <w:rsid w:val="006F7CBD"/>
    <w:rsid w:val="00717B7E"/>
    <w:rsid w:val="0072082C"/>
    <w:rsid w:val="0073019B"/>
    <w:rsid w:val="00730A8E"/>
    <w:rsid w:val="00740E9D"/>
    <w:rsid w:val="00741402"/>
    <w:rsid w:val="00742AD3"/>
    <w:rsid w:val="007545D5"/>
    <w:rsid w:val="00786924"/>
    <w:rsid w:val="007A6BE6"/>
    <w:rsid w:val="007B57A1"/>
    <w:rsid w:val="007D0A35"/>
    <w:rsid w:val="008050B0"/>
    <w:rsid w:val="008224B5"/>
    <w:rsid w:val="00824435"/>
    <w:rsid w:val="00827385"/>
    <w:rsid w:val="00832233"/>
    <w:rsid w:val="00842151"/>
    <w:rsid w:val="008478E1"/>
    <w:rsid w:val="00856815"/>
    <w:rsid w:val="00866999"/>
    <w:rsid w:val="008952B1"/>
    <w:rsid w:val="008A3E89"/>
    <w:rsid w:val="008D0C1C"/>
    <w:rsid w:val="008D4F7C"/>
    <w:rsid w:val="008E609D"/>
    <w:rsid w:val="0090729E"/>
    <w:rsid w:val="009309C0"/>
    <w:rsid w:val="00931593"/>
    <w:rsid w:val="0093428C"/>
    <w:rsid w:val="0093667D"/>
    <w:rsid w:val="00946218"/>
    <w:rsid w:val="00973421"/>
    <w:rsid w:val="0097685B"/>
    <w:rsid w:val="009826CB"/>
    <w:rsid w:val="00983CB7"/>
    <w:rsid w:val="0099506C"/>
    <w:rsid w:val="009957B8"/>
    <w:rsid w:val="0099666C"/>
    <w:rsid w:val="00997895"/>
    <w:rsid w:val="009B4F6B"/>
    <w:rsid w:val="009C0564"/>
    <w:rsid w:val="009E4A98"/>
    <w:rsid w:val="009E66E4"/>
    <w:rsid w:val="009F1C42"/>
    <w:rsid w:val="00A03D08"/>
    <w:rsid w:val="00A066D6"/>
    <w:rsid w:val="00A06D56"/>
    <w:rsid w:val="00A07304"/>
    <w:rsid w:val="00A14650"/>
    <w:rsid w:val="00A2597D"/>
    <w:rsid w:val="00A32CEF"/>
    <w:rsid w:val="00A352D4"/>
    <w:rsid w:val="00A467FF"/>
    <w:rsid w:val="00A554AB"/>
    <w:rsid w:val="00A66761"/>
    <w:rsid w:val="00A922C5"/>
    <w:rsid w:val="00A95CA5"/>
    <w:rsid w:val="00AB0136"/>
    <w:rsid w:val="00AC3880"/>
    <w:rsid w:val="00AD0284"/>
    <w:rsid w:val="00AE470F"/>
    <w:rsid w:val="00AF58DD"/>
    <w:rsid w:val="00B012B8"/>
    <w:rsid w:val="00B134A6"/>
    <w:rsid w:val="00B25A79"/>
    <w:rsid w:val="00B37BAB"/>
    <w:rsid w:val="00B7289F"/>
    <w:rsid w:val="00B779A4"/>
    <w:rsid w:val="00B977FA"/>
    <w:rsid w:val="00BA142A"/>
    <w:rsid w:val="00BA212E"/>
    <w:rsid w:val="00BB3674"/>
    <w:rsid w:val="00BC2692"/>
    <w:rsid w:val="00BC7BED"/>
    <w:rsid w:val="00BD6E7B"/>
    <w:rsid w:val="00BD6FFD"/>
    <w:rsid w:val="00BD75F7"/>
    <w:rsid w:val="00BF4A94"/>
    <w:rsid w:val="00C02FB6"/>
    <w:rsid w:val="00C107C7"/>
    <w:rsid w:val="00C12443"/>
    <w:rsid w:val="00C35442"/>
    <w:rsid w:val="00C36A73"/>
    <w:rsid w:val="00C41EBB"/>
    <w:rsid w:val="00C43388"/>
    <w:rsid w:val="00C60A62"/>
    <w:rsid w:val="00C8677E"/>
    <w:rsid w:val="00C87D50"/>
    <w:rsid w:val="00CB4582"/>
    <w:rsid w:val="00CB54FB"/>
    <w:rsid w:val="00CC769D"/>
    <w:rsid w:val="00CE181A"/>
    <w:rsid w:val="00CF0849"/>
    <w:rsid w:val="00D1562E"/>
    <w:rsid w:val="00D254D3"/>
    <w:rsid w:val="00D26E16"/>
    <w:rsid w:val="00D415D5"/>
    <w:rsid w:val="00D61F80"/>
    <w:rsid w:val="00D75A0C"/>
    <w:rsid w:val="00D87042"/>
    <w:rsid w:val="00D95752"/>
    <w:rsid w:val="00DB3B16"/>
    <w:rsid w:val="00DB55F0"/>
    <w:rsid w:val="00DD1941"/>
    <w:rsid w:val="00DD3F63"/>
    <w:rsid w:val="00E035A0"/>
    <w:rsid w:val="00E065AA"/>
    <w:rsid w:val="00E1143D"/>
    <w:rsid w:val="00E16F7C"/>
    <w:rsid w:val="00E23D6E"/>
    <w:rsid w:val="00E27A95"/>
    <w:rsid w:val="00E316A2"/>
    <w:rsid w:val="00E53B0A"/>
    <w:rsid w:val="00E66C12"/>
    <w:rsid w:val="00E67B82"/>
    <w:rsid w:val="00E709E2"/>
    <w:rsid w:val="00E768C4"/>
    <w:rsid w:val="00E80BDA"/>
    <w:rsid w:val="00E872F3"/>
    <w:rsid w:val="00E91097"/>
    <w:rsid w:val="00EA195F"/>
    <w:rsid w:val="00EA1C10"/>
    <w:rsid w:val="00EA30BF"/>
    <w:rsid w:val="00EB474C"/>
    <w:rsid w:val="00EB52C5"/>
    <w:rsid w:val="00ED0A8C"/>
    <w:rsid w:val="00ED655E"/>
    <w:rsid w:val="00EE279E"/>
    <w:rsid w:val="00F31057"/>
    <w:rsid w:val="00F36680"/>
    <w:rsid w:val="00F4160A"/>
    <w:rsid w:val="00F45323"/>
    <w:rsid w:val="00F54C3F"/>
    <w:rsid w:val="00F612AC"/>
    <w:rsid w:val="00F61D28"/>
    <w:rsid w:val="00F64D50"/>
    <w:rsid w:val="00F6551E"/>
    <w:rsid w:val="00F6572C"/>
    <w:rsid w:val="00F84DF0"/>
    <w:rsid w:val="00F85329"/>
    <w:rsid w:val="00F85A77"/>
    <w:rsid w:val="00F91D4D"/>
    <w:rsid w:val="00F96185"/>
    <w:rsid w:val="00FA6718"/>
    <w:rsid w:val="00FD1A79"/>
    <w:rsid w:val="00FD5F18"/>
    <w:rsid w:val="00FE1E65"/>
    <w:rsid w:val="00FE5705"/>
    <w:rsid w:val="00FF09B7"/>
    <w:rsid w:val="00FF5AA5"/>
    <w:rsid w:val="02717C9D"/>
    <w:rsid w:val="02E17EE9"/>
    <w:rsid w:val="03CB0448"/>
    <w:rsid w:val="0C955D75"/>
    <w:rsid w:val="10FD0312"/>
    <w:rsid w:val="120E6874"/>
    <w:rsid w:val="14B30702"/>
    <w:rsid w:val="1FED62ED"/>
    <w:rsid w:val="21FA6A1F"/>
    <w:rsid w:val="270731DD"/>
    <w:rsid w:val="29E175AC"/>
    <w:rsid w:val="2ECA0125"/>
    <w:rsid w:val="33D31514"/>
    <w:rsid w:val="357129F4"/>
    <w:rsid w:val="371050B8"/>
    <w:rsid w:val="45947F31"/>
    <w:rsid w:val="4DF1278B"/>
    <w:rsid w:val="60087B46"/>
    <w:rsid w:val="629B4EDD"/>
    <w:rsid w:val="6C0B491D"/>
    <w:rsid w:val="6DE872D7"/>
    <w:rsid w:val="763F4286"/>
    <w:rsid w:val="794B7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5847</Words>
  <Characters>6251</Characters>
  <Lines>54</Lines>
  <Paragraphs>15</Paragraphs>
  <TotalTime>2</TotalTime>
  <ScaleCrop>false</ScaleCrop>
  <LinksUpToDate>false</LinksUpToDate>
  <CharactersWithSpaces>6284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2024-07-29T09:54:00Z</cp:lastPrinted>
  <dcterms:modified xsi:type="dcterms:W3CDTF">2024-11-20T01:28:20Z</dcterms:modified>
  <cp:revision>298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D4AEB73991E84DEDB859C3967F7951CB_13</vt:lpwstr>
  </property>
</Properties>
</file>