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5B34B2">
      <w:pPr>
        <w:spacing w:line="360" w:lineRule="auto"/>
        <w:jc w:val="center"/>
        <w:rPr>
          <w:rFonts w:ascii="Arial Narrow" w:hAnsi="Arial Narrow"/>
          <w:b/>
          <w:bCs/>
          <w:sz w:val="36"/>
          <w:szCs w:val="36"/>
        </w:rPr>
      </w:pPr>
    </w:p>
    <w:p w14:paraId="5A4FCE1E">
      <w:pPr>
        <w:spacing w:line="360" w:lineRule="auto"/>
        <w:jc w:val="center"/>
        <w:rPr>
          <w:rFonts w:ascii="Arial Narrow" w:hAnsi="Arial Narrow"/>
          <w:b/>
          <w:bCs/>
          <w:sz w:val="36"/>
          <w:szCs w:val="36"/>
        </w:rPr>
      </w:pPr>
    </w:p>
    <w:p w14:paraId="34BFC042">
      <w:pPr>
        <w:spacing w:line="360" w:lineRule="auto"/>
        <w:jc w:val="center"/>
        <w:rPr>
          <w:rFonts w:ascii="Arial Narrow" w:hAnsi="Arial Narrow"/>
          <w:b/>
          <w:bCs/>
          <w:sz w:val="36"/>
          <w:szCs w:val="36"/>
        </w:rPr>
      </w:pPr>
    </w:p>
    <w:p w14:paraId="12085221">
      <w:pPr>
        <w:spacing w:line="360" w:lineRule="auto"/>
        <w:jc w:val="center"/>
        <w:rPr>
          <w:rFonts w:ascii="Arial Narrow" w:hAnsi="Arial Narrow"/>
          <w:b/>
          <w:bCs/>
          <w:sz w:val="36"/>
          <w:szCs w:val="36"/>
        </w:rPr>
      </w:pPr>
    </w:p>
    <w:p w14:paraId="4759059A">
      <w:pPr>
        <w:adjustRightInd w:val="0"/>
        <w:snapToGrid w:val="0"/>
        <w:spacing w:line="360" w:lineRule="auto"/>
        <w:jc w:val="center"/>
        <w:rPr>
          <w:rFonts w:ascii="Arial Narrow" w:hAnsi="Arial Narrow" w:eastAsia="仿宋"/>
          <w:b/>
          <w:sz w:val="36"/>
          <w:szCs w:val="36"/>
        </w:rPr>
      </w:pPr>
      <w:r>
        <w:rPr>
          <w:rFonts w:hint="eastAsia" w:ascii="Arial Narrow" w:hAnsi="Arial Narrow" w:eastAsia="仿宋"/>
          <w:b/>
          <w:sz w:val="36"/>
          <w:szCs w:val="36"/>
        </w:rPr>
        <w:t>重庆市铜梁区东城街道青羊村</w:t>
      </w:r>
    </w:p>
    <w:p w14:paraId="74343BF9">
      <w:pPr>
        <w:adjustRightInd w:val="0"/>
        <w:snapToGrid w:val="0"/>
        <w:spacing w:line="360" w:lineRule="auto"/>
        <w:jc w:val="center"/>
        <w:rPr>
          <w:rFonts w:ascii="Arial Narrow" w:hAnsi="Arial Narrow" w:eastAsia="仿宋"/>
          <w:b/>
          <w:sz w:val="36"/>
          <w:szCs w:val="36"/>
        </w:rPr>
      </w:pPr>
      <w:r>
        <w:rPr>
          <w:rFonts w:hint="eastAsia" w:ascii="Arial Narrow" w:hAnsi="Arial Narrow" w:eastAsia="仿宋"/>
          <w:b/>
          <w:sz w:val="36"/>
          <w:szCs w:val="36"/>
        </w:rPr>
        <w:t>中药材佛手种植基地水肥一体化滴灌设施建设项目</w:t>
      </w:r>
    </w:p>
    <w:p w14:paraId="7EA4B114">
      <w:pPr>
        <w:adjustRightInd w:val="0"/>
        <w:snapToGrid w:val="0"/>
        <w:spacing w:line="360" w:lineRule="auto"/>
        <w:jc w:val="center"/>
        <w:rPr>
          <w:rFonts w:ascii="Arial Narrow" w:hAnsi="Arial Narrow"/>
          <w:b/>
          <w:spacing w:val="100"/>
          <w:sz w:val="32"/>
          <w:szCs w:val="32"/>
        </w:rPr>
      </w:pPr>
      <w:r>
        <w:rPr>
          <w:rFonts w:hint="eastAsia" w:ascii="Arial Narrow" w:hAnsi="Arial Narrow" w:eastAsia="仿宋"/>
          <w:b/>
          <w:sz w:val="36"/>
          <w:szCs w:val="36"/>
        </w:rPr>
        <w:t>财政专项衔接资金</w:t>
      </w:r>
    </w:p>
    <w:p w14:paraId="6F151C7D">
      <w:pPr>
        <w:adjustRightInd w:val="0"/>
        <w:snapToGrid w:val="0"/>
        <w:spacing w:line="360" w:lineRule="auto"/>
        <w:jc w:val="center"/>
        <w:rPr>
          <w:rFonts w:ascii="Arial Narrow" w:hAnsi="Arial Narrow"/>
          <w:b/>
          <w:sz w:val="36"/>
          <w:szCs w:val="36"/>
        </w:rPr>
      </w:pPr>
    </w:p>
    <w:p w14:paraId="02F6D173">
      <w:pPr>
        <w:adjustRightInd w:val="0"/>
        <w:snapToGrid w:val="0"/>
        <w:spacing w:line="360" w:lineRule="auto"/>
        <w:jc w:val="center"/>
        <w:rPr>
          <w:rFonts w:ascii="Arial Narrow" w:hAnsi="Arial Narrow"/>
          <w:b/>
          <w:spacing w:val="100"/>
          <w:sz w:val="32"/>
          <w:szCs w:val="32"/>
        </w:rPr>
      </w:pPr>
    </w:p>
    <w:p w14:paraId="558DDFE8">
      <w:pPr>
        <w:adjustRightInd w:val="0"/>
        <w:snapToGrid w:val="0"/>
        <w:spacing w:line="360" w:lineRule="auto"/>
        <w:jc w:val="center"/>
        <w:rPr>
          <w:rFonts w:ascii="Arial Narrow" w:hAnsi="Arial Narrow"/>
          <w:b/>
          <w:spacing w:val="100"/>
          <w:sz w:val="32"/>
          <w:szCs w:val="32"/>
        </w:rPr>
      </w:pPr>
    </w:p>
    <w:p w14:paraId="223880B7">
      <w:pPr>
        <w:tabs>
          <w:tab w:val="center" w:pos="4393"/>
          <w:tab w:val="left" w:pos="7258"/>
        </w:tabs>
        <w:adjustRightInd w:val="0"/>
        <w:snapToGrid w:val="0"/>
        <w:spacing w:line="360" w:lineRule="auto"/>
        <w:jc w:val="center"/>
        <w:rPr>
          <w:rFonts w:ascii="Arial Narrow" w:hAnsi="Arial Narrow" w:eastAsia="仿宋"/>
          <w:b/>
          <w:w w:val="102"/>
          <w:sz w:val="44"/>
          <w:szCs w:val="44"/>
        </w:rPr>
      </w:pPr>
      <w:r>
        <w:rPr>
          <w:rFonts w:ascii="Arial Narrow" w:hAnsi="Arial Narrow" w:eastAsia="仿宋"/>
          <w:b/>
          <w:w w:val="102"/>
          <w:sz w:val="44"/>
          <w:szCs w:val="44"/>
        </w:rPr>
        <w:t>绩效评价</w:t>
      </w:r>
      <w:bookmarkStart w:id="0" w:name="_Toc488637980"/>
      <w:bookmarkStart w:id="1" w:name="_Toc488804777"/>
      <w:r>
        <w:rPr>
          <w:rFonts w:ascii="Arial Narrow" w:hAnsi="Arial Narrow" w:eastAsia="仿宋"/>
          <w:b/>
          <w:w w:val="102"/>
          <w:sz w:val="44"/>
          <w:szCs w:val="44"/>
        </w:rPr>
        <w:t>报告</w:t>
      </w:r>
    </w:p>
    <w:p w14:paraId="28025722">
      <w:pPr>
        <w:spacing w:line="360" w:lineRule="auto"/>
        <w:jc w:val="center"/>
        <w:rPr>
          <w:rFonts w:ascii="Arial Narrow" w:hAnsi="Arial Narrow" w:eastAsia="仿宋"/>
          <w:bCs/>
          <w:sz w:val="32"/>
          <w:szCs w:val="32"/>
        </w:rPr>
      </w:pPr>
      <w:r>
        <w:rPr>
          <w:rFonts w:ascii="Arial Narrow" w:hAnsi="Arial Narrow" w:eastAsia="仿宋"/>
          <w:bCs/>
          <w:sz w:val="32"/>
          <w:szCs w:val="32"/>
        </w:rPr>
        <w:t>铭鸿</w:t>
      </w:r>
      <w:r>
        <w:rPr>
          <w:rFonts w:hint="eastAsia" w:ascii="Arial Narrow" w:hAnsi="Arial Narrow" w:eastAsia="仿宋"/>
          <w:bCs/>
          <w:sz w:val="32"/>
          <w:szCs w:val="32"/>
        </w:rPr>
        <w:t>咨字（</w:t>
      </w:r>
      <w:r>
        <w:rPr>
          <w:rFonts w:ascii="Arial Narrow" w:hAnsi="Arial Narrow" w:eastAsia="仿宋"/>
          <w:bCs/>
          <w:sz w:val="32"/>
          <w:szCs w:val="32"/>
        </w:rPr>
        <w:t>2024</w:t>
      </w:r>
      <w:r>
        <w:rPr>
          <w:rFonts w:hint="eastAsia" w:ascii="Arial Narrow" w:hAnsi="Arial Narrow" w:eastAsia="仿宋"/>
          <w:bCs/>
          <w:sz w:val="32"/>
          <w:szCs w:val="32"/>
        </w:rPr>
        <w:t>）</w:t>
      </w:r>
      <w:r>
        <w:rPr>
          <w:rFonts w:ascii="Arial Narrow" w:hAnsi="Arial Narrow" w:eastAsia="仿宋"/>
          <w:bCs/>
          <w:sz w:val="32"/>
          <w:szCs w:val="32"/>
        </w:rPr>
        <w:t>第</w:t>
      </w:r>
      <w:r>
        <w:rPr>
          <w:rFonts w:hint="eastAsia" w:ascii="Arial Narrow" w:hAnsi="Arial Narrow" w:eastAsia="仿宋"/>
          <w:bCs/>
          <w:sz w:val="32"/>
          <w:szCs w:val="32"/>
        </w:rPr>
        <w:t>0067</w:t>
      </w:r>
      <w:r>
        <w:rPr>
          <w:rFonts w:ascii="Arial Narrow" w:hAnsi="Arial Narrow" w:eastAsia="仿宋"/>
          <w:bCs/>
          <w:sz w:val="32"/>
          <w:szCs w:val="32"/>
        </w:rPr>
        <w:t>号</w:t>
      </w:r>
    </w:p>
    <w:p w14:paraId="627CC40B">
      <w:pPr>
        <w:adjustRightInd w:val="0"/>
        <w:snapToGrid w:val="0"/>
        <w:spacing w:line="360" w:lineRule="auto"/>
        <w:jc w:val="center"/>
        <w:rPr>
          <w:rFonts w:ascii="Arial Narrow" w:hAnsi="Arial Narrow"/>
          <w:b/>
          <w:spacing w:val="100"/>
          <w:sz w:val="32"/>
          <w:szCs w:val="32"/>
        </w:rPr>
      </w:pPr>
    </w:p>
    <w:p w14:paraId="0263B111">
      <w:pPr>
        <w:adjustRightInd w:val="0"/>
        <w:snapToGrid w:val="0"/>
        <w:spacing w:line="360" w:lineRule="auto"/>
        <w:jc w:val="center"/>
        <w:rPr>
          <w:rFonts w:ascii="Arial Narrow" w:hAnsi="Arial Narrow"/>
          <w:b/>
          <w:spacing w:val="100"/>
          <w:sz w:val="32"/>
          <w:szCs w:val="32"/>
        </w:rPr>
      </w:pPr>
    </w:p>
    <w:p w14:paraId="2D0E193B">
      <w:pPr>
        <w:adjustRightInd w:val="0"/>
        <w:snapToGrid w:val="0"/>
        <w:spacing w:line="360" w:lineRule="auto"/>
        <w:jc w:val="center"/>
        <w:rPr>
          <w:rFonts w:ascii="Arial Narrow" w:hAnsi="Arial Narrow"/>
          <w:b/>
          <w:spacing w:val="100"/>
          <w:sz w:val="32"/>
          <w:szCs w:val="32"/>
        </w:rPr>
      </w:pPr>
    </w:p>
    <w:p w14:paraId="4B69EB7E">
      <w:pPr>
        <w:adjustRightInd w:val="0"/>
        <w:snapToGrid w:val="0"/>
        <w:spacing w:line="360" w:lineRule="auto"/>
        <w:jc w:val="center"/>
        <w:rPr>
          <w:rFonts w:ascii="Arial Narrow" w:hAnsi="Arial Narrow"/>
          <w:b/>
          <w:spacing w:val="100"/>
          <w:sz w:val="32"/>
          <w:szCs w:val="32"/>
        </w:rPr>
      </w:pPr>
    </w:p>
    <w:p w14:paraId="1BB512AA">
      <w:pPr>
        <w:adjustRightInd w:val="0"/>
        <w:snapToGrid w:val="0"/>
        <w:spacing w:line="360" w:lineRule="auto"/>
        <w:jc w:val="center"/>
        <w:rPr>
          <w:rFonts w:ascii="Arial Narrow" w:hAnsi="Arial Narrow"/>
          <w:b/>
          <w:spacing w:val="100"/>
          <w:sz w:val="32"/>
          <w:szCs w:val="32"/>
        </w:rPr>
      </w:pPr>
    </w:p>
    <w:p w14:paraId="1DB52EC2">
      <w:pPr>
        <w:adjustRightInd w:val="0"/>
        <w:snapToGrid w:val="0"/>
        <w:spacing w:line="360" w:lineRule="auto"/>
        <w:jc w:val="center"/>
        <w:rPr>
          <w:rFonts w:ascii="Arial Narrow" w:hAnsi="Arial Narrow"/>
          <w:b/>
          <w:spacing w:val="100"/>
          <w:sz w:val="32"/>
          <w:szCs w:val="32"/>
        </w:rPr>
      </w:pPr>
    </w:p>
    <w:p w14:paraId="6742768B">
      <w:pPr>
        <w:adjustRightInd w:val="0"/>
        <w:snapToGrid w:val="0"/>
        <w:spacing w:line="360" w:lineRule="auto"/>
        <w:jc w:val="center"/>
        <w:rPr>
          <w:rFonts w:ascii="Arial Narrow" w:hAnsi="Arial Narrow"/>
          <w:b/>
          <w:spacing w:val="100"/>
          <w:sz w:val="32"/>
          <w:szCs w:val="32"/>
        </w:rPr>
      </w:pPr>
    </w:p>
    <w:p w14:paraId="65387CE8">
      <w:pPr>
        <w:spacing w:line="480" w:lineRule="exact"/>
        <w:ind w:firstLine="442" w:firstLineChars="100"/>
        <w:rPr>
          <w:rFonts w:hint="eastAsia" w:ascii="仿宋" w:hAnsi="仿宋" w:eastAsia="仿宋" w:cs="仿宋"/>
          <w:b/>
          <w:bCs/>
          <w:sz w:val="44"/>
          <w:szCs w:val="44"/>
        </w:rPr>
      </w:pPr>
    </w:p>
    <w:p w14:paraId="496293BE">
      <w:pPr>
        <w:spacing w:line="480" w:lineRule="exact"/>
        <w:rPr>
          <w:rFonts w:hint="eastAsia" w:ascii="仿宋" w:hAnsi="仿宋" w:eastAsia="仿宋" w:cs="仿宋"/>
          <w:b/>
          <w:bCs/>
          <w:sz w:val="44"/>
          <w:szCs w:val="44"/>
        </w:rPr>
      </w:pPr>
    </w:p>
    <w:p w14:paraId="33557E35">
      <w:pPr>
        <w:spacing w:line="480" w:lineRule="exact"/>
        <w:ind w:firstLine="442" w:firstLineChars="100"/>
        <w:rPr>
          <w:rFonts w:hint="eastAsia" w:ascii="仿宋" w:hAnsi="仿宋" w:eastAsia="仿宋" w:cs="仿宋"/>
          <w:b/>
          <w:bCs/>
          <w:sz w:val="52"/>
          <w:szCs w:val="52"/>
        </w:rPr>
      </w:pPr>
      <w:r>
        <w:rPr>
          <w:rFonts w:hint="eastAsia" w:ascii="仿宋" w:hAnsi="仿宋" w:eastAsia="仿宋" w:cs="仿宋"/>
          <w:b/>
          <w:bCs/>
          <w:sz w:val="44"/>
          <w:szCs w:val="44"/>
        </w:rPr>
        <w:t>重庆铭鸿金全会计师事务所有限责任公司</w:t>
      </w:r>
    </w:p>
    <w:p w14:paraId="45B6438F">
      <w:pPr>
        <w:spacing w:line="400" w:lineRule="exact"/>
        <w:ind w:firstLine="482" w:firstLineChars="200"/>
        <w:rPr>
          <w:rFonts w:hint="eastAsia" w:ascii="仿宋" w:hAnsi="仿宋" w:eastAsia="仿宋" w:cs="仿宋"/>
          <w:sz w:val="24"/>
        </w:rPr>
      </w:pPr>
      <w:r>
        <w:rPr>
          <w:rFonts w:hint="eastAsia" w:ascii="仿宋" w:hAnsi="仿宋" w:eastAsia="仿宋" w:cs="仿宋"/>
          <w:b/>
          <w:bCs/>
          <w:sz w:val="24"/>
        </w:rPr>
        <w:t>Chongqing Minghong Jinquan Certified Public Accountants Co., Ltd</w:t>
      </w:r>
    </w:p>
    <w:p w14:paraId="2836AFB4">
      <w:pPr>
        <w:spacing w:line="360" w:lineRule="auto"/>
        <w:jc w:val="center"/>
        <w:rPr>
          <w:rFonts w:ascii="Arial Narrow" w:hAnsi="Arial Narrow"/>
          <w:sz w:val="44"/>
          <w:szCs w:val="44"/>
        </w:rPr>
      </w:pPr>
      <w:r>
        <w:rPr>
          <w:rFonts w:ascii="Arial Narrow" w:hAnsi="Arial Narrow"/>
          <w:b/>
          <w:spacing w:val="100"/>
          <w:sz w:val="52"/>
          <w:szCs w:val="52"/>
        </w:rPr>
        <w:br w:type="page"/>
      </w:r>
      <w:bookmarkEnd w:id="0"/>
      <w:bookmarkEnd w:id="1"/>
      <w:r>
        <w:rPr>
          <w:rFonts w:ascii="Arial Narrow" w:hAnsi="Arial Narrow"/>
          <w:sz w:val="44"/>
          <w:szCs w:val="44"/>
        </w:rPr>
        <w:t>目   录</w:t>
      </w:r>
    </w:p>
    <w:p w14:paraId="72A69AA7">
      <w:pPr>
        <w:spacing w:line="360" w:lineRule="auto"/>
        <w:jc w:val="center"/>
        <w:rPr>
          <w:rFonts w:ascii="Arial Narrow" w:hAnsi="Arial Narrow"/>
          <w:sz w:val="24"/>
        </w:rPr>
      </w:pPr>
    </w:p>
    <w:p w14:paraId="2EFDD79F">
      <w:pPr>
        <w:pStyle w:val="6"/>
        <w:rPr>
          <w:rFonts w:asciiTheme="minorHAnsi" w:hAnsiTheme="minorHAnsi" w:eastAsiaTheme="minorEastAsia" w:cstheme="minorBidi"/>
          <w:b w:val="0"/>
          <w:bCs w:val="0"/>
          <w:szCs w:val="22"/>
          <w14:ligatures w14:val="standardContextual"/>
        </w:rPr>
      </w:pPr>
      <w:r>
        <w:rPr>
          <w:rStyle w:val="10"/>
          <w:rFonts w:ascii="仿宋" w:hAnsi="仿宋" w:eastAsia="仿宋"/>
          <w:b w:val="0"/>
          <w:bCs w:val="0"/>
          <w:color w:val="auto"/>
          <w:szCs w:val="21"/>
          <w:u w:val="none"/>
        </w:rPr>
        <w:fldChar w:fldCharType="begin"/>
      </w:r>
      <w:r>
        <w:rPr>
          <w:rStyle w:val="10"/>
          <w:rFonts w:ascii="仿宋" w:hAnsi="仿宋" w:eastAsia="仿宋"/>
          <w:b w:val="0"/>
          <w:bCs w:val="0"/>
          <w:color w:val="auto"/>
          <w:szCs w:val="21"/>
          <w:u w:val="none"/>
        </w:rPr>
        <w:instrText xml:space="preserve"> TOC \o "1-3" \h \z \u </w:instrText>
      </w:r>
      <w:r>
        <w:rPr>
          <w:rStyle w:val="10"/>
          <w:rFonts w:ascii="仿宋" w:hAnsi="仿宋" w:eastAsia="仿宋"/>
          <w:b w:val="0"/>
          <w:bCs w:val="0"/>
          <w:color w:val="auto"/>
          <w:szCs w:val="21"/>
          <w:u w:val="none"/>
        </w:rPr>
        <w:fldChar w:fldCharType="separate"/>
      </w:r>
      <w:r>
        <w:fldChar w:fldCharType="begin"/>
      </w:r>
      <w:r>
        <w:instrText xml:space="preserve"> HYPERLINK \l "_Toc169624358" </w:instrText>
      </w:r>
      <w:r>
        <w:fldChar w:fldCharType="separate"/>
      </w:r>
      <w:r>
        <w:rPr>
          <w:rStyle w:val="10"/>
        </w:rPr>
        <w:t>一、基本情况</w:t>
      </w:r>
      <w:r>
        <w:tab/>
      </w:r>
      <w:r>
        <w:fldChar w:fldCharType="begin"/>
      </w:r>
      <w:r>
        <w:instrText xml:space="preserve"> PAGEREF _Toc169624358 \h </w:instrText>
      </w:r>
      <w:r>
        <w:fldChar w:fldCharType="separate"/>
      </w:r>
      <w:r>
        <w:t>1</w:t>
      </w:r>
      <w:r>
        <w:fldChar w:fldCharType="end"/>
      </w:r>
      <w:r>
        <w:fldChar w:fldCharType="end"/>
      </w:r>
    </w:p>
    <w:p w14:paraId="599918F2">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"_Toc169624359" </w:instrText>
      </w:r>
      <w:r>
        <w:fldChar w:fldCharType="separate"/>
      </w:r>
      <w:r>
        <w:rPr>
          <w:rStyle w:val="10"/>
          <w:rFonts w:eastAsia="仿宋" w:cs="宋体"/>
          <w:kern w:val="0"/>
        </w:rPr>
        <w:t>（一）项目情况</w:t>
      </w:r>
      <w:r>
        <w:tab/>
      </w:r>
      <w:r>
        <w:fldChar w:fldCharType="begin"/>
      </w:r>
      <w:r>
        <w:instrText xml:space="preserve"> PAGEREF _Toc169624359 \h </w:instrText>
      </w:r>
      <w:r>
        <w:fldChar w:fldCharType="separate"/>
      </w:r>
      <w:r>
        <w:t>1</w:t>
      </w:r>
      <w:r>
        <w:fldChar w:fldCharType="end"/>
      </w:r>
      <w:r>
        <w:fldChar w:fldCharType="end"/>
      </w:r>
    </w:p>
    <w:p w14:paraId="44ACCBDA">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"_Toc169624360" </w:instrText>
      </w:r>
      <w:r>
        <w:fldChar w:fldCharType="separate"/>
      </w:r>
      <w:r>
        <w:rPr>
          <w:rStyle w:val="10"/>
        </w:rPr>
        <w:t>二、绩效评价工作情况</w:t>
      </w:r>
      <w:r>
        <w:tab/>
      </w:r>
      <w:r>
        <w:fldChar w:fldCharType="begin"/>
      </w:r>
      <w:r>
        <w:instrText xml:space="preserve"> PAGEREF _Toc169624360 \h </w:instrText>
      </w:r>
      <w:r>
        <w:fldChar w:fldCharType="separate"/>
      </w:r>
      <w:r>
        <w:t>2</w:t>
      </w:r>
      <w:r>
        <w:fldChar w:fldCharType="end"/>
      </w:r>
      <w:r>
        <w:fldChar w:fldCharType="end"/>
      </w:r>
    </w:p>
    <w:p w14:paraId="6697B245">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"_Toc169624361" </w:instrText>
      </w:r>
      <w:r>
        <w:fldChar w:fldCharType="separate"/>
      </w:r>
      <w:r>
        <w:rPr>
          <w:rStyle w:val="10"/>
        </w:rPr>
        <w:t>（一）绩效评价目的</w:t>
      </w:r>
      <w:r>
        <w:tab/>
      </w:r>
      <w:r>
        <w:rPr>
          <w:rFonts w:hint="eastAsia"/>
        </w:rPr>
        <w:t>2</w:t>
      </w:r>
      <w:r>
        <w:rPr>
          <w:rFonts w:hint="eastAsia"/>
        </w:rPr>
        <w:fldChar w:fldCharType="end"/>
      </w:r>
    </w:p>
    <w:p w14:paraId="5E5AAF9D">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"_Toc169624362" </w:instrText>
      </w:r>
      <w:r>
        <w:fldChar w:fldCharType="separate"/>
      </w:r>
      <w:r>
        <w:rPr>
          <w:rStyle w:val="10"/>
        </w:rPr>
        <w:t>（二）绩效评价的基本内容</w:t>
      </w:r>
      <w:r>
        <w:tab/>
      </w:r>
      <w:r>
        <w:rPr>
          <w:rFonts w:hint="eastAsia"/>
        </w:rPr>
        <w:t>2</w:t>
      </w:r>
      <w:r>
        <w:rPr>
          <w:rFonts w:hint="eastAsia"/>
        </w:rPr>
        <w:fldChar w:fldCharType="end"/>
      </w:r>
    </w:p>
    <w:p w14:paraId="2E829F82">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"_Toc169624363" </w:instrText>
      </w:r>
      <w:r>
        <w:fldChar w:fldCharType="separate"/>
      </w:r>
      <w:r>
        <w:rPr>
          <w:rStyle w:val="10"/>
        </w:rPr>
        <w:t>（三）绩效评价依据</w:t>
      </w:r>
      <w:r>
        <w:tab/>
      </w:r>
      <w:r>
        <w:rPr>
          <w:rFonts w:hint="eastAsia"/>
        </w:rPr>
        <w:t>2</w:t>
      </w:r>
      <w:r>
        <w:rPr>
          <w:rFonts w:hint="eastAsia"/>
        </w:rPr>
        <w:fldChar w:fldCharType="end"/>
      </w:r>
    </w:p>
    <w:p w14:paraId="33B5A02D">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"_Toc169624364" </w:instrText>
      </w:r>
      <w:r>
        <w:fldChar w:fldCharType="separate"/>
      </w:r>
      <w:r>
        <w:rPr>
          <w:rStyle w:val="10"/>
        </w:rPr>
        <w:t>（四）绩效评价原则和指标体系</w:t>
      </w:r>
      <w:r>
        <w:tab/>
      </w:r>
      <w:r>
        <w:rPr>
          <w:rFonts w:hint="eastAsia"/>
        </w:rPr>
        <w:t>3</w:t>
      </w:r>
      <w:r>
        <w:rPr>
          <w:rFonts w:hint="eastAsia"/>
        </w:rPr>
        <w:fldChar w:fldCharType="end"/>
      </w:r>
    </w:p>
    <w:p w14:paraId="74480B27">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"_Toc169624365" </w:instrText>
      </w:r>
      <w:r>
        <w:fldChar w:fldCharType="separate"/>
      </w:r>
      <w:r>
        <w:rPr>
          <w:rStyle w:val="10"/>
        </w:rPr>
        <w:t>（五）绩效评价标准和评价方法</w:t>
      </w:r>
      <w:r>
        <w:tab/>
      </w:r>
      <w:r>
        <w:rPr>
          <w:rFonts w:hint="eastAsia"/>
        </w:rPr>
        <w:t>5</w:t>
      </w:r>
      <w:r>
        <w:rPr>
          <w:rFonts w:hint="eastAsia"/>
        </w:rPr>
        <w:fldChar w:fldCharType="end"/>
      </w:r>
    </w:p>
    <w:p w14:paraId="1B667713">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"_Toc169624366" </w:instrText>
      </w:r>
      <w:r>
        <w:fldChar w:fldCharType="separate"/>
      </w:r>
      <w:r>
        <w:rPr>
          <w:rStyle w:val="10"/>
        </w:rPr>
        <w:t>（六）绩效评价工作过程</w:t>
      </w:r>
      <w:r>
        <w:tab/>
      </w:r>
      <w:r>
        <w:rPr>
          <w:rFonts w:hint="eastAsia"/>
        </w:rPr>
        <w:t>6</w:t>
      </w:r>
      <w:r>
        <w:rPr>
          <w:rFonts w:hint="eastAsia"/>
        </w:rPr>
        <w:fldChar w:fldCharType="end"/>
      </w:r>
    </w:p>
    <w:p w14:paraId="157A73ED">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"_Toc169624367" </w:instrText>
      </w:r>
      <w:r>
        <w:fldChar w:fldCharType="separate"/>
      </w:r>
      <w:r>
        <w:rPr>
          <w:rStyle w:val="10"/>
        </w:rPr>
        <w:t>三、项目评价结论</w:t>
      </w:r>
      <w:r>
        <w:tab/>
      </w:r>
      <w:r>
        <w:rPr>
          <w:rFonts w:hint="eastAsia"/>
        </w:rPr>
        <w:t>6</w:t>
      </w:r>
      <w:r>
        <w:rPr>
          <w:rFonts w:hint="eastAsia"/>
        </w:rPr>
        <w:fldChar w:fldCharType="end"/>
      </w:r>
    </w:p>
    <w:p w14:paraId="53A8A948">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"_Toc169624368" </w:instrText>
      </w:r>
      <w:r>
        <w:fldChar w:fldCharType="separate"/>
      </w:r>
      <w:r>
        <w:rPr>
          <w:rStyle w:val="10"/>
        </w:rPr>
        <w:t>四、综合评价情况</w:t>
      </w:r>
      <w:r>
        <w:tab/>
      </w:r>
      <w:r>
        <w:rPr>
          <w:rFonts w:hint="eastAsia"/>
        </w:rPr>
        <w:t>6</w:t>
      </w:r>
      <w:r>
        <w:rPr>
          <w:rFonts w:hint="eastAsia"/>
        </w:rPr>
        <w:fldChar w:fldCharType="end"/>
      </w:r>
    </w:p>
    <w:p w14:paraId="75FF7448">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"_Toc169624369" </w:instrText>
      </w:r>
      <w:r>
        <w:fldChar w:fldCharType="separate"/>
      </w:r>
      <w:r>
        <w:rPr>
          <w:rStyle w:val="10"/>
          <w:rFonts w:ascii="仿宋_GB2312"/>
        </w:rPr>
        <w:t>（一）资金管理</w:t>
      </w:r>
      <w:r>
        <w:tab/>
      </w:r>
      <w:r>
        <w:rPr>
          <w:rFonts w:hint="eastAsia"/>
        </w:rPr>
        <w:t>6</w:t>
      </w:r>
      <w:r>
        <w:rPr>
          <w:rFonts w:hint="eastAsia"/>
        </w:rPr>
        <w:fldChar w:fldCharType="end"/>
      </w:r>
    </w:p>
    <w:p w14:paraId="5C041F1D">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"_Toc169624370" </w:instrText>
      </w:r>
      <w:r>
        <w:fldChar w:fldCharType="separate"/>
      </w:r>
      <w:r>
        <w:rPr>
          <w:rStyle w:val="10"/>
          <w:rFonts w:ascii="仿宋_GB2312"/>
        </w:rPr>
        <w:t>（二）项目管理</w:t>
      </w:r>
      <w:r>
        <w:tab/>
      </w:r>
      <w:r>
        <w:rPr>
          <w:rFonts w:hint="eastAsia"/>
        </w:rPr>
        <w:t>7</w:t>
      </w:r>
      <w:r>
        <w:rPr>
          <w:rFonts w:hint="eastAsia"/>
        </w:rPr>
        <w:fldChar w:fldCharType="end"/>
      </w:r>
    </w:p>
    <w:p w14:paraId="7D14AE10">
      <w:pPr>
        <w:pStyle w:val="6"/>
      </w:pPr>
      <w:r>
        <w:fldChar w:fldCharType="begin"/>
      </w:r>
      <w:r>
        <w:instrText xml:space="preserve"> HYPERLINK \l "_Toc169624371" </w:instrText>
      </w:r>
      <w:r>
        <w:fldChar w:fldCharType="separate"/>
      </w:r>
      <w:r>
        <w:rPr>
          <w:rStyle w:val="10"/>
          <w:rFonts w:ascii="仿宋_GB2312"/>
        </w:rPr>
        <w:t>（三）</w:t>
      </w:r>
      <w:r>
        <w:rPr>
          <w:rStyle w:val="10"/>
          <w:rFonts w:hint="eastAsia" w:ascii="仿宋_GB2312"/>
        </w:rPr>
        <w:t>使用成效及通报情况</w:t>
      </w:r>
      <w:r>
        <w:tab/>
      </w:r>
      <w:r>
        <w:rPr>
          <w:rFonts w:hint="eastAsia"/>
        </w:rPr>
        <w:t>8</w:t>
      </w:r>
      <w:r>
        <w:rPr>
          <w:rFonts w:hint="eastAsia"/>
        </w:rPr>
        <w:fldChar w:fldCharType="end"/>
      </w:r>
    </w:p>
    <w:p w14:paraId="2CA1012D">
      <w:pPr>
        <w:pStyle w:val="6"/>
        <w:rPr>
          <w:rStyle w:val="10"/>
          <w:rFonts w:asciiTheme="minorHAnsi" w:hAnsiTheme="minorHAnsi" w:eastAsiaTheme="minorEastAsia" w:cstheme="minorBidi"/>
          <w:b w:val="0"/>
          <w:bCs w:val="0"/>
          <w:color w:val="auto"/>
          <w:szCs w:val="22"/>
          <w:u w:val="none"/>
          <w14:ligatures w14:val="standardContextual"/>
        </w:rPr>
      </w:pPr>
      <w:r>
        <w:fldChar w:fldCharType="begin"/>
      </w:r>
      <w:r>
        <w:instrText xml:space="preserve"> HYPERLINK \l "_Toc169624368" </w:instrText>
      </w:r>
      <w:r>
        <w:fldChar w:fldCharType="separate"/>
      </w:r>
      <w:r>
        <w:rPr>
          <w:rStyle w:val="10"/>
          <w:rFonts w:hint="eastAsia"/>
        </w:rPr>
        <w:t>五</w:t>
      </w:r>
      <w:r>
        <w:rPr>
          <w:rStyle w:val="10"/>
        </w:rPr>
        <w:t>、</w:t>
      </w:r>
      <w:r>
        <w:rPr>
          <w:rStyle w:val="10"/>
          <w:rFonts w:hint="eastAsia"/>
        </w:rPr>
        <w:t>存在的问题及建议</w:t>
      </w:r>
      <w:r>
        <w:tab/>
      </w:r>
      <w:r>
        <w:rPr>
          <w:rFonts w:hint="eastAsia"/>
        </w:rPr>
        <w:t>8</w:t>
      </w:r>
      <w:r>
        <w:rPr>
          <w:rFonts w:hint="eastAsia"/>
        </w:rPr>
        <w:fldChar w:fldCharType="end"/>
      </w:r>
    </w:p>
    <w:p w14:paraId="3941E7B2">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"_Toc169624372" </w:instrText>
      </w:r>
      <w:r>
        <w:fldChar w:fldCharType="separate"/>
      </w:r>
      <w:r>
        <w:rPr>
          <w:rStyle w:val="10"/>
          <w:rFonts w:ascii="仿宋_GB2312"/>
        </w:rPr>
        <w:t>（一）存在问题</w:t>
      </w:r>
      <w:r>
        <w:tab/>
      </w:r>
      <w:r>
        <w:rPr>
          <w:rFonts w:hint="eastAsia"/>
        </w:rPr>
        <w:t>8</w:t>
      </w:r>
      <w:r>
        <w:rPr>
          <w:rFonts w:hint="eastAsia"/>
        </w:rPr>
        <w:fldChar w:fldCharType="end"/>
      </w:r>
    </w:p>
    <w:p w14:paraId="18621ACF">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"_Toc169624373" </w:instrText>
      </w:r>
      <w:r>
        <w:fldChar w:fldCharType="separate"/>
      </w:r>
      <w:r>
        <w:rPr>
          <w:rStyle w:val="10"/>
          <w:rFonts w:ascii="仿宋_GB2312"/>
        </w:rPr>
        <w:t>（二）建议</w:t>
      </w:r>
      <w:r>
        <w:tab/>
      </w:r>
      <w:r>
        <w:rPr>
          <w:rFonts w:hint="eastAsia"/>
        </w:rPr>
        <w:t>8</w:t>
      </w:r>
      <w:r>
        <w:rPr>
          <w:rFonts w:hint="eastAsia"/>
        </w:rPr>
        <w:fldChar w:fldCharType="end"/>
      </w:r>
    </w:p>
    <w:p w14:paraId="107E6CEE">
      <w:pPr>
        <w:pStyle w:val="12"/>
        <w:spacing w:line="460" w:lineRule="exact"/>
        <w:rPr>
          <w:rFonts w:ascii="Arial Narrow" w:hAnsi="Arial Narrow" w:eastAsia="仿宋_GB2312"/>
          <w:bCs/>
          <w:w w:val="80"/>
        </w:rPr>
        <w:sectPr>
          <w:footerReference r:id="rId6" w:type="first"/>
          <w:footerReference r:id="rId4" w:type="default"/>
          <w:headerReference r:id="rId3" w:type="even"/>
          <w:footerReference r:id="rId5" w:type="even"/>
          <w:pgSz w:w="11907" w:h="16840"/>
          <w:pgMar w:top="1418" w:right="1418" w:bottom="1134" w:left="1701" w:header="851" w:footer="851" w:gutter="0"/>
          <w:pgNumType w:start="1"/>
          <w:cols w:space="425" w:num="1"/>
          <w:docGrid w:linePitch="312" w:charSpace="0"/>
        </w:sectPr>
      </w:pPr>
      <w:r>
        <w:rPr>
          <w:rStyle w:val="10"/>
          <w:color w:val="auto"/>
          <w:sz w:val="21"/>
          <w:szCs w:val="21"/>
          <w:u w:val="none"/>
        </w:rPr>
        <w:fldChar w:fldCharType="end"/>
      </w:r>
    </w:p>
    <w:p w14:paraId="1DBF9DF4">
      <w:pPr>
        <w:spacing w:line="360" w:lineRule="auto"/>
        <w:jc w:val="right"/>
        <w:rPr>
          <w:rFonts w:ascii="Arial Narrow" w:hAnsi="Arial Narrow"/>
          <w:bCs/>
          <w:w w:val="80"/>
          <w:sz w:val="28"/>
          <w:szCs w:val="28"/>
        </w:rPr>
      </w:pPr>
    </w:p>
    <w:p w14:paraId="2F4BCDD2">
      <w:pPr>
        <w:spacing w:line="360" w:lineRule="auto"/>
        <w:jc w:val="right"/>
        <w:rPr>
          <w:rFonts w:ascii="Arial Narrow" w:hAnsi="Arial Narrow"/>
          <w:bCs/>
          <w:w w:val="80"/>
          <w:sz w:val="28"/>
          <w:szCs w:val="28"/>
        </w:rPr>
      </w:pPr>
    </w:p>
    <w:p w14:paraId="68E27F97">
      <w:pPr>
        <w:widowControl/>
        <w:jc w:val="distribute"/>
        <w:rPr>
          <w:rFonts w:ascii="Arial Narrow" w:hAnsi="Arial Narrow" w:eastAsia="仿宋_GB2312" w:cs="楷体"/>
          <w:bCs/>
          <w:kern w:val="0"/>
          <w:sz w:val="28"/>
          <w:szCs w:val="28"/>
        </w:rPr>
      </w:pPr>
      <w:r>
        <w:rPr>
          <w:rFonts w:ascii="Arial Narrow" w:hAnsi="Arial Narrow" w:eastAsia="楷体" w:cs="楷体"/>
          <w:b/>
          <w:kern w:val="0"/>
          <w:sz w:val="72"/>
          <w:szCs w:val="72"/>
        </w:rPr>
        <w:t>重庆铭鸿金全会计师事务所</w:t>
      </w:r>
    </w:p>
    <w:p w14:paraId="3F7A807E">
      <w:pPr>
        <w:widowControl/>
        <w:spacing w:line="360" w:lineRule="auto"/>
        <w:ind w:right="-2"/>
        <w:jc w:val="distribute"/>
        <w:rPr>
          <w:rFonts w:hint="eastAsia" w:ascii="MS Mincho" w:hAnsi="MS Mincho" w:eastAsia="MS Mincho"/>
          <w:kern w:val="0"/>
          <w:sz w:val="28"/>
          <w:szCs w:val="28"/>
          <w:lang w:eastAsia="zh-TW"/>
        </w:rPr>
      </w:pPr>
      <w:r>
        <w:rPr>
          <w:rFonts w:ascii="MS Mincho" w:hAnsi="MS Mincho" w:eastAsia="MS Mincho"/>
          <w:b/>
          <w:kern w:val="0"/>
          <w:sz w:val="32"/>
          <w:szCs w:val="20"/>
          <w:lang w:eastAsia="zh-TW"/>
        </w:rPr>
        <w:t xml:space="preserve">Chongqing </w:t>
      </w:r>
      <w:r>
        <w:rPr>
          <w:rFonts w:ascii="MS Mincho" w:hAnsi="MS Mincho" w:eastAsia="MS Mincho"/>
          <w:b/>
          <w:kern w:val="0"/>
          <w:sz w:val="32"/>
          <w:szCs w:val="20"/>
        </w:rPr>
        <w:t>MingHong</w:t>
      </w:r>
      <w:r>
        <w:rPr>
          <w:rFonts w:ascii="MS Mincho" w:hAnsi="MS Mincho" w:eastAsia="MS Mincho"/>
          <w:b/>
          <w:kern w:val="0"/>
          <w:sz w:val="32"/>
          <w:szCs w:val="20"/>
          <w:lang w:eastAsia="zh-TW"/>
        </w:rPr>
        <w:t xml:space="preserve"> </w:t>
      </w:r>
      <w:r>
        <w:rPr>
          <w:rFonts w:ascii="MS Mincho" w:hAnsi="MS Mincho" w:eastAsia="MS Mincho"/>
          <w:b/>
          <w:kern w:val="0"/>
          <w:sz w:val="32"/>
          <w:szCs w:val="20"/>
        </w:rPr>
        <w:t>JinQuan</w:t>
      </w:r>
      <w:r>
        <w:rPr>
          <w:rFonts w:ascii="MS Mincho" w:hAnsi="MS Mincho" w:eastAsia="MS Mincho"/>
          <w:b/>
          <w:kern w:val="0"/>
          <w:sz w:val="32"/>
          <w:szCs w:val="20"/>
          <w:lang w:eastAsia="zh-TW"/>
        </w:rPr>
        <w:t xml:space="preserve"> Certified Public Accountants</w:t>
      </w:r>
    </w:p>
    <w:p w14:paraId="66F4CAB7">
      <w:pPr>
        <w:spacing w:line="360" w:lineRule="auto"/>
        <w:jc w:val="center"/>
        <w:rPr>
          <w:rFonts w:ascii="Arial Narrow" w:hAnsi="Arial Narrow" w:eastAsia="仿宋_GB2312"/>
          <w:sz w:val="28"/>
          <w:szCs w:val="28"/>
        </w:rPr>
      </w:pPr>
      <w:r>
        <w:rPr>
          <w:rFonts w:ascii="Arial Narrow" w:hAnsi="Arial Narrow" w:eastAsia="仿宋_GB2312"/>
          <w:kern w:val="0"/>
          <w:sz w:val="28"/>
          <w:szCs w:val="28"/>
        </w:rPr>
        <w:t>铭</w:t>
      </w:r>
      <w:r>
        <w:rPr>
          <w:rFonts w:ascii="Arial Narrow" w:hAnsi="Arial Narrow" w:eastAsia="仿宋_GB2312"/>
          <w:sz w:val="28"/>
          <w:szCs w:val="28"/>
        </w:rPr>
        <w:t>鸿</w:t>
      </w:r>
      <w:r>
        <w:rPr>
          <w:rFonts w:hint="eastAsia" w:ascii="Arial Narrow" w:hAnsi="Arial Narrow" w:eastAsia="仿宋_GB2312"/>
          <w:sz w:val="28"/>
          <w:szCs w:val="28"/>
        </w:rPr>
        <w:t>咨字〔2024〕</w:t>
      </w:r>
      <w:r>
        <w:rPr>
          <w:rFonts w:ascii="Arial Narrow" w:hAnsi="Arial Narrow" w:eastAsia="仿宋_GB2312"/>
          <w:sz w:val="28"/>
          <w:szCs w:val="28"/>
        </w:rPr>
        <w:t>第</w:t>
      </w:r>
      <w:r>
        <w:rPr>
          <w:rFonts w:hint="eastAsia" w:ascii="Arial Narrow" w:hAnsi="Arial Narrow" w:eastAsia="仿宋_GB2312"/>
          <w:sz w:val="28"/>
          <w:szCs w:val="28"/>
        </w:rPr>
        <w:t>0067号</w:t>
      </w:r>
    </w:p>
    <w:p w14:paraId="3D565DD8">
      <w:pPr>
        <w:spacing w:line="360" w:lineRule="auto"/>
        <w:jc w:val="distribute"/>
        <w:rPr>
          <w:rFonts w:ascii="Arial Narrow" w:hAnsi="Arial Narrow"/>
          <w:w w:val="94"/>
        </w:rPr>
      </w:pPr>
      <w:r>
        <w:rPr>
          <w:rFonts w:hint="eastAsia" w:ascii="宋体" w:hAnsi="宋体" w:cs="宋体"/>
          <w:b/>
          <w:bCs/>
          <w:w w:val="94"/>
          <w:sz w:val="36"/>
          <w:szCs w:val="36"/>
        </w:rPr>
        <w:t>━━━━━━━━━━━━</w:t>
      </w:r>
      <w:r>
        <w:rPr>
          <w:rFonts w:ascii="Arial Narrow" w:hAnsi="Arial Narrow"/>
          <w:b/>
          <w:bCs/>
          <w:w w:val="94"/>
          <w:sz w:val="36"/>
          <w:szCs w:val="36"/>
        </w:rPr>
        <w:t xml:space="preserve"> </w:t>
      </w:r>
      <w:r>
        <w:rPr>
          <w:rFonts w:ascii="Segoe UI Symbol" w:hAnsi="Segoe UI Symbol" w:cs="Segoe UI Symbol"/>
          <w:b/>
          <w:bCs/>
          <w:w w:val="94"/>
          <w:sz w:val="36"/>
          <w:szCs w:val="36"/>
        </w:rPr>
        <w:t>★</w:t>
      </w:r>
      <w:r>
        <w:rPr>
          <w:rFonts w:ascii="Arial Narrow" w:hAnsi="Arial Narrow"/>
          <w:b/>
          <w:bCs/>
          <w:w w:val="94"/>
          <w:sz w:val="36"/>
          <w:szCs w:val="36"/>
        </w:rPr>
        <w:t xml:space="preserve"> </w:t>
      </w:r>
      <w:r>
        <w:rPr>
          <w:rFonts w:hint="eastAsia" w:ascii="宋体" w:hAnsi="宋体" w:cs="宋体"/>
          <w:b/>
          <w:bCs/>
          <w:w w:val="94"/>
          <w:sz w:val="36"/>
          <w:szCs w:val="36"/>
        </w:rPr>
        <w:t>━━━━━━━━━━━</w:t>
      </w:r>
      <w:bookmarkStart w:id="2" w:name="_Hlk51614207"/>
      <w:r>
        <w:rPr>
          <w:rFonts w:hint="eastAsia" w:ascii="宋体" w:hAnsi="宋体" w:cs="宋体"/>
          <w:b/>
          <w:bCs/>
          <w:w w:val="94"/>
          <w:sz w:val="36"/>
          <w:szCs w:val="36"/>
        </w:rPr>
        <w:t>━</w:t>
      </w:r>
      <w:bookmarkEnd w:id="2"/>
    </w:p>
    <w:p w14:paraId="78D0DC30">
      <w:pPr>
        <w:adjustRightInd w:val="0"/>
        <w:snapToGrid w:val="0"/>
        <w:spacing w:line="360" w:lineRule="auto"/>
        <w:jc w:val="center"/>
        <w:rPr>
          <w:rStyle w:val="10"/>
          <w:rFonts w:ascii="Arial Narrow" w:hAnsi="Arial Narrow" w:eastAsia="仿宋_GB2312"/>
          <w:b/>
          <w:color w:val="auto"/>
          <w:sz w:val="36"/>
          <w:szCs w:val="36"/>
          <w:u w:val="none"/>
        </w:rPr>
      </w:pPr>
      <w:r>
        <w:rPr>
          <w:rStyle w:val="10"/>
          <w:rFonts w:hint="eastAsia" w:ascii="Arial Narrow" w:hAnsi="Arial Narrow" w:eastAsia="仿宋_GB2312"/>
          <w:b/>
          <w:color w:val="auto"/>
          <w:sz w:val="36"/>
          <w:szCs w:val="36"/>
          <w:u w:val="none"/>
        </w:rPr>
        <w:t>重庆市铜梁区东城街道青羊村</w:t>
      </w:r>
    </w:p>
    <w:p w14:paraId="211764AC">
      <w:pPr>
        <w:adjustRightInd w:val="0"/>
        <w:snapToGrid w:val="0"/>
        <w:spacing w:line="360" w:lineRule="auto"/>
        <w:jc w:val="center"/>
        <w:rPr>
          <w:rStyle w:val="10"/>
          <w:rFonts w:ascii="Arial Narrow" w:hAnsi="Arial Narrow" w:eastAsia="仿宋_GB2312"/>
          <w:b/>
          <w:color w:val="auto"/>
          <w:sz w:val="36"/>
          <w:szCs w:val="36"/>
          <w:u w:val="none"/>
        </w:rPr>
      </w:pPr>
      <w:r>
        <w:rPr>
          <w:rStyle w:val="10"/>
          <w:rFonts w:hint="eastAsia" w:ascii="Arial Narrow" w:hAnsi="Arial Narrow" w:eastAsia="仿宋_GB2312"/>
          <w:b/>
          <w:color w:val="auto"/>
          <w:sz w:val="36"/>
          <w:szCs w:val="36"/>
          <w:u w:val="none"/>
        </w:rPr>
        <w:t>中药材佛手种植基地水肥一体化滴灌设施建设等2个项目</w:t>
      </w:r>
    </w:p>
    <w:p w14:paraId="268A5BEE">
      <w:pPr>
        <w:adjustRightInd w:val="0"/>
        <w:snapToGrid w:val="0"/>
        <w:spacing w:line="360" w:lineRule="auto"/>
        <w:jc w:val="center"/>
        <w:rPr>
          <w:rFonts w:ascii="Arial Narrow" w:hAnsi="Arial Narrow" w:eastAsia="仿宋_GB2312"/>
          <w:b/>
          <w:sz w:val="36"/>
          <w:szCs w:val="36"/>
        </w:rPr>
      </w:pPr>
      <w:r>
        <w:rPr>
          <w:rStyle w:val="10"/>
          <w:rFonts w:hint="eastAsia" w:ascii="Arial Narrow" w:hAnsi="Arial Narrow" w:eastAsia="仿宋_GB2312"/>
          <w:b/>
          <w:color w:val="auto"/>
          <w:sz w:val="36"/>
          <w:szCs w:val="36"/>
          <w:u w:val="none"/>
        </w:rPr>
        <w:t>财政专项衔接资金</w:t>
      </w:r>
      <w:r>
        <w:rPr>
          <w:rFonts w:hint="eastAsia" w:ascii="仿宋_GB2312" w:eastAsia="仿宋_GB2312"/>
          <w:b/>
          <w:sz w:val="36"/>
          <w:szCs w:val="36"/>
        </w:rPr>
        <w:t>绩效评价报告</w:t>
      </w:r>
    </w:p>
    <w:p w14:paraId="400C37B6">
      <w:pPr>
        <w:pStyle w:val="13"/>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为深入贯彻落实党的十九大“全面实施绩效管理”决策部署，进一步提高政府投入资金的使用效益，促进公共服务资源的优化配置，根据《中华人民共和国预算法》、《项目支出绩效评价管理办法》</w:t>
      </w:r>
      <w:r>
        <w:rPr>
          <w:rFonts w:hint="eastAsia" w:ascii="Arial Narrow" w:hAnsi="Arial Narrow" w:eastAsia="仿宋_GB2312"/>
          <w:color w:val="auto"/>
        </w:rPr>
        <w:t>（财预〔2020〕1</w:t>
      </w:r>
      <w:r>
        <w:rPr>
          <w:rFonts w:ascii="Arial Narrow" w:hAnsi="Arial Narrow" w:eastAsia="仿宋_GB2312"/>
          <w:color w:val="auto"/>
        </w:rPr>
        <w:t>0</w:t>
      </w:r>
      <w:r>
        <w:rPr>
          <w:rFonts w:hint="eastAsia" w:ascii="Arial Narrow" w:hAnsi="Arial Narrow" w:eastAsia="仿宋_GB2312"/>
          <w:color w:val="auto"/>
        </w:rPr>
        <w:t>号）</w:t>
      </w:r>
      <w:r>
        <w:rPr>
          <w:rFonts w:ascii="Arial Narrow" w:hAnsi="Arial Narrow" w:eastAsia="仿宋_GB2312"/>
          <w:color w:val="auto"/>
        </w:rPr>
        <w:t>《重庆市市级政策和项目预算绩效管理办法（试行）》</w:t>
      </w:r>
      <w:r>
        <w:rPr>
          <w:rFonts w:hint="eastAsia" w:ascii="Arial Narrow" w:hAnsi="Arial Narrow" w:eastAsia="仿宋_GB2312"/>
          <w:color w:val="auto"/>
        </w:rPr>
        <w:t>（渝财绩〔2019〕1</w:t>
      </w:r>
      <w:r>
        <w:rPr>
          <w:rFonts w:ascii="Arial Narrow" w:hAnsi="Arial Narrow" w:eastAsia="仿宋_GB2312"/>
          <w:color w:val="auto"/>
        </w:rPr>
        <w:t>9</w:t>
      </w:r>
      <w:r>
        <w:rPr>
          <w:rFonts w:hint="eastAsia" w:ascii="Arial Narrow" w:hAnsi="Arial Narrow" w:eastAsia="仿宋_GB2312"/>
          <w:color w:val="auto"/>
        </w:rPr>
        <w:t>号）</w:t>
      </w:r>
      <w:r>
        <w:rPr>
          <w:rFonts w:ascii="Arial Narrow" w:hAnsi="Arial Narrow" w:eastAsia="仿宋_GB2312"/>
          <w:color w:val="auto"/>
        </w:rPr>
        <w:t>，受</w:t>
      </w:r>
      <w:r>
        <w:rPr>
          <w:rFonts w:hint="eastAsia" w:ascii="Arial Narrow" w:hAnsi="Arial Narrow" w:eastAsia="仿宋_GB2312"/>
          <w:color w:val="auto"/>
        </w:rPr>
        <w:t>重庆市铜梁区财政局</w:t>
      </w:r>
      <w:r>
        <w:rPr>
          <w:rFonts w:ascii="Arial Narrow" w:hAnsi="Arial Narrow" w:eastAsia="仿宋_GB2312"/>
          <w:color w:val="auto"/>
        </w:rPr>
        <w:t>（以下简称“</w:t>
      </w:r>
      <w:r>
        <w:rPr>
          <w:rFonts w:hint="eastAsia" w:ascii="Arial Narrow" w:hAnsi="Arial Narrow" w:eastAsia="仿宋_GB2312"/>
          <w:color w:val="auto"/>
        </w:rPr>
        <w:t>财政局</w:t>
      </w:r>
      <w:r>
        <w:rPr>
          <w:rFonts w:ascii="Arial Narrow" w:hAnsi="Arial Narrow" w:eastAsia="仿宋_GB2312"/>
          <w:color w:val="auto"/>
        </w:rPr>
        <w:t>”）的委托，我们对</w:t>
      </w:r>
      <w:r>
        <w:rPr>
          <w:rFonts w:hint="eastAsia" w:ascii="Arial Narrow" w:hAnsi="Arial Narrow" w:eastAsia="仿宋_GB2312"/>
          <w:color w:val="auto"/>
        </w:rPr>
        <w:t>重庆市铜梁区东城街道青羊村中药材佛手种植基地水肥一体化滴灌设施建设项目等2个项目财政专项衔接资金</w:t>
      </w:r>
      <w:r>
        <w:rPr>
          <w:rFonts w:ascii="Arial Narrow" w:hAnsi="Arial Narrow" w:eastAsia="仿宋_GB2312"/>
          <w:color w:val="auto"/>
        </w:rPr>
        <w:t>进行绩效评价，现将评价情况报告如下：</w:t>
      </w:r>
    </w:p>
    <w:p w14:paraId="5B90AA48">
      <w:pPr>
        <w:spacing w:before="240" w:beforeLines="100" w:line="360" w:lineRule="auto"/>
        <w:ind w:firstLine="482" w:firstLineChars="200"/>
        <w:jc w:val="left"/>
        <w:outlineLvl w:val="0"/>
        <w:rPr>
          <w:rFonts w:ascii="Arial Narrow" w:hAnsi="Arial Narrow" w:eastAsia="仿宋_GB2312"/>
          <w:b/>
          <w:sz w:val="24"/>
        </w:rPr>
      </w:pPr>
      <w:bookmarkStart w:id="3" w:name="_Toc169624358"/>
      <w:r>
        <w:rPr>
          <w:rFonts w:ascii="Arial Narrow" w:hAnsi="Arial Narrow" w:eastAsia="仿宋_GB2312"/>
          <w:b/>
          <w:sz w:val="24"/>
        </w:rPr>
        <w:t>一、基本情况</w:t>
      </w:r>
      <w:bookmarkEnd w:id="3"/>
    </w:p>
    <w:p w14:paraId="6D17BA87">
      <w:pPr>
        <w:spacing w:before="120" w:beforeLines="50" w:line="360" w:lineRule="auto"/>
        <w:ind w:firstLine="482" w:firstLineChars="200"/>
        <w:jc w:val="left"/>
        <w:outlineLvl w:val="0"/>
        <w:rPr>
          <w:rFonts w:ascii="Arial Narrow" w:hAnsi="Arial Narrow" w:eastAsia="仿宋" w:cs="宋体"/>
          <w:b/>
          <w:bCs/>
          <w:kern w:val="0"/>
          <w:sz w:val="24"/>
        </w:rPr>
      </w:pPr>
      <w:bookmarkStart w:id="4" w:name="_Toc169624359"/>
      <w:r>
        <w:rPr>
          <w:rFonts w:hint="eastAsia" w:ascii="Arial Narrow" w:hAnsi="Arial Narrow" w:eastAsia="仿宋" w:cs="宋体"/>
          <w:b/>
          <w:bCs/>
          <w:kern w:val="0"/>
          <w:sz w:val="24"/>
        </w:rPr>
        <w:t>（一）项目情况</w:t>
      </w:r>
      <w:bookmarkEnd w:id="4"/>
    </w:p>
    <w:p w14:paraId="3F08322E">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1.</w:t>
      </w:r>
      <w:bookmarkStart w:id="5" w:name="_Hlk172886072"/>
      <w:r>
        <w:rPr>
          <w:rFonts w:hint="eastAsia" w:ascii="Arial Narrow" w:hAnsi="Arial Narrow" w:eastAsia="仿宋_GB2312" w:cs="宋体"/>
          <w:kern w:val="0"/>
          <w:sz w:val="24"/>
        </w:rPr>
        <w:t>青羊村中药材佛手种植基地水肥一体化滴灌设施建设项目</w:t>
      </w:r>
    </w:p>
    <w:bookmarkEnd w:id="5"/>
    <w:p w14:paraId="12AA695B">
      <w:pPr>
        <w:spacing w:line="360" w:lineRule="auto"/>
        <w:ind w:firstLine="480" w:firstLineChars="200"/>
        <w:rPr>
          <w:rFonts w:ascii="Arial Narrow" w:hAnsi="Arial Narrow" w:eastAsia="仿宋_GB2312"/>
          <w:sz w:val="24"/>
          <w:szCs w:val="32"/>
        </w:rPr>
      </w:pPr>
      <w:r>
        <w:rPr>
          <w:rFonts w:hint="eastAsia" w:ascii="Arial Narrow" w:hAnsi="Arial Narrow" w:eastAsia="仿宋_GB2312" w:cs="宋体"/>
          <w:kern w:val="0"/>
          <w:sz w:val="24"/>
        </w:rPr>
        <w:t>实施单位：</w:t>
      </w:r>
      <w:r>
        <w:rPr>
          <w:rFonts w:hint="eastAsia" w:ascii="Arial Narrow" w:hAnsi="Arial Narrow" w:eastAsia="仿宋_GB2312"/>
          <w:sz w:val="24"/>
          <w:szCs w:val="32"/>
        </w:rPr>
        <w:t>铜梁区东城街道青羊村股份经济联合合作社</w:t>
      </w:r>
    </w:p>
    <w:p w14:paraId="092AD959">
      <w:pPr>
        <w:spacing w:line="360" w:lineRule="auto"/>
        <w:ind w:firstLine="480" w:firstLineChars="200"/>
        <w:rPr>
          <w:rFonts w:ascii="Arial Narrow" w:hAnsi="Arial Narrow" w:eastAsia="仿宋_GB2312" w:cs="宋体"/>
          <w:kern w:val="0"/>
          <w:sz w:val="24"/>
        </w:rPr>
      </w:pPr>
      <w:r>
        <w:rPr>
          <w:rFonts w:ascii="Arial Narrow" w:hAnsi="Arial Narrow" w:eastAsia="仿宋_GB2312" w:cs="宋体"/>
          <w:kern w:val="0"/>
          <w:sz w:val="24"/>
        </w:rPr>
        <w:t>项目内容：（1）新建滴灌首部系统管理房：采用彩钢泡沫夹芯板搭建，芯材厚度为50mm，搭建规格为：长6.25m*宽4m*高3m一座；垫层采用C25混凝土3.75m³。（2）滴灌首部系统：灌溉潜水泵11KW*50m*50方1台，恒压变频控制器1套，110一级过滤器安装（单体旋流除砂器）1台，110二级双砂石手动反冲洗过滤器1台，110三级双叠片手动反冲洗过滤器1台，三通道水肥一体机（MWSFG-C2.0高压款）1台，500升施肥桶（锥形带底座搅拌电机配件）3台，110逆止阀1个，总配电箱1台，电力电缆ZR-YJW-3*25+1*16约30m。（3）1号地滴灌系统：ø75PE一级料灌溉管285m，ø50PE一级料灌溉管760m，ø16PE一级料灌溉管4275m；（4）2号地滴灌系统：ø75PE一级料灌溉管855m，ø50PE一级料灌溉管475m，ø16PE一级料灌溉管4275m；（4）3号滴灌系统：ø110PE一级料灌溉管570m，ø90PE一级料灌溉管670m，ø50PE一级料灌溉管1520m，ø16PE一级料灌溉管14250m。</w:t>
      </w:r>
    </w:p>
    <w:p w14:paraId="4FA146E4">
      <w:pPr>
        <w:spacing w:line="360" w:lineRule="auto"/>
        <w:ind w:firstLine="480" w:firstLineChars="200"/>
        <w:rPr>
          <w:rFonts w:ascii="Arial Narrow" w:hAnsi="Arial Narrow" w:eastAsia="仿宋_GB2312" w:cs="宋体"/>
          <w:kern w:val="0"/>
          <w:sz w:val="24"/>
        </w:rPr>
      </w:pPr>
      <w:r>
        <w:rPr>
          <w:rFonts w:ascii="Arial Narrow" w:hAnsi="Arial Narrow" w:eastAsia="仿宋_GB2312" w:cs="宋体"/>
          <w:kern w:val="0"/>
          <w:sz w:val="24"/>
        </w:rPr>
        <w:t>项目资金安排情况：该项目2023年计划投入55.09401万元，申请财政专项衔接资金50万元，自筹资金5.09401万元。</w:t>
      </w:r>
    </w:p>
    <w:p w14:paraId="584792E9">
      <w:pPr>
        <w:spacing w:line="360" w:lineRule="auto"/>
        <w:ind w:firstLine="480" w:firstLineChars="200"/>
        <w:rPr>
          <w:rFonts w:ascii="Arial Narrow" w:hAnsi="Arial Narrow" w:eastAsia="仿宋_GB2312" w:cs="宋体"/>
          <w:kern w:val="0"/>
          <w:sz w:val="24"/>
        </w:rPr>
      </w:pPr>
      <w:r>
        <w:rPr>
          <w:rFonts w:ascii="Arial Narrow" w:hAnsi="Arial Narrow" w:eastAsia="仿宋_GB2312" w:cs="宋体"/>
          <w:kern w:val="0"/>
          <w:sz w:val="24"/>
        </w:rPr>
        <w:t>2.青羊村集体经济基础设施建设项目</w:t>
      </w:r>
    </w:p>
    <w:p w14:paraId="6ABA72D9">
      <w:pPr>
        <w:spacing w:line="360" w:lineRule="auto"/>
        <w:ind w:firstLine="480" w:firstLineChars="200"/>
        <w:jc w:val="left"/>
        <w:outlineLvl w:val="0"/>
        <w:rPr>
          <w:rFonts w:ascii="Arial Narrow" w:hAnsi="Arial Narrow" w:eastAsia="仿宋_GB2312" w:cs="宋体"/>
          <w:kern w:val="0"/>
          <w:sz w:val="24"/>
        </w:rPr>
      </w:pPr>
      <w:bookmarkStart w:id="6" w:name="_Toc169624360"/>
      <w:r>
        <w:rPr>
          <w:rFonts w:ascii="Arial Narrow" w:hAnsi="Arial Narrow" w:eastAsia="仿宋_GB2312" w:cs="宋体"/>
          <w:kern w:val="0"/>
          <w:sz w:val="24"/>
        </w:rPr>
        <w:t>实施单位：铜梁区东城街道青羊村股份经济联合合作社</w:t>
      </w:r>
    </w:p>
    <w:p w14:paraId="0A1574F6">
      <w:pPr>
        <w:spacing w:line="360" w:lineRule="auto"/>
        <w:ind w:firstLine="480" w:firstLineChars="200"/>
        <w:jc w:val="left"/>
        <w:outlineLvl w:val="0"/>
        <w:rPr>
          <w:rFonts w:ascii="Arial Narrow" w:hAnsi="Arial Narrow" w:eastAsia="仿宋_GB2312" w:cs="微软雅黑"/>
          <w:kern w:val="0"/>
          <w:sz w:val="24"/>
        </w:rPr>
      </w:pPr>
      <w:r>
        <w:rPr>
          <w:rFonts w:ascii="Arial Narrow" w:hAnsi="Arial Narrow" w:eastAsia="仿宋_GB2312" w:cs="宋体"/>
          <w:kern w:val="0"/>
          <w:sz w:val="24"/>
        </w:rPr>
        <w:t>项目内容：（1）维修青羊村1组大路边堰塘，开挖堰塘坎沟槽土石方29</w:t>
      </w:r>
      <w:r>
        <w:rPr>
          <w:rFonts w:ascii="Arial Narrow" w:hAnsi="Arial Narrow" w:eastAsia="微软雅黑" w:cs="微软雅黑"/>
          <w:kern w:val="0"/>
          <w:sz w:val="24"/>
        </w:rPr>
        <w:t>㎡</w:t>
      </w:r>
      <w:r>
        <w:rPr>
          <w:rFonts w:ascii="Arial Narrow" w:hAnsi="Arial Narrow" w:eastAsia="仿宋_GB2312" w:cs="仿宋_GB2312"/>
          <w:kern w:val="0"/>
          <w:sz w:val="24"/>
        </w:rPr>
        <w:t>，回填土石方</w:t>
      </w:r>
      <w:r>
        <w:rPr>
          <w:rFonts w:ascii="Arial Narrow" w:hAnsi="Arial Narrow" w:eastAsia="仿宋_GB2312" w:cs="微软雅黑"/>
          <w:kern w:val="0"/>
          <w:sz w:val="24"/>
        </w:rPr>
        <w:t>14.5m</w:t>
      </w:r>
      <w:r>
        <w:rPr>
          <w:rFonts w:ascii="Arial Narrow" w:hAnsi="Arial Narrow" w:eastAsia="仿宋_GB2312" w:cs="Calibri"/>
          <w:kern w:val="0"/>
          <w:sz w:val="24"/>
        </w:rPr>
        <w:t>³</w:t>
      </w:r>
      <w:r>
        <w:rPr>
          <w:rFonts w:ascii="Arial Narrow" w:hAnsi="Arial Narrow" w:eastAsia="仿宋_GB2312" w:cs="微软雅黑"/>
          <w:kern w:val="0"/>
          <w:sz w:val="24"/>
        </w:rPr>
        <w:t>，C30混凝土堡坎14.5m</w:t>
      </w:r>
      <w:r>
        <w:rPr>
          <w:rFonts w:ascii="Arial Narrow" w:hAnsi="Arial Narrow" w:eastAsia="仿宋_GB2312" w:cs="Calibri"/>
          <w:kern w:val="0"/>
          <w:sz w:val="24"/>
        </w:rPr>
        <w:t>³</w:t>
      </w:r>
      <w:r>
        <w:rPr>
          <w:rFonts w:ascii="Arial Narrow" w:hAnsi="Arial Narrow" w:eastAsia="仿宋_GB2312" w:cs="微软雅黑"/>
          <w:kern w:val="0"/>
          <w:sz w:val="24"/>
        </w:rPr>
        <w:t>，C30细石混凝土提坎261</w:t>
      </w:r>
      <w:r>
        <w:rPr>
          <w:rFonts w:ascii="Arial Narrow" w:hAnsi="Arial Narrow" w:eastAsia="微软雅黑" w:cs="微软雅黑"/>
          <w:kern w:val="0"/>
          <w:sz w:val="24"/>
        </w:rPr>
        <w:t>㎡</w:t>
      </w:r>
      <w:r>
        <w:rPr>
          <w:rFonts w:ascii="Arial Narrow" w:hAnsi="Arial Narrow" w:eastAsia="仿宋_GB2312" w:cs="仿宋_GB2312"/>
          <w:kern w:val="0"/>
          <w:sz w:val="24"/>
        </w:rPr>
        <w:t>，</w:t>
      </w:r>
      <w:r>
        <w:rPr>
          <w:rFonts w:ascii="Arial Narrow" w:hAnsi="Arial Narrow" w:eastAsia="仿宋_GB2312" w:cs="微软雅黑"/>
          <w:kern w:val="0"/>
          <w:sz w:val="24"/>
        </w:rPr>
        <w:t>警示标志牌1块，材料二次转运。（2）维修青羊村3组王家坪堰塘，堰塘清淤1147.5m</w:t>
      </w:r>
      <w:r>
        <w:rPr>
          <w:rFonts w:ascii="Arial Narrow" w:hAnsi="Arial Narrow" w:eastAsia="仿宋_GB2312" w:cs="Calibri"/>
          <w:kern w:val="0"/>
          <w:sz w:val="24"/>
        </w:rPr>
        <w:t>³</w:t>
      </w:r>
      <w:r>
        <w:rPr>
          <w:rFonts w:ascii="Arial Narrow" w:hAnsi="Arial Narrow" w:eastAsia="仿宋_GB2312" w:cs="仿宋_GB2312"/>
          <w:kern w:val="0"/>
          <w:sz w:val="24"/>
        </w:rPr>
        <w:t>，开挖堰塘坎沟槽土石方</w:t>
      </w:r>
      <w:r>
        <w:rPr>
          <w:rFonts w:ascii="Arial Narrow" w:hAnsi="Arial Narrow" w:eastAsia="仿宋_GB2312" w:cs="微软雅黑"/>
          <w:kern w:val="0"/>
          <w:sz w:val="24"/>
        </w:rPr>
        <w:t>25m</w:t>
      </w:r>
      <w:r>
        <w:rPr>
          <w:rFonts w:ascii="Arial Narrow" w:hAnsi="Arial Narrow" w:eastAsia="仿宋_GB2312" w:cs="Calibri"/>
          <w:kern w:val="0"/>
          <w:sz w:val="24"/>
        </w:rPr>
        <w:t>³</w:t>
      </w:r>
      <w:r>
        <w:rPr>
          <w:rFonts w:ascii="Arial Narrow" w:hAnsi="Arial Narrow" w:eastAsia="仿宋_GB2312" w:cs="仿宋_GB2312"/>
          <w:kern w:val="0"/>
          <w:sz w:val="24"/>
        </w:rPr>
        <w:t>，回填土石方</w:t>
      </w:r>
      <w:r>
        <w:rPr>
          <w:rFonts w:ascii="Arial Narrow" w:hAnsi="Arial Narrow" w:eastAsia="仿宋_GB2312" w:cs="微软雅黑"/>
          <w:kern w:val="0"/>
          <w:sz w:val="24"/>
        </w:rPr>
        <w:t>12.5m</w:t>
      </w:r>
      <w:r>
        <w:rPr>
          <w:rFonts w:ascii="Arial Narrow" w:hAnsi="Arial Narrow" w:eastAsia="仿宋_GB2312" w:cs="Calibri"/>
          <w:kern w:val="0"/>
          <w:sz w:val="24"/>
        </w:rPr>
        <w:t>³</w:t>
      </w:r>
      <w:r>
        <w:rPr>
          <w:rFonts w:ascii="Arial Narrow" w:hAnsi="Arial Narrow" w:eastAsia="仿宋_GB2312" w:cs="仿宋_GB2312"/>
          <w:kern w:val="0"/>
          <w:sz w:val="24"/>
        </w:rPr>
        <w:t>，</w:t>
      </w:r>
      <w:r>
        <w:rPr>
          <w:rFonts w:ascii="Arial Narrow" w:hAnsi="Arial Narrow" w:eastAsia="仿宋_GB2312" w:cs="微软雅黑"/>
          <w:kern w:val="0"/>
          <w:sz w:val="24"/>
        </w:rPr>
        <w:t>C30混凝土堡坎12.5m</w:t>
      </w:r>
      <w:r>
        <w:rPr>
          <w:rFonts w:ascii="Arial Narrow" w:hAnsi="Arial Narrow" w:eastAsia="仿宋_GB2312" w:cs="Calibri"/>
          <w:kern w:val="0"/>
          <w:sz w:val="24"/>
        </w:rPr>
        <w:t>³</w:t>
      </w:r>
      <w:r>
        <w:rPr>
          <w:rFonts w:ascii="Arial Narrow" w:hAnsi="Arial Narrow" w:eastAsia="仿宋_GB2312" w:cs="仿宋_GB2312"/>
          <w:kern w:val="0"/>
          <w:sz w:val="24"/>
        </w:rPr>
        <w:t>，</w:t>
      </w:r>
      <w:r>
        <w:rPr>
          <w:rFonts w:ascii="Arial Narrow" w:hAnsi="Arial Narrow" w:eastAsia="仿宋_GB2312" w:cs="微软雅黑"/>
          <w:kern w:val="0"/>
          <w:sz w:val="24"/>
        </w:rPr>
        <w:t>C30细石混凝土提坎4cm厚细石混凝土+钢丝网+4</w:t>
      </w:r>
      <w:r>
        <w:rPr>
          <w:rFonts w:ascii="Arial Narrow" w:hAnsi="Arial Narrow" w:eastAsia="微软雅黑" w:cs="微软雅黑"/>
          <w:kern w:val="0"/>
          <w:sz w:val="24"/>
        </w:rPr>
        <w:t>㎝</w:t>
      </w:r>
      <w:r>
        <w:rPr>
          <w:rFonts w:ascii="Arial Narrow" w:hAnsi="Arial Narrow" w:eastAsia="仿宋_GB2312" w:cs="仿宋_GB2312"/>
          <w:kern w:val="0"/>
          <w:sz w:val="24"/>
        </w:rPr>
        <w:t>细石混凝土</w:t>
      </w:r>
      <w:r>
        <w:rPr>
          <w:rFonts w:ascii="Arial Narrow" w:hAnsi="Arial Narrow" w:eastAsia="仿宋_GB2312" w:cs="微软雅黑"/>
          <w:kern w:val="0"/>
          <w:sz w:val="24"/>
        </w:rPr>
        <w:t>400</w:t>
      </w:r>
      <w:r>
        <w:rPr>
          <w:rFonts w:ascii="Arial Narrow" w:hAnsi="Arial Narrow" w:eastAsia="微软雅黑" w:cs="微软雅黑"/>
          <w:kern w:val="0"/>
          <w:sz w:val="24"/>
        </w:rPr>
        <w:t>㎡</w:t>
      </w:r>
      <w:r>
        <w:rPr>
          <w:rFonts w:ascii="Arial Narrow" w:hAnsi="Arial Narrow" w:eastAsia="仿宋_GB2312" w:cs="仿宋_GB2312"/>
          <w:kern w:val="0"/>
          <w:sz w:val="24"/>
        </w:rPr>
        <w:t>，金属网栏</w:t>
      </w:r>
      <w:r>
        <w:rPr>
          <w:rFonts w:ascii="Arial Narrow" w:hAnsi="Arial Narrow" w:eastAsia="仿宋_GB2312" w:cs="微软雅黑"/>
          <w:kern w:val="0"/>
          <w:sz w:val="24"/>
        </w:rPr>
        <w:t>同原护栏176</w:t>
      </w:r>
      <w:r>
        <w:rPr>
          <w:rFonts w:ascii="Arial Narrow" w:hAnsi="Arial Narrow" w:eastAsia="微软雅黑" w:cs="微软雅黑"/>
          <w:kern w:val="0"/>
          <w:sz w:val="24"/>
        </w:rPr>
        <w:t>㎡</w:t>
      </w:r>
      <w:r>
        <w:rPr>
          <w:rFonts w:ascii="Arial Narrow" w:hAnsi="Arial Narrow" w:eastAsia="仿宋_GB2312" w:cs="仿宋_GB2312"/>
          <w:kern w:val="0"/>
          <w:sz w:val="24"/>
        </w:rPr>
        <w:t>，</w:t>
      </w:r>
      <w:r>
        <w:rPr>
          <w:rFonts w:ascii="Arial Narrow" w:hAnsi="Arial Narrow" w:eastAsia="仿宋_GB2312" w:cs="微软雅黑"/>
          <w:kern w:val="0"/>
          <w:sz w:val="24"/>
        </w:rPr>
        <w:t>警示标识牌1块，砍伐乔木4株；（3）青羊村2组新建蓄水池：做法按铜农委2019-123号文100m</w:t>
      </w:r>
      <w:r>
        <w:rPr>
          <w:rFonts w:ascii="Arial Narrow" w:hAnsi="Arial Narrow" w:eastAsia="仿宋_GB2312" w:cs="Calibri"/>
          <w:kern w:val="0"/>
          <w:sz w:val="24"/>
        </w:rPr>
        <w:t>³</w:t>
      </w:r>
      <w:r>
        <w:rPr>
          <w:rFonts w:ascii="Arial Narrow" w:hAnsi="Arial Narrow" w:eastAsia="仿宋_GB2312" w:cs="仿宋_GB2312"/>
          <w:kern w:val="0"/>
          <w:sz w:val="24"/>
        </w:rPr>
        <w:t>蓄水池要求施工</w:t>
      </w:r>
      <w:r>
        <w:rPr>
          <w:rFonts w:ascii="Arial Narrow" w:hAnsi="Arial Narrow" w:eastAsia="仿宋_GB2312" w:cs="微软雅黑"/>
          <w:kern w:val="0"/>
          <w:sz w:val="24"/>
        </w:rPr>
        <w:t>；（4）青羊村2组朱家湾堰至贺家沟整治排水沟420m。开挖沟槽土石方401.27m’,排水沟 1*1m 长320m，排水沟1.2*1m长100m，过沟盖板(1*1.6*0.15m)3块，过沟盖板1*1.8*0.15m)1块。</w:t>
      </w:r>
    </w:p>
    <w:p w14:paraId="4EDACCF0">
      <w:pPr>
        <w:spacing w:line="360" w:lineRule="auto"/>
        <w:ind w:firstLine="482" w:firstLineChars="200"/>
        <w:jc w:val="left"/>
        <w:outlineLvl w:val="0"/>
        <w:rPr>
          <w:rFonts w:ascii="Arial Narrow" w:hAnsi="Arial Narrow" w:eastAsia="仿宋_GB2312"/>
          <w:b/>
          <w:sz w:val="24"/>
        </w:rPr>
      </w:pPr>
      <w:r>
        <w:rPr>
          <w:rFonts w:ascii="Arial Narrow" w:hAnsi="Arial Narrow" w:eastAsia="仿宋_GB2312"/>
          <w:b/>
          <w:sz w:val="24"/>
        </w:rPr>
        <w:t>二、绩效评价工作情况</w:t>
      </w:r>
      <w:bookmarkEnd w:id="6"/>
    </w:p>
    <w:p w14:paraId="1E0BCB58">
      <w:pPr>
        <w:spacing w:line="360" w:lineRule="auto"/>
        <w:ind w:firstLine="482" w:firstLineChars="200"/>
        <w:jc w:val="left"/>
        <w:outlineLvl w:val="0"/>
        <w:rPr>
          <w:rFonts w:ascii="Arial Narrow" w:hAnsi="Arial Narrow" w:eastAsia="仿宋_GB2312"/>
          <w:b/>
          <w:sz w:val="24"/>
        </w:rPr>
      </w:pPr>
      <w:bookmarkStart w:id="7" w:name="_Toc169624361"/>
      <w:bookmarkStart w:id="8" w:name="_Toc513775099"/>
      <w:r>
        <w:rPr>
          <w:rFonts w:ascii="Arial Narrow" w:hAnsi="Arial Narrow" w:eastAsia="仿宋_GB2312"/>
          <w:b/>
          <w:sz w:val="24"/>
        </w:rPr>
        <w:t>（一）绩效评价目的</w:t>
      </w:r>
      <w:bookmarkEnd w:id="7"/>
      <w:bookmarkEnd w:id="8"/>
    </w:p>
    <w:p w14:paraId="6B05330A">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通过实施财政重点绩效评价，总结项目实施主要成效，分析影响项目绩效的主要问题及成因，为进一步加强财政资金管理、提高资金使用效益提供依据。</w:t>
      </w:r>
    </w:p>
    <w:p w14:paraId="733F86A3">
      <w:pPr>
        <w:spacing w:line="360" w:lineRule="auto"/>
        <w:ind w:firstLine="482" w:firstLineChars="200"/>
        <w:jc w:val="left"/>
        <w:outlineLvl w:val="0"/>
        <w:rPr>
          <w:rFonts w:ascii="Arial Narrow" w:hAnsi="Arial Narrow" w:eastAsia="仿宋_GB2312"/>
          <w:b/>
          <w:sz w:val="24"/>
        </w:rPr>
      </w:pPr>
      <w:bookmarkStart w:id="9" w:name="_Toc169624362"/>
      <w:bookmarkStart w:id="10" w:name="_Toc513775100"/>
      <w:r>
        <w:rPr>
          <w:rFonts w:ascii="Arial Narrow" w:hAnsi="Arial Narrow" w:eastAsia="仿宋_GB2312"/>
          <w:b/>
          <w:sz w:val="24"/>
        </w:rPr>
        <w:t>（二）绩效评价的</w:t>
      </w:r>
      <w:r>
        <w:rPr>
          <w:rFonts w:hint="eastAsia" w:ascii="Arial Narrow" w:hAnsi="Arial Narrow" w:eastAsia="仿宋_GB2312"/>
          <w:b/>
          <w:sz w:val="24"/>
        </w:rPr>
        <w:t>基本内容</w:t>
      </w:r>
      <w:bookmarkEnd w:id="9"/>
    </w:p>
    <w:p w14:paraId="1B936646">
      <w:pPr>
        <w:pStyle w:val="13"/>
        <w:spacing w:line="360" w:lineRule="auto"/>
        <w:ind w:firstLine="480" w:firstLineChars="200"/>
        <w:rPr>
          <w:rFonts w:ascii="Arial Narrow" w:hAnsi="Arial Narrow" w:eastAsia="仿宋_GB2312"/>
          <w:color w:val="auto"/>
        </w:rPr>
      </w:pPr>
      <w:bookmarkStart w:id="11" w:name="_Toc166332968"/>
      <w:r>
        <w:rPr>
          <w:rFonts w:hint="eastAsia" w:ascii="Arial Narrow" w:hAnsi="Arial Narrow" w:eastAsia="仿宋_GB2312"/>
          <w:color w:val="auto"/>
        </w:rPr>
        <w:t>1.绩效目标的设定情况；</w:t>
      </w:r>
    </w:p>
    <w:p w14:paraId="520DF13E">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2.资金投入和使用情况；</w:t>
      </w:r>
    </w:p>
    <w:p w14:paraId="68C4013F">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3.为实现绩效目标制定的制度、采取的措施等；</w:t>
      </w:r>
    </w:p>
    <w:p w14:paraId="07A983F1">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4.绩效目标的实现程度及效果；</w:t>
      </w:r>
    </w:p>
    <w:p w14:paraId="16FB9A5E">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5.根据实际情况需要评价的其他内容。</w:t>
      </w:r>
    </w:p>
    <w:p w14:paraId="1ECFAF6C">
      <w:pPr>
        <w:spacing w:line="360" w:lineRule="auto"/>
        <w:ind w:firstLine="482" w:firstLineChars="200"/>
        <w:jc w:val="left"/>
        <w:outlineLvl w:val="0"/>
        <w:rPr>
          <w:rFonts w:ascii="Arial Narrow" w:hAnsi="Arial Narrow" w:eastAsia="仿宋_GB2312"/>
          <w:b/>
          <w:sz w:val="24"/>
        </w:rPr>
      </w:pPr>
      <w:bookmarkStart w:id="12" w:name="_Toc169624363"/>
      <w:r>
        <w:rPr>
          <w:rFonts w:ascii="Arial Narrow" w:hAnsi="Arial Narrow" w:eastAsia="仿宋_GB2312"/>
          <w:b/>
          <w:sz w:val="24"/>
        </w:rPr>
        <w:t>（三）绩效评价依据</w:t>
      </w:r>
      <w:bookmarkEnd w:id="10"/>
      <w:bookmarkEnd w:id="11"/>
      <w:bookmarkEnd w:id="12"/>
      <w:bookmarkStart w:id="13" w:name="_Toc335040595"/>
    </w:p>
    <w:bookmarkEnd w:id="13"/>
    <w:p w14:paraId="339899F5">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.《重庆市铜梁区财政衔接推进乡村振兴补助资金绩效评价及考核办法》的通知（铜财〔2022〕678号）；</w:t>
      </w:r>
    </w:p>
    <w:p w14:paraId="3CA8D4C8">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.《重庆市铜梁区财政局关于开展 2023年度项目财政重点绩效评价的通知》（铜财〔2024〕237号）；</w:t>
      </w:r>
    </w:p>
    <w:p w14:paraId="23A82414">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3.《重庆市财政衔接推进乡村振兴补助资金绩效评价及考核办法》（渝财农〔2022〕2号)</w:t>
      </w:r>
      <w:r>
        <w:rPr>
          <w:rFonts w:ascii="Arial Narrow" w:hAnsi="Arial Narrow" w:eastAsia="仿宋_GB2312"/>
          <w:color w:val="auto"/>
        </w:rPr>
        <w:t xml:space="preserve"> </w:t>
      </w:r>
      <w:r>
        <w:rPr>
          <w:rFonts w:hint="eastAsia" w:ascii="Arial Narrow" w:hAnsi="Arial Narrow" w:eastAsia="仿宋_GB2312"/>
          <w:color w:val="auto"/>
        </w:rPr>
        <w:t>；</w:t>
      </w:r>
    </w:p>
    <w:p w14:paraId="130EB7EF">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4.《铜梁区区级政策和项目预算绩效管理办法(试行)》（铜财〔2022〕41号）；</w:t>
      </w:r>
    </w:p>
    <w:p w14:paraId="129244AC">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5.《重庆市财政局等6部门关于加强财政衔接推进乡村振兴补助资金使用管理的实施意见》（渝财农〔2022〕73号）；</w:t>
      </w:r>
    </w:p>
    <w:p w14:paraId="31B224E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6.《铜梁区巩固拓展脱贫攻坚成果和衔接乡村振兴项目库建设管理实施细则》（铜乡振〔2021〕7号）；</w:t>
      </w:r>
    </w:p>
    <w:p w14:paraId="60B42191">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7.《铜梁区财政衔接推进乡村振兴补助资金项目公告公示实施办法》（铜委农办〔2021〕19号）；</w:t>
      </w:r>
    </w:p>
    <w:p w14:paraId="1B12423F">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8.</w:t>
      </w:r>
      <w:r>
        <w:rPr>
          <w:rFonts w:ascii="Arial Narrow" w:hAnsi="Arial Narrow" w:eastAsia="仿宋_GB2312"/>
          <w:color w:val="auto"/>
        </w:rPr>
        <w:t>《项目支出绩效评价管理办法》（财预</w:t>
      </w:r>
      <w:r>
        <w:rPr>
          <w:rFonts w:hint="eastAsia" w:ascii="Arial Narrow" w:hAnsi="Arial Narrow" w:eastAsia="仿宋_GB2312"/>
          <w:color w:val="auto"/>
        </w:rPr>
        <w:t>〔2020〕</w:t>
      </w:r>
      <w:r>
        <w:rPr>
          <w:rFonts w:ascii="Arial Narrow" w:hAnsi="Arial Narrow" w:eastAsia="仿宋_GB2312"/>
          <w:color w:val="auto"/>
        </w:rPr>
        <w:t>10号）</w:t>
      </w:r>
      <w:r>
        <w:rPr>
          <w:rFonts w:hint="eastAsia" w:ascii="Arial Narrow" w:hAnsi="Arial Narrow" w:eastAsia="仿宋_GB2312"/>
          <w:color w:val="auto"/>
        </w:rPr>
        <w:t>；</w:t>
      </w:r>
    </w:p>
    <w:p w14:paraId="2BC465E0">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9.</w:t>
      </w:r>
      <w:r>
        <w:rPr>
          <w:rFonts w:ascii="Arial Narrow" w:hAnsi="Arial Narrow" w:eastAsia="仿宋_GB2312"/>
          <w:color w:val="auto"/>
        </w:rPr>
        <w:t>《重庆市市级政策和项目预算绩效管理办法》（渝财绩</w:t>
      </w:r>
      <w:r>
        <w:rPr>
          <w:rFonts w:hint="eastAsia" w:ascii="Arial Narrow" w:hAnsi="Arial Narrow" w:eastAsia="仿宋_GB2312"/>
          <w:color w:val="auto"/>
        </w:rPr>
        <w:t>〔2019〕</w:t>
      </w:r>
      <w:r>
        <w:rPr>
          <w:rFonts w:ascii="Arial Narrow" w:hAnsi="Arial Narrow" w:eastAsia="仿宋_GB2312"/>
          <w:color w:val="auto"/>
        </w:rPr>
        <w:t>19号）</w:t>
      </w:r>
      <w:r>
        <w:rPr>
          <w:rFonts w:hint="eastAsia" w:ascii="Arial Narrow" w:hAnsi="Arial Narrow" w:eastAsia="仿宋_GB2312"/>
          <w:color w:val="auto"/>
        </w:rPr>
        <w:t>；</w:t>
      </w:r>
    </w:p>
    <w:p w14:paraId="74074494">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10.</w:t>
      </w:r>
      <w:r>
        <w:rPr>
          <w:rFonts w:ascii="Arial Narrow" w:hAnsi="Arial Narrow" w:eastAsia="仿宋_GB2312"/>
          <w:color w:val="auto"/>
        </w:rPr>
        <w:t>《会计师事务所财政支出绩效评价业务指引》（注协</w:t>
      </w:r>
      <w:bookmarkStart w:id="14" w:name="_Hlk162597612"/>
      <w:r>
        <w:rPr>
          <w:rFonts w:hint="eastAsia" w:ascii="Arial Narrow" w:hAnsi="Arial Narrow" w:eastAsia="仿宋_GB2312"/>
          <w:color w:val="auto"/>
        </w:rPr>
        <w:t>〔2016〕</w:t>
      </w:r>
      <w:bookmarkEnd w:id="14"/>
      <w:r>
        <w:rPr>
          <w:rFonts w:ascii="Arial Narrow" w:hAnsi="Arial Narrow" w:eastAsia="仿宋_GB2312"/>
          <w:color w:val="auto"/>
        </w:rPr>
        <w:t>10号）</w:t>
      </w:r>
      <w:r>
        <w:rPr>
          <w:rFonts w:hint="eastAsia" w:ascii="Arial Narrow" w:hAnsi="Arial Narrow" w:eastAsia="仿宋_GB2312"/>
          <w:color w:val="auto"/>
        </w:rPr>
        <w:t>；</w:t>
      </w:r>
    </w:p>
    <w:p w14:paraId="1C3354AC">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11.</w:t>
      </w:r>
      <w:r>
        <w:rPr>
          <w:rFonts w:ascii="Arial Narrow" w:hAnsi="Arial Narrow" w:eastAsia="仿宋_GB2312"/>
          <w:color w:val="auto"/>
        </w:rPr>
        <w:t>评价工作人员通过现场调查、核实等获得的资料等</w:t>
      </w:r>
      <w:r>
        <w:rPr>
          <w:rFonts w:hint="eastAsia" w:ascii="Arial Narrow" w:hAnsi="Arial Narrow" w:eastAsia="仿宋_GB2312"/>
          <w:color w:val="auto"/>
        </w:rPr>
        <w:t>。</w:t>
      </w:r>
    </w:p>
    <w:p w14:paraId="1B12DDEE">
      <w:pPr>
        <w:spacing w:line="360" w:lineRule="auto"/>
        <w:ind w:firstLine="482" w:firstLineChars="200"/>
        <w:jc w:val="left"/>
        <w:outlineLvl w:val="0"/>
        <w:rPr>
          <w:rFonts w:ascii="Arial Narrow" w:hAnsi="Arial Narrow" w:eastAsia="仿宋_GB2312"/>
          <w:b/>
          <w:sz w:val="24"/>
        </w:rPr>
      </w:pPr>
      <w:bookmarkStart w:id="15" w:name="_Toc169624364"/>
      <w:r>
        <w:rPr>
          <w:rFonts w:ascii="Arial Narrow" w:hAnsi="Arial Narrow" w:eastAsia="仿宋_GB2312"/>
          <w:b/>
          <w:sz w:val="24"/>
        </w:rPr>
        <w:t>（四）绩效评价原则和指标体系</w:t>
      </w:r>
      <w:bookmarkEnd w:id="15"/>
    </w:p>
    <w:p w14:paraId="0C306A26">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绩效评价主要遵循以下原则：</w:t>
      </w:r>
    </w:p>
    <w:p w14:paraId="7B74222E">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w:t>
      </w:r>
      <w:r>
        <w:rPr>
          <w:rFonts w:ascii="Arial Narrow" w:hAnsi="Arial Narrow" w:eastAsia="仿宋_GB2312"/>
          <w:color w:val="auto"/>
        </w:rPr>
        <w:t>相关性原则。应当与绩效目标有直接的联系，能够恰当反映目标的实现程度。</w:t>
      </w:r>
    </w:p>
    <w:p w14:paraId="7186F22C">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ascii="Arial Narrow" w:hAnsi="Arial Narrow" w:eastAsia="仿宋_GB2312"/>
          <w:color w:val="auto"/>
        </w:rPr>
        <w:t>重要性原则。应当优先使用最具评价对象代表性、最能反映评价要求的核心指标。</w:t>
      </w:r>
    </w:p>
    <w:p w14:paraId="2F23D4A0">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（3）可比性原则。对同类评价对象要设定共性的绩效评价指标，以便于评价结果可以相互比较。</w:t>
      </w:r>
    </w:p>
    <w:p w14:paraId="135C8A73">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（4）系统性原则。应当将定量指标与定性指标相结合，系统反映财政支出所产生的社会效益和可持续影响等。</w:t>
      </w:r>
    </w:p>
    <w:p w14:paraId="3B9EC883">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（5）经济性原则。应当通俗易懂、简便易行，数据的获得应当考虑现实条件和可操作性，符合成本效益原则。</w:t>
      </w:r>
    </w:p>
    <w:p w14:paraId="2C99E196">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绩效评价指标体系</w:t>
      </w:r>
    </w:p>
    <w:p w14:paraId="1BDAB617">
      <w:pPr>
        <w:pStyle w:val="13"/>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根据《重庆市铜梁区财政衔接推进乡村振兴补助资金绩效评价及考核办法》的通知（铜财〔2022〕678号</w:t>
      </w:r>
      <w:r>
        <w:rPr>
          <w:rFonts w:ascii="Arial Narrow" w:hAnsi="Arial Narrow" w:eastAsia="仿宋_GB2312"/>
          <w:color w:val="auto"/>
        </w:rPr>
        <w:t>)</w:t>
      </w:r>
      <w:r>
        <w:rPr>
          <w:rFonts w:hint="eastAsia" w:ascii="Arial Narrow" w:hAnsi="Arial Narrow" w:eastAsia="仿宋_GB2312"/>
          <w:color w:val="auto"/>
        </w:rPr>
        <w:t>，本次绩效评价及考核指标体系如下：</w:t>
      </w:r>
    </w:p>
    <w:p w14:paraId="354D36B4">
      <w:pPr>
        <w:pStyle w:val="13"/>
        <w:spacing w:line="360" w:lineRule="auto"/>
        <w:ind w:firstLine="482" w:firstLineChars="200"/>
        <w:jc w:val="center"/>
        <w:rPr>
          <w:rFonts w:ascii="Arial Narrow" w:hAnsi="Arial Narrow" w:eastAsia="仿宋_GB2312"/>
          <w:b/>
          <w:bCs/>
          <w:color w:val="auto"/>
        </w:rPr>
      </w:pPr>
      <w:r>
        <w:rPr>
          <w:rFonts w:hint="eastAsia" w:ascii="Arial Narrow" w:hAnsi="Arial Narrow" w:eastAsia="仿宋_GB2312"/>
          <w:b/>
          <w:bCs/>
          <w:color w:val="auto"/>
        </w:rPr>
        <w:t>铜梁区衔接资金项目绩效评价及考核指标评分表</w:t>
      </w:r>
    </w:p>
    <w:tbl>
      <w:tblPr>
        <w:tblStyle w:val="8"/>
        <w:tblW w:w="9491" w:type="dxa"/>
        <w:tblInd w:w="113" w:type="dxa"/>
        <w:tblLayout w:type="fixed"/>
        <w:tblCellMar>
          <w:top w:w="0" w:type="dxa"/>
          <w:left w:w="108" w:type="dxa"/>
          <w:bottom w:w="0" w:type="dxa"/>
          <w:right w:w="108" w:type="dxa"/>
        </w:tblCellMar>
      </w:tblPr>
      <w:tblGrid>
        <w:gridCol w:w="536"/>
        <w:gridCol w:w="1017"/>
        <w:gridCol w:w="1049"/>
        <w:gridCol w:w="536"/>
        <w:gridCol w:w="2762"/>
        <w:gridCol w:w="3591"/>
      </w:tblGrid>
      <w:tr w14:paraId="046B6C79">
        <w:tblPrEx>
          <w:tblCellMar>
            <w:top w:w="0" w:type="dxa"/>
            <w:left w:w="108" w:type="dxa"/>
            <w:bottom w:w="0" w:type="dxa"/>
            <w:right w:w="108" w:type="dxa"/>
          </w:tblCellMar>
        </w:tblPrEx>
        <w:trPr>
          <w:cantSplit/>
          <w:trHeight w:val="201" w:hRule="atLeast"/>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4AD5D3">
            <w:pPr>
              <w:widowControl/>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序号</w:t>
            </w:r>
          </w:p>
        </w:tc>
        <w:tc>
          <w:tcPr>
            <w:tcW w:w="1017" w:type="dxa"/>
            <w:tcBorders>
              <w:top w:val="single" w:color="auto" w:sz="4" w:space="0"/>
              <w:left w:val="nil"/>
              <w:bottom w:val="single" w:color="auto" w:sz="4" w:space="0"/>
              <w:right w:val="single" w:color="auto" w:sz="4" w:space="0"/>
            </w:tcBorders>
            <w:shd w:val="clear" w:color="auto" w:fill="auto"/>
            <w:noWrap/>
            <w:vAlign w:val="center"/>
          </w:tcPr>
          <w:p w14:paraId="1A118175">
            <w:pPr>
              <w:widowControl/>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一级指标</w:t>
            </w:r>
          </w:p>
        </w:tc>
        <w:tc>
          <w:tcPr>
            <w:tcW w:w="1049" w:type="dxa"/>
            <w:tcBorders>
              <w:top w:val="single" w:color="auto" w:sz="4" w:space="0"/>
              <w:left w:val="nil"/>
              <w:bottom w:val="single" w:color="auto" w:sz="4" w:space="0"/>
              <w:right w:val="single" w:color="auto" w:sz="4" w:space="0"/>
            </w:tcBorders>
            <w:shd w:val="clear" w:color="auto" w:fill="auto"/>
            <w:noWrap/>
            <w:vAlign w:val="center"/>
          </w:tcPr>
          <w:p w14:paraId="4F1B0C2D">
            <w:pPr>
              <w:widowControl/>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5039213B">
            <w:pPr>
              <w:widowControl/>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分值</w:t>
            </w:r>
          </w:p>
        </w:tc>
        <w:tc>
          <w:tcPr>
            <w:tcW w:w="2762" w:type="dxa"/>
            <w:tcBorders>
              <w:top w:val="single" w:color="auto" w:sz="4" w:space="0"/>
              <w:left w:val="nil"/>
              <w:bottom w:val="single" w:color="auto" w:sz="4" w:space="0"/>
              <w:right w:val="single" w:color="auto" w:sz="4" w:space="0"/>
            </w:tcBorders>
            <w:shd w:val="clear" w:color="auto" w:fill="auto"/>
            <w:noWrap/>
            <w:vAlign w:val="center"/>
          </w:tcPr>
          <w:p w14:paraId="0781249A">
            <w:pPr>
              <w:widowControl/>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指标释义</w:t>
            </w:r>
          </w:p>
        </w:tc>
        <w:tc>
          <w:tcPr>
            <w:tcW w:w="3591" w:type="dxa"/>
            <w:tcBorders>
              <w:top w:val="single" w:color="auto" w:sz="4" w:space="0"/>
              <w:left w:val="nil"/>
              <w:bottom w:val="single" w:color="auto" w:sz="4" w:space="0"/>
              <w:right w:val="single" w:color="auto" w:sz="4" w:space="0"/>
            </w:tcBorders>
            <w:shd w:val="clear" w:color="auto" w:fill="auto"/>
            <w:noWrap/>
            <w:vAlign w:val="center"/>
          </w:tcPr>
          <w:p w14:paraId="473ACABB">
            <w:pPr>
              <w:widowControl/>
              <w:jc w:val="center"/>
              <w:rPr>
                <w:rFonts w:hint="eastAsia" w:ascii="仿宋_GB2312" w:hAnsi="宋体" w:eastAsia="仿宋_GB2312" w:cs="宋体"/>
                <w:kern w:val="0"/>
                <w:sz w:val="16"/>
                <w:szCs w:val="16"/>
              </w:rPr>
            </w:pPr>
            <w:r>
              <w:rPr>
                <w:rFonts w:hint="eastAsia" w:ascii="仿宋_GB2312" w:hAnsi="宋体" w:eastAsia="仿宋_GB2312" w:cs="宋体"/>
                <w:kern w:val="0"/>
                <w:sz w:val="16"/>
                <w:szCs w:val="16"/>
              </w:rPr>
              <w:t>评价标准</w:t>
            </w:r>
          </w:p>
        </w:tc>
      </w:tr>
      <w:tr w14:paraId="29FDC2E7">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0B57700">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16535FE3">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资金管理（5分）</w:t>
            </w:r>
          </w:p>
        </w:tc>
        <w:tc>
          <w:tcPr>
            <w:tcW w:w="1049" w:type="dxa"/>
            <w:tcBorders>
              <w:top w:val="nil"/>
              <w:left w:val="nil"/>
              <w:bottom w:val="single" w:color="auto" w:sz="4" w:space="0"/>
              <w:right w:val="single" w:color="auto" w:sz="4" w:space="0"/>
            </w:tcBorders>
            <w:shd w:val="clear" w:color="auto" w:fill="auto"/>
            <w:vAlign w:val="center"/>
          </w:tcPr>
          <w:p w14:paraId="3A266E7B">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0B68E274">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2</w:t>
            </w:r>
          </w:p>
        </w:tc>
        <w:tc>
          <w:tcPr>
            <w:tcW w:w="2762" w:type="dxa"/>
            <w:tcBorders>
              <w:top w:val="nil"/>
              <w:left w:val="nil"/>
              <w:bottom w:val="single" w:color="auto" w:sz="4" w:space="0"/>
              <w:right w:val="single" w:color="auto" w:sz="4" w:space="0"/>
            </w:tcBorders>
            <w:shd w:val="clear" w:color="auto" w:fill="auto"/>
            <w:vAlign w:val="center"/>
          </w:tcPr>
          <w:p w14:paraId="278203B0">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1" w:type="dxa"/>
            <w:tcBorders>
              <w:top w:val="nil"/>
              <w:left w:val="nil"/>
              <w:bottom w:val="single" w:color="auto" w:sz="4" w:space="0"/>
              <w:right w:val="single" w:color="auto" w:sz="4" w:space="0"/>
            </w:tcBorders>
            <w:shd w:val="clear" w:color="auto" w:fill="auto"/>
            <w:vAlign w:val="center"/>
          </w:tcPr>
          <w:p w14:paraId="5A0983C1">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资金使用方向符合文件规定（2分）。</w:t>
            </w:r>
          </w:p>
        </w:tc>
      </w:tr>
      <w:tr w14:paraId="1DE9315B">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8C0FBAA">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2</w:t>
            </w:r>
          </w:p>
        </w:tc>
        <w:tc>
          <w:tcPr>
            <w:tcW w:w="1017" w:type="dxa"/>
            <w:vMerge w:val="continue"/>
            <w:tcBorders>
              <w:top w:val="nil"/>
              <w:left w:val="single" w:color="auto" w:sz="4" w:space="0"/>
              <w:bottom w:val="single" w:color="auto" w:sz="4" w:space="0"/>
              <w:right w:val="single" w:color="auto" w:sz="4" w:space="0"/>
            </w:tcBorders>
            <w:vAlign w:val="center"/>
          </w:tcPr>
          <w:p w14:paraId="135757F0">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597F4F35">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6C8F25F2">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3</w:t>
            </w:r>
          </w:p>
        </w:tc>
        <w:tc>
          <w:tcPr>
            <w:tcW w:w="2762" w:type="dxa"/>
            <w:tcBorders>
              <w:top w:val="nil"/>
              <w:left w:val="nil"/>
              <w:bottom w:val="single" w:color="auto" w:sz="4" w:space="0"/>
              <w:right w:val="single" w:color="auto" w:sz="4" w:space="0"/>
            </w:tcBorders>
            <w:shd w:val="clear" w:color="auto" w:fill="auto"/>
            <w:vAlign w:val="center"/>
          </w:tcPr>
          <w:p w14:paraId="6977B2B3">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评价区级业务主管部门分解下达当年资金及次年提前批资金进度情况。</w:t>
            </w:r>
          </w:p>
        </w:tc>
        <w:tc>
          <w:tcPr>
            <w:tcW w:w="3591" w:type="dxa"/>
            <w:tcBorders>
              <w:top w:val="nil"/>
              <w:left w:val="nil"/>
              <w:bottom w:val="single" w:color="auto" w:sz="4" w:space="0"/>
              <w:right w:val="single" w:color="auto" w:sz="4" w:space="0"/>
            </w:tcBorders>
            <w:shd w:val="clear" w:color="auto" w:fill="auto"/>
            <w:vAlign w:val="center"/>
          </w:tcPr>
          <w:p w14:paraId="0E184510">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区财政局下达资金文件时间到区级业务主管部门下达项目及资金计划文件时间间隔≤30日（3分）。</w:t>
            </w:r>
          </w:p>
        </w:tc>
      </w:tr>
      <w:tr w14:paraId="3A70F77A">
        <w:tblPrEx>
          <w:tblCellMar>
            <w:top w:w="0" w:type="dxa"/>
            <w:left w:w="108" w:type="dxa"/>
            <w:bottom w:w="0" w:type="dxa"/>
            <w:right w:w="108" w:type="dxa"/>
          </w:tblCellMar>
        </w:tblPrEx>
        <w:trPr>
          <w:cantSplit/>
          <w:trHeight w:val="108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0CC7885">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3</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2B79F781">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项目管理（55分）</w:t>
            </w:r>
          </w:p>
        </w:tc>
        <w:tc>
          <w:tcPr>
            <w:tcW w:w="1049" w:type="dxa"/>
            <w:tcBorders>
              <w:top w:val="nil"/>
              <w:left w:val="nil"/>
              <w:bottom w:val="single" w:color="auto" w:sz="4" w:space="0"/>
              <w:right w:val="single" w:color="auto" w:sz="4" w:space="0"/>
            </w:tcBorders>
            <w:shd w:val="clear" w:color="auto" w:fill="auto"/>
            <w:vAlign w:val="center"/>
          </w:tcPr>
          <w:p w14:paraId="463CDD76">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2C8884F9">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5</w:t>
            </w:r>
          </w:p>
        </w:tc>
        <w:tc>
          <w:tcPr>
            <w:tcW w:w="2762" w:type="dxa"/>
            <w:tcBorders>
              <w:top w:val="nil"/>
              <w:left w:val="nil"/>
              <w:bottom w:val="nil"/>
              <w:right w:val="nil"/>
            </w:tcBorders>
            <w:shd w:val="clear" w:color="auto" w:fill="auto"/>
            <w:vAlign w:val="center"/>
          </w:tcPr>
          <w:p w14:paraId="6357FAB5">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评价落实《铜梁区巩固拓展脱贫攻坚成果和衔接乡村振兴项目库建设管理实施细则》（铜乡振〔2021〕7号）落实情况。根据抽查情况赋分。</w:t>
            </w:r>
          </w:p>
        </w:tc>
        <w:tc>
          <w:tcPr>
            <w:tcW w:w="3591" w:type="dxa"/>
            <w:tcBorders>
              <w:top w:val="nil"/>
              <w:left w:val="single" w:color="auto" w:sz="4" w:space="0"/>
              <w:bottom w:val="single" w:color="auto" w:sz="4" w:space="0"/>
              <w:right w:val="single" w:color="auto" w:sz="4" w:space="0"/>
            </w:tcBorders>
            <w:shd w:val="clear" w:color="auto" w:fill="auto"/>
            <w:vAlign w:val="center"/>
          </w:tcPr>
          <w:p w14:paraId="711604DF">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1.项目入库及时充分、程序规范、内容完整（3分）；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2.入库项目具备实施条件（2分）；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3.衔接资金用于项目库之外的项目（-5分）。</w:t>
            </w:r>
          </w:p>
        </w:tc>
      </w:tr>
      <w:tr w14:paraId="45C7464B">
        <w:tblPrEx>
          <w:tblCellMar>
            <w:top w:w="0" w:type="dxa"/>
            <w:left w:w="108" w:type="dxa"/>
            <w:bottom w:w="0" w:type="dxa"/>
            <w:right w:w="108" w:type="dxa"/>
          </w:tblCellMar>
        </w:tblPrEx>
        <w:trPr>
          <w:cantSplit/>
          <w:trHeight w:val="162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DA8FFCA">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4</w:t>
            </w:r>
          </w:p>
        </w:tc>
        <w:tc>
          <w:tcPr>
            <w:tcW w:w="1017" w:type="dxa"/>
            <w:vMerge w:val="continue"/>
            <w:tcBorders>
              <w:top w:val="nil"/>
              <w:left w:val="single" w:color="auto" w:sz="4" w:space="0"/>
              <w:bottom w:val="single" w:color="auto" w:sz="4" w:space="0"/>
              <w:right w:val="single" w:color="auto" w:sz="4" w:space="0"/>
            </w:tcBorders>
            <w:vAlign w:val="center"/>
          </w:tcPr>
          <w:p w14:paraId="20C726C7">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267C39DE">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13237A1C">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10</w:t>
            </w:r>
          </w:p>
        </w:tc>
        <w:tc>
          <w:tcPr>
            <w:tcW w:w="2762" w:type="dxa"/>
            <w:tcBorders>
              <w:top w:val="single" w:color="auto" w:sz="4" w:space="0"/>
              <w:left w:val="nil"/>
              <w:bottom w:val="single" w:color="auto" w:sz="4" w:space="0"/>
              <w:right w:val="single" w:color="auto" w:sz="4" w:space="0"/>
            </w:tcBorders>
            <w:shd w:val="clear" w:color="auto" w:fill="auto"/>
            <w:vAlign w:val="center"/>
          </w:tcPr>
          <w:p w14:paraId="58651796">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评价具体项目实施方案明确绩效目标情况、开展跟踪监督绩效监控情况、事后评价情况等。根据抽查情况赋分。</w:t>
            </w:r>
          </w:p>
        </w:tc>
        <w:tc>
          <w:tcPr>
            <w:tcW w:w="3591" w:type="dxa"/>
            <w:tcBorders>
              <w:top w:val="nil"/>
              <w:left w:val="nil"/>
              <w:bottom w:val="single" w:color="auto" w:sz="4" w:space="0"/>
              <w:right w:val="single" w:color="auto" w:sz="4" w:space="0"/>
            </w:tcBorders>
            <w:shd w:val="clear" w:color="auto" w:fill="auto"/>
            <w:vAlign w:val="center"/>
          </w:tcPr>
          <w:p w14:paraId="538D2FAE">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1.及时制定绩效目标、审核绩效目标（2分）；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2.开展绩效监控不少于1次（2分）；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3.对绩效目标偏离项目采取纠偏措施（2分）；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4.项目实施完毕后立即开展绩效自评，并形成绩效自评报告及绩效自评表。（2分）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5.项目绩效是否达到预期。（2分）</w:t>
            </w:r>
          </w:p>
        </w:tc>
      </w:tr>
      <w:tr w14:paraId="5C5947BE">
        <w:tblPrEx>
          <w:tblCellMar>
            <w:top w:w="0" w:type="dxa"/>
            <w:left w:w="108" w:type="dxa"/>
            <w:bottom w:w="0" w:type="dxa"/>
            <w:right w:w="108" w:type="dxa"/>
          </w:tblCellMar>
        </w:tblPrEx>
        <w:trPr>
          <w:cantSplit/>
          <w:trHeight w:val="242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9158395">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5</w:t>
            </w:r>
          </w:p>
        </w:tc>
        <w:tc>
          <w:tcPr>
            <w:tcW w:w="1017" w:type="dxa"/>
            <w:vMerge w:val="continue"/>
            <w:tcBorders>
              <w:top w:val="nil"/>
              <w:left w:val="single" w:color="auto" w:sz="4" w:space="0"/>
              <w:bottom w:val="single" w:color="auto" w:sz="4" w:space="0"/>
              <w:right w:val="single" w:color="auto" w:sz="4" w:space="0"/>
            </w:tcBorders>
            <w:vAlign w:val="center"/>
          </w:tcPr>
          <w:p w14:paraId="4FD86DC8">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25CE3851">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2BD89713">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6</w:t>
            </w:r>
          </w:p>
        </w:tc>
        <w:tc>
          <w:tcPr>
            <w:tcW w:w="2762" w:type="dxa"/>
            <w:tcBorders>
              <w:top w:val="nil"/>
              <w:left w:val="nil"/>
              <w:bottom w:val="single" w:color="auto" w:sz="4" w:space="0"/>
              <w:right w:val="single" w:color="auto" w:sz="4" w:space="0"/>
            </w:tcBorders>
            <w:shd w:val="clear" w:color="auto" w:fill="auto"/>
            <w:vAlign w:val="center"/>
          </w:tcPr>
          <w:p w14:paraId="5952E066">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评价有序推进项目前期工作、组织实施、项目验收、资料报送等情况。根据抽查情况赋分。</w:t>
            </w:r>
          </w:p>
        </w:tc>
        <w:tc>
          <w:tcPr>
            <w:tcW w:w="3591" w:type="dxa"/>
            <w:tcBorders>
              <w:top w:val="nil"/>
              <w:left w:val="nil"/>
              <w:bottom w:val="single" w:color="auto" w:sz="4" w:space="0"/>
              <w:right w:val="single" w:color="auto" w:sz="4" w:space="0"/>
            </w:tcBorders>
            <w:shd w:val="clear" w:color="auto" w:fill="auto"/>
            <w:vAlign w:val="center"/>
          </w:tcPr>
          <w:p w14:paraId="25CC0C80">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1.项目实施方法存在变更是否按规定报批；（1分）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2.是否定期对项目实施情况进行监督检查，对检查中发现的问题进行整改；（2分）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3.是否按照项目实施节点按时提交项目报账资料；（1分）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4.日常管理资料是否及时归档整理；（1分）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5.项目完工后是否在规定时间内进行验收。（1分）</w:t>
            </w:r>
          </w:p>
        </w:tc>
      </w:tr>
      <w:tr w14:paraId="5D5EFB04">
        <w:tblPrEx>
          <w:tblCellMar>
            <w:top w:w="0" w:type="dxa"/>
            <w:left w:w="108" w:type="dxa"/>
            <w:bottom w:w="0" w:type="dxa"/>
            <w:right w:w="108" w:type="dxa"/>
          </w:tblCellMar>
        </w:tblPrEx>
        <w:trPr>
          <w:cantSplit/>
          <w:trHeight w:val="405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F3DF161">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6</w:t>
            </w:r>
          </w:p>
        </w:tc>
        <w:tc>
          <w:tcPr>
            <w:tcW w:w="1017" w:type="dxa"/>
            <w:vMerge w:val="continue"/>
            <w:tcBorders>
              <w:top w:val="nil"/>
              <w:left w:val="single" w:color="auto" w:sz="4" w:space="0"/>
              <w:bottom w:val="single" w:color="auto" w:sz="4" w:space="0"/>
              <w:right w:val="single" w:color="auto" w:sz="4" w:space="0"/>
            </w:tcBorders>
            <w:vAlign w:val="center"/>
          </w:tcPr>
          <w:p w14:paraId="4E0D35F4">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3AD1AF02">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预算执行率情况</w:t>
            </w:r>
          </w:p>
        </w:tc>
        <w:tc>
          <w:tcPr>
            <w:tcW w:w="536" w:type="dxa"/>
            <w:tcBorders>
              <w:top w:val="nil"/>
              <w:left w:val="nil"/>
              <w:bottom w:val="single" w:color="auto" w:sz="4" w:space="0"/>
              <w:right w:val="single" w:color="auto" w:sz="4" w:space="0"/>
            </w:tcBorders>
            <w:shd w:val="clear" w:color="auto" w:fill="auto"/>
            <w:noWrap/>
            <w:vAlign w:val="center"/>
          </w:tcPr>
          <w:p w14:paraId="5050DCF4">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12</w:t>
            </w:r>
          </w:p>
        </w:tc>
        <w:tc>
          <w:tcPr>
            <w:tcW w:w="2762" w:type="dxa"/>
            <w:tcBorders>
              <w:top w:val="nil"/>
              <w:left w:val="nil"/>
              <w:bottom w:val="single" w:color="auto" w:sz="4" w:space="0"/>
              <w:right w:val="single" w:color="auto" w:sz="4" w:space="0"/>
            </w:tcBorders>
            <w:shd w:val="clear" w:color="auto" w:fill="auto"/>
            <w:vAlign w:val="center"/>
          </w:tcPr>
          <w:p w14:paraId="07A67B0D">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评价有序推进项目工作和资金支付情况。根据抽查情况赋分。</w:t>
            </w:r>
          </w:p>
        </w:tc>
        <w:tc>
          <w:tcPr>
            <w:tcW w:w="3591" w:type="dxa"/>
            <w:tcBorders>
              <w:top w:val="nil"/>
              <w:left w:val="nil"/>
              <w:bottom w:val="single" w:color="auto" w:sz="4" w:space="0"/>
              <w:right w:val="single" w:color="auto" w:sz="4" w:space="0"/>
            </w:tcBorders>
            <w:shd w:val="clear" w:color="auto" w:fill="auto"/>
            <w:vAlign w:val="center"/>
          </w:tcPr>
          <w:p w14:paraId="20857567">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1.主要通过支出进度评价有序推进项目工作和资金支付情况，于7月末、10月中旬定期调度。</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1.7月末支出进度评分4分。资金支出进度达到全区平均进度或者序时进度的，得满分；未达到的按照与序时进度的比例扣分；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2.10月中旬支出进度评分4分。资金支出进度达到全区平均进度或者序时进度的，得满分；未达到的按照与序时进度的比例扣分；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6B164CF4">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AA0DA7B">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7</w:t>
            </w:r>
          </w:p>
        </w:tc>
        <w:tc>
          <w:tcPr>
            <w:tcW w:w="1017" w:type="dxa"/>
            <w:vMerge w:val="continue"/>
            <w:tcBorders>
              <w:top w:val="nil"/>
              <w:left w:val="single" w:color="auto" w:sz="4" w:space="0"/>
              <w:bottom w:val="single" w:color="auto" w:sz="4" w:space="0"/>
              <w:right w:val="single" w:color="auto" w:sz="4" w:space="0"/>
            </w:tcBorders>
            <w:vAlign w:val="center"/>
          </w:tcPr>
          <w:p w14:paraId="43D34092">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59F16E91">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跟踪督促及发现问题整改情况</w:t>
            </w:r>
          </w:p>
        </w:tc>
        <w:tc>
          <w:tcPr>
            <w:tcW w:w="536" w:type="dxa"/>
            <w:tcBorders>
              <w:top w:val="nil"/>
              <w:left w:val="nil"/>
              <w:bottom w:val="single" w:color="auto" w:sz="4" w:space="0"/>
              <w:right w:val="single" w:color="auto" w:sz="4" w:space="0"/>
            </w:tcBorders>
            <w:shd w:val="clear" w:color="auto" w:fill="auto"/>
            <w:noWrap/>
            <w:vAlign w:val="center"/>
          </w:tcPr>
          <w:p w14:paraId="7F387D7C">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8</w:t>
            </w:r>
          </w:p>
        </w:tc>
        <w:tc>
          <w:tcPr>
            <w:tcW w:w="2762" w:type="dxa"/>
            <w:tcBorders>
              <w:top w:val="nil"/>
              <w:left w:val="nil"/>
              <w:bottom w:val="single" w:color="auto" w:sz="4" w:space="0"/>
              <w:right w:val="single" w:color="auto" w:sz="4" w:space="0"/>
            </w:tcBorders>
            <w:shd w:val="clear" w:color="auto" w:fill="auto"/>
            <w:vAlign w:val="center"/>
          </w:tcPr>
          <w:p w14:paraId="303B7FDA">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评价定期开展监督检查情况、发现问题整改情况。根据未处理问题比例扣减。根据抽查情况赋分。</w:t>
            </w:r>
          </w:p>
        </w:tc>
        <w:tc>
          <w:tcPr>
            <w:tcW w:w="3591" w:type="dxa"/>
            <w:tcBorders>
              <w:top w:val="nil"/>
              <w:left w:val="nil"/>
              <w:bottom w:val="single" w:color="auto" w:sz="4" w:space="0"/>
              <w:right w:val="single" w:color="auto" w:sz="4" w:space="0"/>
            </w:tcBorders>
            <w:shd w:val="clear" w:color="auto" w:fill="auto"/>
            <w:vAlign w:val="center"/>
          </w:tcPr>
          <w:p w14:paraId="0BE7C791">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1.定期开展项目实施和资金支出进度等跟踪督促情况，落实到位的得2分，未完全落实到位的酌情扣分；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2.跟踪督促及各类检查发现问题整改到位情况，满分5分，根据未整改问题比例扣减；</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3.全国12317防止返贫监测和乡村振兴咨询服务平台（简称12317平台）反馈问题处理情况，满分1分。</w:t>
            </w:r>
          </w:p>
        </w:tc>
      </w:tr>
      <w:tr w14:paraId="45FB0F85">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DBFA7C9">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8</w:t>
            </w:r>
          </w:p>
        </w:tc>
        <w:tc>
          <w:tcPr>
            <w:tcW w:w="1017" w:type="dxa"/>
            <w:vMerge w:val="continue"/>
            <w:tcBorders>
              <w:top w:val="nil"/>
              <w:left w:val="single" w:color="auto" w:sz="4" w:space="0"/>
              <w:bottom w:val="single" w:color="auto" w:sz="4" w:space="0"/>
              <w:right w:val="single" w:color="auto" w:sz="4" w:space="0"/>
            </w:tcBorders>
            <w:vAlign w:val="center"/>
          </w:tcPr>
          <w:p w14:paraId="1E5DF492">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16368492">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2F863EE7">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7E0E6992">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评价账务处理，资产转固，收益管理、档案管理等情况。根据抽查情况赋分。</w:t>
            </w:r>
          </w:p>
        </w:tc>
        <w:tc>
          <w:tcPr>
            <w:tcW w:w="3591" w:type="dxa"/>
            <w:tcBorders>
              <w:top w:val="nil"/>
              <w:left w:val="nil"/>
              <w:bottom w:val="single" w:color="auto" w:sz="4" w:space="0"/>
              <w:right w:val="single" w:color="auto" w:sz="4" w:space="0"/>
            </w:tcBorders>
            <w:shd w:val="clear" w:color="auto" w:fill="auto"/>
            <w:vAlign w:val="center"/>
          </w:tcPr>
          <w:p w14:paraId="379C316D">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1.财务处理是否规范，原始凭证是否齐全，建成资产是否及时转固、收益管理是否合规；（4分）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2.档案管理是否完整、合规、真实。（1分）</w:t>
            </w:r>
          </w:p>
        </w:tc>
      </w:tr>
      <w:tr w14:paraId="36EF0DD6">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3724653">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9</w:t>
            </w:r>
          </w:p>
        </w:tc>
        <w:tc>
          <w:tcPr>
            <w:tcW w:w="1017" w:type="dxa"/>
            <w:vMerge w:val="continue"/>
            <w:tcBorders>
              <w:top w:val="nil"/>
              <w:left w:val="single" w:color="auto" w:sz="4" w:space="0"/>
              <w:bottom w:val="single" w:color="auto" w:sz="4" w:space="0"/>
              <w:right w:val="single" w:color="auto" w:sz="4" w:space="0"/>
            </w:tcBorders>
            <w:vAlign w:val="center"/>
          </w:tcPr>
          <w:p w14:paraId="78FA2D94">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5934E5B4">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5846F9E2">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9</w:t>
            </w:r>
          </w:p>
        </w:tc>
        <w:tc>
          <w:tcPr>
            <w:tcW w:w="2762" w:type="dxa"/>
            <w:tcBorders>
              <w:top w:val="nil"/>
              <w:left w:val="nil"/>
              <w:bottom w:val="single" w:color="auto" w:sz="4" w:space="0"/>
              <w:right w:val="single" w:color="auto" w:sz="4" w:space="0"/>
            </w:tcBorders>
            <w:shd w:val="clear" w:color="auto" w:fill="auto"/>
            <w:vAlign w:val="center"/>
          </w:tcPr>
          <w:p w14:paraId="5135AD70">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评价区级、镇级、村级落实《铜梁区财政衔接推进乡村振兴补助资金项目公告公示实施办法》（铜委农办〔2021〕19号）文件要求情况。根据抽查情况赋分。</w:t>
            </w:r>
          </w:p>
        </w:tc>
        <w:tc>
          <w:tcPr>
            <w:tcW w:w="3591" w:type="dxa"/>
            <w:tcBorders>
              <w:top w:val="nil"/>
              <w:left w:val="nil"/>
              <w:bottom w:val="single" w:color="auto" w:sz="4" w:space="0"/>
              <w:right w:val="single" w:color="auto" w:sz="4" w:space="0"/>
            </w:tcBorders>
            <w:shd w:val="clear" w:color="auto" w:fill="auto"/>
            <w:vAlign w:val="center"/>
          </w:tcPr>
          <w:p w14:paraId="71515760">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分区级、镇级、村级进行评价。</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1.抽查区级公示公开情况，满分3分，未完整公开酌情扣分；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2.抽查镇级公示公开情况，满分3分，未完整公开酌情扣分；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3.抽查村级公示公开情况，满分3分，未完整公开酌情扣分。</w:t>
            </w:r>
          </w:p>
        </w:tc>
      </w:tr>
      <w:tr w14:paraId="4FC98ABB">
        <w:tblPrEx>
          <w:tblCellMar>
            <w:top w:w="0" w:type="dxa"/>
            <w:left w:w="108" w:type="dxa"/>
            <w:bottom w:w="0" w:type="dxa"/>
            <w:right w:w="108" w:type="dxa"/>
          </w:tblCellMar>
        </w:tblPrEx>
        <w:trPr>
          <w:cantSplit/>
          <w:trHeight w:val="298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49B1734">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10</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044CA733">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使用成效及通报情况（40分）</w:t>
            </w:r>
          </w:p>
        </w:tc>
        <w:tc>
          <w:tcPr>
            <w:tcW w:w="1049" w:type="dxa"/>
            <w:tcBorders>
              <w:top w:val="nil"/>
              <w:left w:val="nil"/>
              <w:bottom w:val="single" w:color="auto" w:sz="4" w:space="0"/>
              <w:right w:val="single" w:color="auto" w:sz="4" w:space="0"/>
            </w:tcBorders>
            <w:shd w:val="clear" w:color="auto" w:fill="auto"/>
            <w:vAlign w:val="center"/>
          </w:tcPr>
          <w:p w14:paraId="072D1217">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638A495E">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35</w:t>
            </w:r>
          </w:p>
        </w:tc>
        <w:tc>
          <w:tcPr>
            <w:tcW w:w="2762" w:type="dxa"/>
            <w:tcBorders>
              <w:top w:val="nil"/>
              <w:left w:val="nil"/>
              <w:bottom w:val="single" w:color="auto" w:sz="4" w:space="0"/>
              <w:right w:val="single" w:color="auto" w:sz="4" w:space="0"/>
            </w:tcBorders>
            <w:shd w:val="clear" w:color="auto" w:fill="auto"/>
            <w:vAlign w:val="center"/>
          </w:tcPr>
          <w:p w14:paraId="3167AD33">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评价项目是否达到预期成效，后续管护是否存在问题等。根据抽查情况赋分。</w:t>
            </w:r>
          </w:p>
        </w:tc>
        <w:tc>
          <w:tcPr>
            <w:tcW w:w="3591" w:type="dxa"/>
            <w:tcBorders>
              <w:top w:val="nil"/>
              <w:left w:val="nil"/>
              <w:bottom w:val="single" w:color="auto" w:sz="4" w:space="0"/>
              <w:right w:val="single" w:color="auto" w:sz="4" w:space="0"/>
            </w:tcBorders>
            <w:shd w:val="clear" w:color="auto" w:fill="auto"/>
            <w:vAlign w:val="center"/>
          </w:tcPr>
          <w:p w14:paraId="55EEE012">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满分35分，根据抽查项目情况赋分。项目管理各环节，每存在一例不符合相关规定的，扣0.5分，扣完为止。</w:t>
            </w:r>
          </w:p>
        </w:tc>
      </w:tr>
      <w:tr w14:paraId="54094666">
        <w:tblPrEx>
          <w:tblCellMar>
            <w:top w:w="0" w:type="dxa"/>
            <w:left w:w="108" w:type="dxa"/>
            <w:bottom w:w="0" w:type="dxa"/>
            <w:right w:w="108" w:type="dxa"/>
          </w:tblCellMar>
        </w:tblPrEx>
        <w:trPr>
          <w:cantSplit/>
          <w:trHeight w:val="107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6B8D50F">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11</w:t>
            </w:r>
          </w:p>
        </w:tc>
        <w:tc>
          <w:tcPr>
            <w:tcW w:w="1017" w:type="dxa"/>
            <w:vMerge w:val="continue"/>
            <w:tcBorders>
              <w:top w:val="nil"/>
              <w:left w:val="single" w:color="auto" w:sz="4" w:space="0"/>
              <w:bottom w:val="single" w:color="auto" w:sz="4" w:space="0"/>
              <w:right w:val="single" w:color="auto" w:sz="4" w:space="0"/>
            </w:tcBorders>
            <w:vAlign w:val="center"/>
          </w:tcPr>
          <w:p w14:paraId="2C0D1B87">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3B0D2209">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488113B0">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70756686">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评价日常表现情况。</w:t>
            </w:r>
          </w:p>
        </w:tc>
        <w:tc>
          <w:tcPr>
            <w:tcW w:w="3591" w:type="dxa"/>
            <w:tcBorders>
              <w:top w:val="nil"/>
              <w:left w:val="nil"/>
              <w:bottom w:val="single" w:color="auto" w:sz="4" w:space="0"/>
              <w:right w:val="single" w:color="auto" w:sz="4" w:space="0"/>
            </w:tcBorders>
            <w:shd w:val="clear" w:color="auto" w:fill="auto"/>
            <w:vAlign w:val="center"/>
          </w:tcPr>
          <w:p w14:paraId="6C5DB8AC">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6F448C7F">
        <w:tblPrEx>
          <w:tblCellMar>
            <w:top w:w="0" w:type="dxa"/>
            <w:left w:w="108" w:type="dxa"/>
            <w:bottom w:w="0" w:type="dxa"/>
            <w:right w:w="108" w:type="dxa"/>
          </w:tblCellMar>
        </w:tblPrEx>
        <w:trPr>
          <w:cantSplit/>
          <w:trHeight w:val="134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D26BD62">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12</w:t>
            </w:r>
          </w:p>
        </w:tc>
        <w:tc>
          <w:tcPr>
            <w:tcW w:w="1017" w:type="dxa"/>
            <w:vMerge w:val="restart"/>
            <w:tcBorders>
              <w:top w:val="nil"/>
              <w:left w:val="single" w:color="auto" w:sz="4" w:space="0"/>
              <w:bottom w:val="single" w:color="000000" w:sz="4" w:space="0"/>
              <w:right w:val="single" w:color="auto" w:sz="4" w:space="0"/>
            </w:tcBorders>
            <w:shd w:val="clear" w:color="auto" w:fill="auto"/>
            <w:vAlign w:val="center"/>
          </w:tcPr>
          <w:p w14:paraId="1BECF004">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加减分指标</w:t>
            </w:r>
          </w:p>
        </w:tc>
        <w:tc>
          <w:tcPr>
            <w:tcW w:w="1049" w:type="dxa"/>
            <w:tcBorders>
              <w:top w:val="nil"/>
              <w:left w:val="nil"/>
              <w:bottom w:val="single" w:color="auto" w:sz="4" w:space="0"/>
              <w:right w:val="single" w:color="auto" w:sz="4" w:space="0"/>
            </w:tcBorders>
            <w:shd w:val="clear" w:color="auto" w:fill="auto"/>
            <w:vAlign w:val="center"/>
          </w:tcPr>
          <w:p w14:paraId="09E8373D">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加分项</w:t>
            </w:r>
          </w:p>
        </w:tc>
        <w:tc>
          <w:tcPr>
            <w:tcW w:w="536" w:type="dxa"/>
            <w:tcBorders>
              <w:top w:val="nil"/>
              <w:left w:val="nil"/>
              <w:bottom w:val="single" w:color="auto" w:sz="4" w:space="0"/>
              <w:right w:val="single" w:color="auto" w:sz="4" w:space="0"/>
            </w:tcBorders>
            <w:shd w:val="clear" w:color="auto" w:fill="auto"/>
            <w:vAlign w:val="center"/>
          </w:tcPr>
          <w:p w14:paraId="13E2D39B">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131211F6">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评价机制创新情况。最高加5分。</w:t>
            </w:r>
          </w:p>
        </w:tc>
        <w:tc>
          <w:tcPr>
            <w:tcW w:w="3591" w:type="dxa"/>
            <w:tcBorders>
              <w:top w:val="nil"/>
              <w:left w:val="nil"/>
              <w:bottom w:val="single" w:color="auto" w:sz="4" w:space="0"/>
              <w:right w:val="single" w:color="auto" w:sz="4" w:space="0"/>
            </w:tcBorders>
            <w:shd w:val="clear" w:color="auto" w:fill="auto"/>
            <w:vAlign w:val="center"/>
          </w:tcPr>
          <w:p w14:paraId="0964FB1F">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1.在财政衔接资金分配、使用、监管等方面存在机制创新；（2分）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2.国家、市级对我区财政衔接资金绩效评价中，被财政部、国家乡村振兴局及其第三方总结经验做法，并调研推广的。（3分）</w:t>
            </w:r>
          </w:p>
        </w:tc>
      </w:tr>
      <w:tr w14:paraId="75178CDD">
        <w:tblPrEx>
          <w:tblCellMar>
            <w:top w:w="0" w:type="dxa"/>
            <w:left w:w="108" w:type="dxa"/>
            <w:bottom w:w="0" w:type="dxa"/>
            <w:right w:w="108" w:type="dxa"/>
          </w:tblCellMar>
        </w:tblPrEx>
        <w:trPr>
          <w:cantSplit/>
          <w:trHeight w:val="81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CF1C560">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13</w:t>
            </w:r>
          </w:p>
        </w:tc>
        <w:tc>
          <w:tcPr>
            <w:tcW w:w="1017" w:type="dxa"/>
            <w:vMerge w:val="continue"/>
            <w:tcBorders>
              <w:top w:val="nil"/>
              <w:left w:val="single" w:color="auto" w:sz="4" w:space="0"/>
              <w:bottom w:val="single" w:color="000000" w:sz="4" w:space="0"/>
              <w:right w:val="single" w:color="auto" w:sz="4" w:space="0"/>
            </w:tcBorders>
            <w:vAlign w:val="center"/>
          </w:tcPr>
          <w:p w14:paraId="72A831A3">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77F3DA2F">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扣分项</w:t>
            </w:r>
          </w:p>
        </w:tc>
        <w:tc>
          <w:tcPr>
            <w:tcW w:w="536" w:type="dxa"/>
            <w:tcBorders>
              <w:top w:val="nil"/>
              <w:left w:val="nil"/>
              <w:bottom w:val="single" w:color="auto" w:sz="4" w:space="0"/>
              <w:right w:val="single" w:color="auto" w:sz="4" w:space="0"/>
            </w:tcBorders>
            <w:shd w:val="clear" w:color="auto" w:fill="auto"/>
            <w:vAlign w:val="center"/>
          </w:tcPr>
          <w:p w14:paraId="74A99E0B">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10</w:t>
            </w:r>
          </w:p>
        </w:tc>
        <w:tc>
          <w:tcPr>
            <w:tcW w:w="2762" w:type="dxa"/>
            <w:tcBorders>
              <w:top w:val="nil"/>
              <w:left w:val="nil"/>
              <w:bottom w:val="single" w:color="auto" w:sz="4" w:space="0"/>
              <w:right w:val="single" w:color="auto" w:sz="4" w:space="0"/>
            </w:tcBorders>
            <w:shd w:val="clear" w:color="auto" w:fill="auto"/>
            <w:vAlign w:val="center"/>
          </w:tcPr>
          <w:p w14:paraId="2396B58E">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反映提供材料的真实性，有效性以及相关工作合法合规情况。（用于负面清单事项）</w:t>
            </w:r>
          </w:p>
        </w:tc>
        <w:tc>
          <w:tcPr>
            <w:tcW w:w="3591" w:type="dxa"/>
            <w:tcBorders>
              <w:top w:val="nil"/>
              <w:left w:val="nil"/>
              <w:bottom w:val="single" w:color="auto" w:sz="4" w:space="0"/>
              <w:right w:val="single" w:color="auto" w:sz="4" w:space="0"/>
            </w:tcBorders>
            <w:shd w:val="clear" w:color="auto" w:fill="auto"/>
            <w:vAlign w:val="center"/>
          </w:tcPr>
          <w:p w14:paraId="5555549E">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考核材料、数据中存在虚假信息的，或经有关部门监督检查发现问题的，视情节严重程度扣1-10分。</w:t>
            </w:r>
          </w:p>
        </w:tc>
      </w:tr>
    </w:tbl>
    <w:p w14:paraId="213ABB79">
      <w:pPr>
        <w:spacing w:before="120" w:beforeLines="50" w:line="360" w:lineRule="auto"/>
        <w:ind w:firstLine="482" w:firstLineChars="200"/>
        <w:jc w:val="left"/>
        <w:outlineLvl w:val="0"/>
        <w:rPr>
          <w:rFonts w:ascii="Arial Narrow" w:hAnsi="Arial Narrow" w:eastAsia="仿宋_GB2312"/>
          <w:b/>
          <w:sz w:val="24"/>
        </w:rPr>
      </w:pPr>
      <w:bookmarkStart w:id="16" w:name="_Toc169624365"/>
      <w:r>
        <w:rPr>
          <w:rFonts w:ascii="Arial Narrow" w:hAnsi="Arial Narrow" w:eastAsia="仿宋_GB2312"/>
          <w:b/>
          <w:sz w:val="24"/>
        </w:rPr>
        <w:t>（五）绩效评价标准和评价方法</w:t>
      </w:r>
      <w:bookmarkEnd w:id="16"/>
    </w:p>
    <w:p w14:paraId="3DBF85E3">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绩效评价标准</w:t>
      </w:r>
    </w:p>
    <w:p w14:paraId="7EA69919">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绩效评价标准采用定量评分，满分为100分。指标分值我们是根据确定的指标内容及项目实施的具体情况综合分析确定的，详见附件。</w:t>
      </w:r>
    </w:p>
    <w:p w14:paraId="61AD02BD">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绩效评价结果分为优（得分</w:t>
      </w:r>
      <w:bookmarkStart w:id="17" w:name="_Hlk162596803"/>
      <w:r>
        <w:rPr>
          <w:rFonts w:ascii="Arial Narrow" w:hAnsi="Arial Narrow" w:eastAsia="仿宋_GB2312"/>
          <w:color w:val="auto"/>
        </w:rPr>
        <w:t>≥90</w:t>
      </w:r>
      <w:bookmarkEnd w:id="17"/>
      <w:r>
        <w:rPr>
          <w:rFonts w:ascii="Arial Narrow" w:hAnsi="Arial Narrow" w:eastAsia="仿宋_GB2312"/>
          <w:color w:val="auto"/>
        </w:rPr>
        <w:t>）、良</w:t>
      </w:r>
      <w:bookmarkStart w:id="18" w:name="_Hlk168473502"/>
      <w:r>
        <w:rPr>
          <w:rFonts w:ascii="Arial Narrow" w:hAnsi="Arial Narrow" w:eastAsia="仿宋_GB2312"/>
          <w:color w:val="auto"/>
        </w:rPr>
        <w:t>（90＞得分≥80）</w:t>
      </w:r>
      <w:bookmarkEnd w:id="18"/>
      <w:r>
        <w:rPr>
          <w:rFonts w:ascii="Arial Narrow" w:hAnsi="Arial Narrow" w:eastAsia="仿宋_GB2312"/>
          <w:color w:val="auto"/>
        </w:rPr>
        <w:t>、中（80＞得分≥60）、差（得分＜60）四个等级，按百分制综合得分高低按分值划段确定。</w:t>
      </w:r>
    </w:p>
    <w:p w14:paraId="2A94076F">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绩效评价方法</w:t>
      </w:r>
    </w:p>
    <w:p w14:paraId="0E7379F0">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绩效评价技术方法主要有成本效益分析法、比较法、因素分析法、最低成本法、公众评判法等。</w:t>
      </w:r>
    </w:p>
    <w:p w14:paraId="3B622374">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成本效益分析法。是指将一定时期内的支出与效益进行对比分析，以评价绩效目标的实现程度。</w:t>
      </w:r>
    </w:p>
    <w:p w14:paraId="65FABF58">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比较法。是指通过对绩效目标与实施效果、历史与当期情况、不同部门和地区同类支出的比较，综合分析绩效目标实现程度。</w:t>
      </w:r>
    </w:p>
    <w:p w14:paraId="0F55FA62">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因素分析法。是指通过综合分析影响绩效目标实现、实施效果的内外因素，评价绩效目标实现程度。</w:t>
      </w:r>
    </w:p>
    <w:p w14:paraId="0E9BD52E">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最低成本法。是指对效益确定不易计量的多个同类对象的实施成本进行比较，评价绩效目标实现程度。</w:t>
      </w:r>
    </w:p>
    <w:p w14:paraId="159C456C">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公众评判法。是指通过专家评估、公众问卷及抽样调查等对预算支出效果进行评判，评价绩效目标实现程度。</w:t>
      </w:r>
    </w:p>
    <w:p w14:paraId="0AD0B140">
      <w:pPr>
        <w:spacing w:line="360" w:lineRule="auto"/>
        <w:ind w:firstLine="482" w:firstLineChars="200"/>
        <w:jc w:val="left"/>
        <w:outlineLvl w:val="0"/>
        <w:rPr>
          <w:rFonts w:ascii="Arial Narrow" w:hAnsi="Arial Narrow" w:eastAsia="仿宋_GB2312"/>
          <w:b/>
          <w:sz w:val="24"/>
        </w:rPr>
      </w:pPr>
      <w:bookmarkStart w:id="19" w:name="_Toc437528932"/>
      <w:bookmarkStart w:id="20" w:name="_Toc169624366"/>
      <w:r>
        <w:rPr>
          <w:rFonts w:ascii="Arial Narrow" w:hAnsi="Arial Narrow" w:eastAsia="仿宋_GB2312"/>
          <w:b/>
          <w:sz w:val="24"/>
        </w:rPr>
        <w:t>（六）绩效评价</w:t>
      </w:r>
      <w:bookmarkEnd w:id="19"/>
      <w:r>
        <w:rPr>
          <w:rFonts w:ascii="Arial Narrow" w:hAnsi="Arial Narrow" w:eastAsia="仿宋_GB2312"/>
          <w:b/>
          <w:sz w:val="24"/>
        </w:rPr>
        <w:t>工作过程</w:t>
      </w:r>
      <w:bookmarkEnd w:id="20"/>
    </w:p>
    <w:p w14:paraId="1755A561">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1.经铜梁区财政局确定为“2023年财政专项衔接资金项目”项目绩效评价服务单位后我所</w:t>
      </w:r>
      <w:r>
        <w:rPr>
          <w:rFonts w:ascii="Arial Narrow" w:hAnsi="Arial Narrow" w:eastAsia="仿宋_GB2312"/>
          <w:color w:val="auto"/>
        </w:rPr>
        <w:t>成立</w:t>
      </w:r>
      <w:r>
        <w:rPr>
          <w:rFonts w:hint="eastAsia" w:ascii="Arial Narrow" w:hAnsi="Arial Narrow" w:eastAsia="仿宋_GB2312"/>
          <w:color w:val="auto"/>
        </w:rPr>
        <w:t>了</w:t>
      </w:r>
      <w:r>
        <w:rPr>
          <w:rFonts w:ascii="Arial Narrow" w:hAnsi="Arial Narrow" w:eastAsia="仿宋_GB2312"/>
          <w:color w:val="auto"/>
        </w:rPr>
        <w:t>绩效</w:t>
      </w:r>
      <w:r>
        <w:rPr>
          <w:rFonts w:hint="eastAsia" w:ascii="Arial Narrow" w:hAnsi="Arial Narrow" w:eastAsia="仿宋_GB2312"/>
          <w:color w:val="auto"/>
        </w:rPr>
        <w:t>评价</w:t>
      </w:r>
      <w:r>
        <w:rPr>
          <w:rFonts w:ascii="Arial Narrow" w:hAnsi="Arial Narrow" w:eastAsia="仿宋_GB2312"/>
          <w:color w:val="auto"/>
        </w:rPr>
        <w:t>工作小组。</w:t>
      </w:r>
    </w:p>
    <w:p w14:paraId="32055BE4">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2.根据项目实际情况收集项目基础资料及数据深入了解项目整体情况。</w:t>
      </w:r>
    </w:p>
    <w:p w14:paraId="74A02E6A">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3.组织实施现场调查、检查、走访等具体工作。</w:t>
      </w:r>
    </w:p>
    <w:p w14:paraId="35FE0A51">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4.依据收集到的项目相关资料和数据，比照经贵单位审定的评价指标体系的评分标准，分别对项目评价打分，汇总后加权平均形成综合评价得分，并对该项目的绩效评价等级进行确认。</w:t>
      </w:r>
    </w:p>
    <w:p w14:paraId="0CE1199C">
      <w:pPr>
        <w:spacing w:line="360" w:lineRule="auto"/>
        <w:ind w:firstLine="482" w:firstLineChars="200"/>
        <w:jc w:val="left"/>
        <w:outlineLvl w:val="0"/>
        <w:rPr>
          <w:rFonts w:ascii="Arial Narrow" w:hAnsi="Arial Narrow" w:eastAsia="仿宋_GB2312"/>
          <w:b/>
          <w:sz w:val="24"/>
        </w:rPr>
      </w:pPr>
      <w:bookmarkStart w:id="21" w:name="_Toc437528933"/>
      <w:bookmarkStart w:id="22" w:name="_Toc169624367"/>
      <w:r>
        <w:rPr>
          <w:rFonts w:ascii="Arial Narrow" w:hAnsi="Arial Narrow" w:eastAsia="仿宋_GB2312"/>
          <w:b/>
          <w:sz w:val="24"/>
        </w:rPr>
        <w:t>三、</w:t>
      </w:r>
      <w:r>
        <w:rPr>
          <w:rFonts w:hint="eastAsia" w:ascii="Arial Narrow" w:hAnsi="Arial Narrow" w:eastAsia="仿宋_GB2312"/>
          <w:b/>
          <w:sz w:val="24"/>
        </w:rPr>
        <w:t>项目</w:t>
      </w:r>
      <w:r>
        <w:rPr>
          <w:rFonts w:ascii="Arial Narrow" w:hAnsi="Arial Narrow" w:eastAsia="仿宋_GB2312"/>
          <w:b/>
          <w:sz w:val="24"/>
        </w:rPr>
        <w:t>评价</w:t>
      </w:r>
      <w:bookmarkEnd w:id="21"/>
      <w:r>
        <w:rPr>
          <w:rFonts w:ascii="Arial Narrow" w:hAnsi="Arial Narrow" w:eastAsia="仿宋_GB2312"/>
          <w:b/>
          <w:sz w:val="24"/>
        </w:rPr>
        <w:t>结论</w:t>
      </w:r>
      <w:bookmarkEnd w:id="22"/>
    </w:p>
    <w:p w14:paraId="1DD5B54B">
      <w:pPr>
        <w:spacing w:line="360" w:lineRule="auto"/>
        <w:ind w:firstLine="480" w:firstLineChars="200"/>
        <w:jc w:val="left"/>
        <w:rPr>
          <w:rFonts w:ascii="Arial Narrow" w:hAnsi="Arial Narrow" w:eastAsia="仿宋_GB2312" w:cs="宋体"/>
          <w:kern w:val="0"/>
          <w:sz w:val="24"/>
        </w:rPr>
      </w:pPr>
      <w:r>
        <w:rPr>
          <w:rFonts w:hint="eastAsia" w:ascii="Arial Narrow" w:hAnsi="Arial Narrow" w:eastAsia="仿宋_GB2312" w:cs="宋体"/>
          <w:kern w:val="0"/>
          <w:sz w:val="24"/>
        </w:rPr>
        <w:t>青羊村中药材佛手种植基地水肥一体化滴灌设施建设项目</w:t>
      </w:r>
      <w:r>
        <w:rPr>
          <w:rFonts w:ascii="Arial Narrow" w:hAnsi="Arial Narrow" w:eastAsia="仿宋_GB2312" w:cs="宋体"/>
          <w:kern w:val="0"/>
          <w:sz w:val="24"/>
        </w:rPr>
        <w:t>绩效评价得分</w:t>
      </w:r>
      <w:r>
        <w:rPr>
          <w:rFonts w:hint="eastAsia" w:ascii="Arial Narrow" w:hAnsi="Arial Narrow" w:eastAsia="仿宋_GB2312" w:cs="宋体"/>
          <w:kern w:val="0"/>
          <w:sz w:val="24"/>
        </w:rPr>
        <w:t>96.00</w:t>
      </w:r>
      <w:r>
        <w:rPr>
          <w:rFonts w:ascii="Arial Narrow" w:hAnsi="Arial Narrow" w:eastAsia="仿宋_GB2312" w:cs="宋体"/>
          <w:kern w:val="0"/>
          <w:sz w:val="24"/>
        </w:rPr>
        <w:t>分，绩效评价等级为：</w:t>
      </w:r>
      <w:r>
        <w:rPr>
          <w:rFonts w:hint="eastAsia" w:ascii="Arial Narrow" w:hAnsi="Arial Narrow" w:eastAsia="仿宋_GB2312" w:cs="宋体"/>
          <w:kern w:val="0"/>
          <w:sz w:val="24"/>
        </w:rPr>
        <w:t>优。</w:t>
      </w:r>
    </w:p>
    <w:p w14:paraId="503C0157">
      <w:pPr>
        <w:spacing w:line="360" w:lineRule="auto"/>
        <w:ind w:left="420" w:leftChars="200"/>
        <w:jc w:val="left"/>
        <w:rPr>
          <w:rFonts w:ascii="Arial Narrow" w:hAnsi="Arial Narrow" w:eastAsia="仿宋_GB2312" w:cs="宋体"/>
          <w:kern w:val="0"/>
          <w:sz w:val="24"/>
        </w:rPr>
      </w:pPr>
      <w:r>
        <w:rPr>
          <w:rFonts w:hint="eastAsia" w:ascii="Arial Narrow" w:hAnsi="Arial Narrow" w:eastAsia="仿宋_GB2312" w:cs="宋体"/>
          <w:kern w:val="0"/>
          <w:sz w:val="24"/>
        </w:rPr>
        <w:t>青羊村集体经济基础设施建设项目</w:t>
      </w:r>
      <w:r>
        <w:rPr>
          <w:rFonts w:ascii="Arial Narrow" w:hAnsi="Arial Narrow" w:eastAsia="仿宋_GB2312" w:cs="宋体"/>
          <w:kern w:val="0"/>
          <w:sz w:val="24"/>
        </w:rPr>
        <w:t>绩效评价得分</w:t>
      </w:r>
      <w:r>
        <w:rPr>
          <w:rFonts w:hint="eastAsia" w:ascii="Arial Narrow" w:hAnsi="Arial Narrow" w:eastAsia="仿宋_GB2312" w:cs="宋体"/>
          <w:kern w:val="0"/>
          <w:sz w:val="24"/>
        </w:rPr>
        <w:t>95.00</w:t>
      </w:r>
      <w:r>
        <w:rPr>
          <w:rFonts w:ascii="Arial Narrow" w:hAnsi="Arial Narrow" w:eastAsia="仿宋_GB2312" w:cs="宋体"/>
          <w:kern w:val="0"/>
          <w:sz w:val="24"/>
        </w:rPr>
        <w:t>分，绩效评价等级为：</w:t>
      </w:r>
      <w:r>
        <w:rPr>
          <w:rFonts w:hint="eastAsia" w:ascii="Arial Narrow" w:hAnsi="Arial Narrow" w:eastAsia="仿宋_GB2312" w:cs="宋体"/>
          <w:kern w:val="0"/>
          <w:sz w:val="24"/>
        </w:rPr>
        <w:t>优。</w:t>
      </w:r>
    </w:p>
    <w:p w14:paraId="15D65052">
      <w:pPr>
        <w:spacing w:line="360" w:lineRule="auto"/>
        <w:ind w:firstLine="482" w:firstLineChars="200"/>
        <w:outlineLvl w:val="0"/>
        <w:rPr>
          <w:rFonts w:ascii="Arial Narrow" w:hAnsi="Arial Narrow" w:eastAsia="仿宋_GB2312"/>
          <w:b/>
          <w:sz w:val="24"/>
        </w:rPr>
      </w:pPr>
      <w:bookmarkStart w:id="23" w:name="_Toc169624368"/>
      <w:r>
        <w:rPr>
          <w:rFonts w:hint="eastAsia" w:ascii="Arial Narrow" w:hAnsi="Arial Narrow" w:eastAsia="仿宋_GB2312"/>
          <w:b/>
          <w:sz w:val="24"/>
        </w:rPr>
        <w:t>四、</w:t>
      </w:r>
      <w:r>
        <w:rPr>
          <w:rFonts w:ascii="Arial Narrow" w:hAnsi="Arial Narrow" w:eastAsia="仿宋_GB2312"/>
          <w:b/>
          <w:sz w:val="24"/>
        </w:rPr>
        <w:t>综合评价情况</w:t>
      </w:r>
      <w:bookmarkEnd w:id="23"/>
    </w:p>
    <w:p w14:paraId="410E3A45">
      <w:pPr>
        <w:spacing w:line="360" w:lineRule="auto"/>
        <w:ind w:firstLine="482" w:firstLineChars="200"/>
        <w:jc w:val="left"/>
        <w:outlineLvl w:val="0"/>
        <w:rPr>
          <w:rFonts w:ascii="仿宋_GB2312" w:eastAsia="仿宋_GB2312"/>
          <w:b/>
          <w:sz w:val="24"/>
        </w:rPr>
      </w:pPr>
      <w:bookmarkStart w:id="24" w:name="_Toc169624369"/>
      <w:r>
        <w:rPr>
          <w:rFonts w:hint="eastAsia" w:ascii="仿宋_GB2312" w:eastAsia="仿宋_GB2312"/>
          <w:b/>
          <w:sz w:val="24"/>
        </w:rPr>
        <w:t>（一）资金管理</w:t>
      </w:r>
      <w:bookmarkEnd w:id="24"/>
    </w:p>
    <w:p w14:paraId="0E96447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1.财政衔接资金安排情况</w:t>
      </w:r>
    </w:p>
    <w:p w14:paraId="1ABDB9B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按照《重庆市财政局关于提前下达2023年市财政衔接推进乡村振兴补助资金预算的通知》(渝财农〔2022〕146号)、《重庆市铜梁区财政局关于提前下达2023年中央财政衔接推进乡村振兴补助资金预算的通知》（铜财〔2022〕550号）、《重庆市铜梁区财政局关于下达2023年区级财政衔接推进乡村振兴补助资金预算的通知》(铜财〔2023〕46号)等相关政策性文件规定落实衔接资金。</w:t>
      </w:r>
    </w:p>
    <w:p w14:paraId="2DE0A94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2.资金分解下达进度</w:t>
      </w:r>
    </w:p>
    <w:p w14:paraId="29D987D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该项目资金从区财政局下达资金文件时间到区级业务主管部门下达项目及资金计划文件时间间隔小于30天。</w:t>
      </w:r>
    </w:p>
    <w:p w14:paraId="2F425780">
      <w:pPr>
        <w:spacing w:line="360" w:lineRule="auto"/>
        <w:ind w:firstLine="482" w:firstLineChars="200"/>
        <w:jc w:val="left"/>
        <w:outlineLvl w:val="0"/>
        <w:rPr>
          <w:rFonts w:ascii="仿宋_GB2312" w:eastAsia="仿宋_GB2312"/>
          <w:b/>
          <w:sz w:val="24"/>
        </w:rPr>
      </w:pPr>
      <w:bookmarkStart w:id="25" w:name="_Toc169624370"/>
      <w:r>
        <w:rPr>
          <w:rFonts w:hint="eastAsia" w:ascii="仿宋_GB2312" w:eastAsia="仿宋_GB2312"/>
          <w:b/>
          <w:sz w:val="24"/>
        </w:rPr>
        <w:t>（二）项目管理</w:t>
      </w:r>
      <w:bookmarkEnd w:id="25"/>
    </w:p>
    <w:p w14:paraId="2F38A3E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rPr>
        <w:t xml:space="preserve"> </w:t>
      </w:r>
      <w:r>
        <w:rPr>
          <w:rFonts w:hint="eastAsia" w:ascii="Arial Narrow" w:hAnsi="Arial Narrow" w:eastAsia="仿宋_GB2312"/>
          <w:sz w:val="24"/>
        </w:rPr>
        <w:t>项目库建设管理情况</w:t>
      </w:r>
    </w:p>
    <w:p w14:paraId="2AB01A1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项目入库及时充分、程序规范、内容完整，制定了切合实际的实施方案，具备实施条件，衔接资金未用于项目库之外的项目。</w:t>
      </w:r>
    </w:p>
    <w:p w14:paraId="6F2E4EB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rPr>
        <w:t xml:space="preserve"> </w:t>
      </w:r>
      <w:r>
        <w:rPr>
          <w:rFonts w:hint="eastAsia" w:ascii="Arial Narrow" w:hAnsi="Arial Narrow" w:eastAsia="仿宋_GB2312"/>
          <w:sz w:val="24"/>
        </w:rPr>
        <w:t>项目绩效管理情况</w:t>
      </w:r>
    </w:p>
    <w:p w14:paraId="2A1CE63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kern w:val="0"/>
          <w:sz w:val="24"/>
        </w:rPr>
        <w:t>项目及时制定了明确的绩效目标，实施过程中对绩效目标进行监控，对绩效目标偏离项目采取纠偏措施，在项目实施完毕后开展了绩效自评，并形成绩效自评表、自评报告。</w:t>
      </w:r>
      <w:r>
        <w:rPr>
          <w:rFonts w:hint="eastAsia" w:ascii="Arial Narrow" w:hAnsi="Arial Narrow" w:eastAsia="仿宋_GB2312"/>
          <w:sz w:val="24"/>
        </w:rPr>
        <w:t>项目绩效基本达到预期。</w:t>
      </w:r>
    </w:p>
    <w:p w14:paraId="79988CD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w:t>
      </w:r>
      <w:r>
        <w:rPr>
          <w:rFonts w:hint="eastAsia"/>
        </w:rPr>
        <w:t xml:space="preserve"> </w:t>
      </w:r>
      <w:r>
        <w:rPr>
          <w:rFonts w:hint="eastAsia" w:ascii="Arial Narrow" w:hAnsi="Arial Narrow" w:eastAsia="仿宋_GB2312"/>
          <w:sz w:val="24"/>
        </w:rPr>
        <w:t>项目建设管理情况</w:t>
      </w:r>
    </w:p>
    <w:p w14:paraId="71C8EB9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项目实施方案不存在变更情况，实施过程中由重庆市铜梁区人民政府东城街道办事处进行监督检查，检查中未发现重大问题，项目按照实施节点按时提交项目报账资料。</w:t>
      </w:r>
    </w:p>
    <w:p w14:paraId="2E81BE2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4.预算执行率情况</w:t>
      </w:r>
    </w:p>
    <w:p w14:paraId="1E5D760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青羊村中药材佛手种植基地水肥一体化滴灌设施建设项目于2023年12月底资金预算执行率才达到100%；青羊村集体经济基础设施建设项目于2023年12月底仍未支付款项，资金执行率为0。</w:t>
      </w:r>
    </w:p>
    <w:p w14:paraId="66C6342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5.跟踪督促及发现问题整改情况</w:t>
      </w:r>
    </w:p>
    <w:p w14:paraId="4453F2B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通过实施单位提供的监控表、自评表等资料显示，本项目实施单位定期开展项目实施和资金支出进度等跟踪督促，跟踪督促及各类检查发现问题整改到位。</w:t>
      </w:r>
    </w:p>
    <w:p w14:paraId="7E82AC0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6.账务处理及档案管理等情况</w:t>
      </w:r>
    </w:p>
    <w:p w14:paraId="2341A11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青羊村中药材佛手种植基地水肥一体化滴灌设施建设项目未见转固凭证。</w:t>
      </w:r>
    </w:p>
    <w:p w14:paraId="15A1F6F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7.信息公开和公告公示制度落实情况</w:t>
      </w:r>
    </w:p>
    <w:p w14:paraId="4697265B">
      <w:pPr>
        <w:adjustRightInd w:val="0"/>
        <w:snapToGrid w:val="0"/>
        <w:spacing w:line="360" w:lineRule="auto"/>
        <w:ind w:firstLine="480" w:firstLineChars="200"/>
        <w:rPr>
          <w:rFonts w:ascii="Arial Narrow" w:hAnsi="Arial Narrow" w:eastAsia="仿宋_GB2312"/>
          <w:sz w:val="24"/>
        </w:rPr>
      </w:pPr>
      <w:bookmarkStart w:id="26" w:name="_Toc169624371"/>
      <w:r>
        <w:rPr>
          <w:rFonts w:hint="eastAsia" w:ascii="Arial Narrow" w:hAnsi="Arial Narrow" w:eastAsia="仿宋_GB2312"/>
          <w:sz w:val="24"/>
        </w:rPr>
        <w:t>重庆市铜梁区人民政府东城街道办事处对该项目入库情况、资金计划完成情况等进行了公告公示。</w:t>
      </w:r>
    </w:p>
    <w:p w14:paraId="4711E26B">
      <w:pPr>
        <w:spacing w:line="360" w:lineRule="auto"/>
        <w:ind w:firstLine="482" w:firstLineChars="200"/>
        <w:jc w:val="left"/>
        <w:outlineLvl w:val="0"/>
        <w:rPr>
          <w:rFonts w:ascii="仿宋_GB2312" w:eastAsia="仿宋_GB2312"/>
          <w:b/>
          <w:sz w:val="24"/>
        </w:rPr>
      </w:pPr>
    </w:p>
    <w:p w14:paraId="360E43EE">
      <w:pPr>
        <w:spacing w:line="360" w:lineRule="auto"/>
        <w:ind w:firstLine="482" w:firstLineChars="200"/>
        <w:jc w:val="left"/>
        <w:outlineLvl w:val="0"/>
        <w:rPr>
          <w:rFonts w:ascii="仿宋_GB2312" w:eastAsia="仿宋_GB2312"/>
          <w:b/>
          <w:sz w:val="24"/>
        </w:rPr>
      </w:pPr>
      <w:r>
        <w:rPr>
          <w:rFonts w:hint="eastAsia" w:ascii="仿宋_GB2312" w:eastAsia="仿宋_GB2312"/>
          <w:b/>
          <w:sz w:val="24"/>
        </w:rPr>
        <w:t>（三）</w:t>
      </w:r>
      <w:bookmarkEnd w:id="26"/>
      <w:r>
        <w:rPr>
          <w:rFonts w:hint="eastAsia" w:ascii="仿宋_GB2312" w:eastAsia="仿宋_GB2312"/>
          <w:b/>
          <w:sz w:val="24"/>
        </w:rPr>
        <w:t>使用成效及通报情况</w:t>
      </w:r>
    </w:p>
    <w:p w14:paraId="0B8F5E0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rPr>
        <w:t xml:space="preserve"> </w:t>
      </w:r>
      <w:r>
        <w:rPr>
          <w:rFonts w:hint="eastAsia" w:ascii="Arial Narrow" w:hAnsi="Arial Narrow" w:eastAsia="仿宋_GB2312"/>
          <w:sz w:val="24"/>
        </w:rPr>
        <w:t>资金使用效益</w:t>
      </w:r>
    </w:p>
    <w:p w14:paraId="02F3BAD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项目总体资金均专款专用，完成项目的质量能够达标，完成进行了自评、项目资金完整。</w:t>
      </w:r>
    </w:p>
    <w:p w14:paraId="04DBBBB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2.通报情况</w:t>
      </w:r>
    </w:p>
    <w:p w14:paraId="4B638AE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项目实施管理日常表现良好，未被通报和问题反馈情况。</w:t>
      </w:r>
    </w:p>
    <w:p w14:paraId="78DFAA33">
      <w:pPr>
        <w:adjustRightInd w:val="0"/>
        <w:snapToGrid w:val="0"/>
        <w:spacing w:line="360" w:lineRule="auto"/>
        <w:ind w:firstLine="482" w:firstLineChars="200"/>
        <w:rPr>
          <w:rFonts w:ascii="Arial Narrow" w:hAnsi="Arial Narrow" w:eastAsia="仿宋_GB2312"/>
          <w:b/>
          <w:sz w:val="24"/>
        </w:rPr>
      </w:pPr>
      <w:r>
        <w:rPr>
          <w:rFonts w:hint="eastAsia" w:ascii="Arial Narrow" w:hAnsi="Arial Narrow" w:eastAsia="仿宋_GB2312"/>
          <w:b/>
          <w:sz w:val="24"/>
        </w:rPr>
        <w:t>五</w:t>
      </w:r>
      <w:r>
        <w:rPr>
          <w:rFonts w:ascii="Arial Narrow" w:hAnsi="Arial Narrow" w:eastAsia="仿宋_GB2312"/>
          <w:b/>
          <w:sz w:val="24"/>
        </w:rPr>
        <w:t>、存在的问题和建议</w:t>
      </w:r>
    </w:p>
    <w:p w14:paraId="2355C83E">
      <w:pPr>
        <w:adjustRightInd w:val="0"/>
        <w:snapToGrid w:val="0"/>
        <w:spacing w:line="360" w:lineRule="auto"/>
        <w:ind w:firstLine="482" w:firstLineChars="200"/>
        <w:rPr>
          <w:rFonts w:ascii="仿宋_GB2312" w:eastAsia="仿宋_GB2312"/>
          <w:b/>
          <w:sz w:val="24"/>
        </w:rPr>
      </w:pPr>
      <w:r>
        <w:rPr>
          <w:rFonts w:hint="eastAsia" w:ascii="仿宋_GB2312" w:eastAsia="仿宋_GB2312"/>
          <w:b/>
          <w:sz w:val="24"/>
        </w:rPr>
        <w:t>（一）存在问题</w:t>
      </w:r>
    </w:p>
    <w:p w14:paraId="765F651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部分项目资金支付进度较晚。</w:t>
      </w:r>
    </w:p>
    <w:p w14:paraId="6F9D2BC0">
      <w:pPr>
        <w:adjustRightInd w:val="0"/>
        <w:snapToGrid w:val="0"/>
        <w:spacing w:line="360" w:lineRule="auto"/>
        <w:ind w:firstLine="482" w:firstLineChars="200"/>
        <w:rPr>
          <w:rFonts w:ascii="仿宋_GB2312" w:eastAsia="仿宋_GB2312"/>
          <w:b/>
          <w:sz w:val="24"/>
        </w:rPr>
      </w:pPr>
      <w:r>
        <w:rPr>
          <w:rFonts w:hint="eastAsia" w:ascii="仿宋_GB2312" w:eastAsia="仿宋_GB2312"/>
          <w:b/>
          <w:sz w:val="24"/>
        </w:rPr>
        <w:t>（二）建议</w:t>
      </w:r>
    </w:p>
    <w:p w14:paraId="6A48CAA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严格按照财政资金预算执行，及时支付项目资金。</w:t>
      </w:r>
    </w:p>
    <w:p w14:paraId="2BF2F176">
      <w:pPr>
        <w:adjustRightInd w:val="0"/>
        <w:snapToGrid w:val="0"/>
        <w:spacing w:line="360" w:lineRule="auto"/>
        <w:ind w:firstLine="480" w:firstLineChars="200"/>
        <w:rPr>
          <w:rFonts w:ascii="Arial Narrow" w:hAnsi="Arial Narrow" w:eastAsia="仿宋_GB2312"/>
          <w:sz w:val="24"/>
        </w:rPr>
      </w:pPr>
    </w:p>
    <w:p w14:paraId="22096857">
      <w:pPr>
        <w:adjustRightInd w:val="0"/>
        <w:snapToGrid w:val="0"/>
        <w:spacing w:line="360" w:lineRule="auto"/>
        <w:rPr>
          <w:rFonts w:ascii="仿宋_GB2312" w:eastAsia="仿宋_GB2312"/>
          <w:b/>
          <w:sz w:val="24"/>
        </w:rPr>
      </w:pPr>
    </w:p>
    <w:p w14:paraId="501946B8">
      <w:pPr>
        <w:adjustRightInd w:val="0"/>
        <w:snapToGrid w:val="0"/>
        <w:spacing w:line="360" w:lineRule="auto"/>
        <w:rPr>
          <w:rFonts w:ascii="仿宋_GB2312" w:eastAsia="仿宋_GB2312"/>
          <w:b/>
          <w:sz w:val="24"/>
        </w:rPr>
      </w:pPr>
    </w:p>
    <w:p w14:paraId="68B27DA7">
      <w:pPr>
        <w:adjustRightInd w:val="0"/>
        <w:snapToGrid w:val="0"/>
        <w:spacing w:line="360" w:lineRule="auto"/>
        <w:rPr>
          <w:rFonts w:ascii="仿宋_GB2312" w:eastAsia="仿宋_GB2312"/>
          <w:b/>
          <w:sz w:val="24"/>
        </w:rPr>
      </w:pPr>
    </w:p>
    <w:p w14:paraId="4489B572">
      <w:pPr>
        <w:adjustRightInd w:val="0"/>
        <w:snapToGrid w:val="0"/>
        <w:spacing w:line="360" w:lineRule="auto"/>
        <w:rPr>
          <w:rStyle w:val="10"/>
          <w:rFonts w:ascii="Arial Narrow" w:hAnsi="Arial Narrow" w:eastAsia="仿宋_GB2312"/>
          <w:color w:val="auto"/>
          <w:sz w:val="24"/>
          <w:u w:val="none"/>
        </w:rPr>
      </w:pPr>
      <w:r>
        <w:rPr>
          <w:rStyle w:val="10"/>
          <w:rFonts w:ascii="Arial Narrow" w:hAnsi="Arial Narrow" w:eastAsia="仿宋_GB2312"/>
          <w:color w:val="auto"/>
          <w:sz w:val="24"/>
          <w:u w:val="none"/>
        </w:rPr>
        <w:t>附件：1、绩效评价指标体系及评分结果表；</w:t>
      </w:r>
    </w:p>
    <w:p w14:paraId="71CC8BC2">
      <w:pPr>
        <w:adjustRightInd w:val="0"/>
        <w:snapToGrid w:val="0"/>
        <w:spacing w:line="360" w:lineRule="auto"/>
        <w:ind w:firstLine="720" w:firstLineChars="300"/>
        <w:rPr>
          <w:rStyle w:val="10"/>
          <w:rFonts w:ascii="Arial Narrow" w:hAnsi="Arial Narrow" w:eastAsia="仿宋_GB2312"/>
          <w:color w:val="auto"/>
          <w:sz w:val="24"/>
          <w:u w:val="none"/>
        </w:rPr>
      </w:pPr>
      <w:r>
        <w:rPr>
          <w:rStyle w:val="10"/>
          <w:rFonts w:ascii="Arial Narrow" w:hAnsi="Arial Narrow" w:eastAsia="仿宋_GB2312"/>
          <w:color w:val="auto"/>
          <w:sz w:val="24"/>
          <w:u w:val="none"/>
        </w:rPr>
        <w:t>2、会计师事务所营业执照和资质复印件。</w:t>
      </w:r>
    </w:p>
    <w:p w14:paraId="4094A254">
      <w:pPr>
        <w:adjustRightInd w:val="0"/>
        <w:snapToGrid w:val="0"/>
        <w:spacing w:line="360" w:lineRule="auto"/>
        <w:ind w:firstLine="720" w:firstLineChars="300"/>
        <w:rPr>
          <w:rStyle w:val="10"/>
          <w:rFonts w:ascii="Arial Narrow" w:hAnsi="Arial Narrow" w:eastAsia="仿宋_GB2312"/>
          <w:color w:val="auto"/>
          <w:sz w:val="24"/>
          <w:u w:val="none"/>
        </w:rPr>
      </w:pPr>
    </w:p>
    <w:p w14:paraId="481BB73F">
      <w:pPr>
        <w:adjustRightInd w:val="0"/>
        <w:snapToGrid w:val="0"/>
        <w:spacing w:line="360" w:lineRule="auto"/>
        <w:ind w:firstLine="720" w:firstLineChars="300"/>
        <w:rPr>
          <w:rStyle w:val="10"/>
          <w:rFonts w:ascii="Arial Narrow" w:hAnsi="Arial Narrow" w:eastAsia="仿宋_GB2312"/>
          <w:color w:val="auto"/>
          <w:sz w:val="24"/>
          <w:u w:val="none"/>
        </w:rPr>
      </w:pPr>
    </w:p>
    <w:p w14:paraId="1D827C28">
      <w:pPr>
        <w:adjustRightInd w:val="0"/>
        <w:snapToGrid w:val="0"/>
        <w:spacing w:line="360" w:lineRule="auto"/>
        <w:ind w:firstLine="720" w:firstLineChars="300"/>
        <w:rPr>
          <w:rStyle w:val="10"/>
          <w:rFonts w:ascii="Arial Narrow" w:hAnsi="Arial Narrow" w:eastAsia="仿宋_GB2312"/>
          <w:color w:val="auto"/>
          <w:sz w:val="24"/>
          <w:u w:val="none"/>
        </w:rPr>
      </w:pPr>
    </w:p>
    <w:p w14:paraId="547609CE">
      <w:pPr>
        <w:adjustRightInd w:val="0"/>
        <w:snapToGrid w:val="0"/>
        <w:spacing w:line="360" w:lineRule="auto"/>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 xml:space="preserve"> 重庆铭鸿金全会计师事务所有限责任公司</w:t>
      </w:r>
    </w:p>
    <w:p w14:paraId="22690E05">
      <w:pPr>
        <w:adjustRightInd w:val="0"/>
        <w:snapToGrid w:val="0"/>
        <w:spacing w:line="360" w:lineRule="auto"/>
        <w:ind w:firstLine="4800" w:firstLineChars="2000"/>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二</w:t>
      </w:r>
      <w:r>
        <w:rPr>
          <w:rStyle w:val="10"/>
          <w:rFonts w:hint="eastAsia" w:ascii="Arial Narrow" w:hAnsi="Arial Narrow" w:eastAsia="仿宋_GB2312"/>
          <w:color w:val="auto"/>
          <w:sz w:val="24"/>
          <w:u w:val="none"/>
          <w:lang w:val="en-US" w:eastAsia="zh-CN"/>
        </w:rPr>
        <w:t>〇</w:t>
      </w:r>
      <w:bookmarkStart w:id="27" w:name="_GoBack"/>
      <w:bookmarkEnd w:id="27"/>
      <w:r>
        <w:rPr>
          <w:rStyle w:val="10"/>
          <w:rFonts w:hint="eastAsia" w:ascii="Arial Narrow" w:hAnsi="Arial Narrow" w:eastAsia="仿宋_GB2312"/>
          <w:color w:val="auto"/>
          <w:sz w:val="24"/>
          <w:u w:val="none"/>
        </w:rPr>
        <w:t>二四年六月二十八日</w:t>
      </w:r>
    </w:p>
    <w:sectPr>
      <w:headerReference r:id="rId7" w:type="default"/>
      <w:footerReference r:id="rId8" w:type="default"/>
      <w:pgSz w:w="11907" w:h="16840" w:orient="landscape"/>
      <w:pgMar w:top="1418" w:right="1418" w:bottom="1134" w:left="1134" w:header="851" w:footer="851" w:gutter="0"/>
      <w:pgNumType w:start="1"/>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DDC8C">
    <w:pPr>
      <w:pStyle w:val="4"/>
      <w:jc w:val="center"/>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D023F">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5407720"/>
      <w:docPartObj>
        <w:docPartGallery w:val="autotext"/>
      </w:docPartObj>
    </w:sdtPr>
    <w:sdtContent>
      <w:p w14:paraId="4A32E0A0">
        <w:pPr>
          <w:pStyle w:val="4"/>
          <w:jc w:val="center"/>
        </w:pPr>
        <w:r>
          <w:fldChar w:fldCharType="begin"/>
        </w:r>
        <w:r>
          <w:instrText xml:space="preserve">PAGE   \* MERGEFORMAT</w:instrText>
        </w:r>
        <w:r>
          <w:fldChar w:fldCharType="separate"/>
        </w:r>
        <w:r>
          <w:t>2</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02654732"/>
      <w:docPartObj>
        <w:docPartGallery w:val="autotext"/>
      </w:docPartObj>
    </w:sdtPr>
    <w:sdtContent>
      <w:p w14:paraId="28BB0129">
        <w:pPr>
          <w:pStyle w:val="4"/>
          <w:jc w:val="center"/>
        </w:pPr>
        <w:r>
          <w:fldChar w:fldCharType="begin"/>
        </w:r>
        <w:r>
          <w:instrText xml:space="preserve">PAGE   \* MERGEFORMAT</w:instrText>
        </w:r>
        <w:r>
          <w:fldChar w:fldCharType="separate"/>
        </w:r>
        <w:r>
          <w:t>2</w:t>
        </w:r>
        <w:r>
          <w:fldChar w:fldCharType="end"/>
        </w:r>
      </w:p>
    </w:sdtContent>
  </w:sdt>
  <w:p w14:paraId="674235DF">
    <w:pPr>
      <w:pStyle w:val="4"/>
      <w:jc w:val="center"/>
      <w:rPr>
        <w:rFonts w:hint="eastAsia" w:ascii="宋体" w:hAnsi="宋体"/>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C2C41">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0EB5F">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028B7"/>
    <w:rsid w:val="000509BA"/>
    <w:rsid w:val="00060BD2"/>
    <w:rsid w:val="00063E0B"/>
    <w:rsid w:val="000769EE"/>
    <w:rsid w:val="00081858"/>
    <w:rsid w:val="000966ED"/>
    <w:rsid w:val="000A02F2"/>
    <w:rsid w:val="000D1A3B"/>
    <w:rsid w:val="000D5079"/>
    <w:rsid w:val="000E4529"/>
    <w:rsid w:val="000E6A52"/>
    <w:rsid w:val="000F5F6F"/>
    <w:rsid w:val="0010003E"/>
    <w:rsid w:val="00104568"/>
    <w:rsid w:val="00143A99"/>
    <w:rsid w:val="00152152"/>
    <w:rsid w:val="00164C87"/>
    <w:rsid w:val="001A42EB"/>
    <w:rsid w:val="001A49B4"/>
    <w:rsid w:val="001C5C0B"/>
    <w:rsid w:val="001C6069"/>
    <w:rsid w:val="001C6F32"/>
    <w:rsid w:val="001C7F9C"/>
    <w:rsid w:val="001E0132"/>
    <w:rsid w:val="001E0520"/>
    <w:rsid w:val="001F3624"/>
    <w:rsid w:val="001F43AE"/>
    <w:rsid w:val="002155C2"/>
    <w:rsid w:val="00216472"/>
    <w:rsid w:val="00224D96"/>
    <w:rsid w:val="00226E7E"/>
    <w:rsid w:val="0026047F"/>
    <w:rsid w:val="00276D1C"/>
    <w:rsid w:val="00282997"/>
    <w:rsid w:val="002909BD"/>
    <w:rsid w:val="002A5462"/>
    <w:rsid w:val="002C083D"/>
    <w:rsid w:val="002C36AE"/>
    <w:rsid w:val="002C5020"/>
    <w:rsid w:val="002C7EFA"/>
    <w:rsid w:val="002E6ACC"/>
    <w:rsid w:val="003108EA"/>
    <w:rsid w:val="00324E2F"/>
    <w:rsid w:val="00331DC5"/>
    <w:rsid w:val="00345E2C"/>
    <w:rsid w:val="0035515E"/>
    <w:rsid w:val="0037066E"/>
    <w:rsid w:val="00384C3C"/>
    <w:rsid w:val="003879CE"/>
    <w:rsid w:val="003A00D8"/>
    <w:rsid w:val="003B42BF"/>
    <w:rsid w:val="003D77D9"/>
    <w:rsid w:val="003F3F79"/>
    <w:rsid w:val="0041202B"/>
    <w:rsid w:val="00414A58"/>
    <w:rsid w:val="004154DD"/>
    <w:rsid w:val="004200C2"/>
    <w:rsid w:val="00420AA7"/>
    <w:rsid w:val="00421C71"/>
    <w:rsid w:val="0042443E"/>
    <w:rsid w:val="004304C9"/>
    <w:rsid w:val="00470930"/>
    <w:rsid w:val="004B56FD"/>
    <w:rsid w:val="004C1F3A"/>
    <w:rsid w:val="004C38B4"/>
    <w:rsid w:val="004C3AA2"/>
    <w:rsid w:val="004D1145"/>
    <w:rsid w:val="004D2A6E"/>
    <w:rsid w:val="004E6833"/>
    <w:rsid w:val="004F7A0F"/>
    <w:rsid w:val="00501A64"/>
    <w:rsid w:val="00504E65"/>
    <w:rsid w:val="0052054E"/>
    <w:rsid w:val="005233C7"/>
    <w:rsid w:val="00536985"/>
    <w:rsid w:val="00545DC8"/>
    <w:rsid w:val="00572DD6"/>
    <w:rsid w:val="00597DE6"/>
    <w:rsid w:val="005A631A"/>
    <w:rsid w:val="005C6A06"/>
    <w:rsid w:val="005D3E15"/>
    <w:rsid w:val="005E133F"/>
    <w:rsid w:val="005F01BA"/>
    <w:rsid w:val="0061001E"/>
    <w:rsid w:val="0061417A"/>
    <w:rsid w:val="0061419A"/>
    <w:rsid w:val="0062404B"/>
    <w:rsid w:val="00624440"/>
    <w:rsid w:val="00655510"/>
    <w:rsid w:val="00693181"/>
    <w:rsid w:val="0069678B"/>
    <w:rsid w:val="00697386"/>
    <w:rsid w:val="006A58E0"/>
    <w:rsid w:val="006D14F7"/>
    <w:rsid w:val="006D3E06"/>
    <w:rsid w:val="006E75D6"/>
    <w:rsid w:val="006E7DA1"/>
    <w:rsid w:val="006F28B0"/>
    <w:rsid w:val="006F7CBD"/>
    <w:rsid w:val="00715D8E"/>
    <w:rsid w:val="0073019B"/>
    <w:rsid w:val="00730A8E"/>
    <w:rsid w:val="00740E9D"/>
    <w:rsid w:val="00741402"/>
    <w:rsid w:val="007559F1"/>
    <w:rsid w:val="00761CBF"/>
    <w:rsid w:val="007A6BE6"/>
    <w:rsid w:val="007C05DC"/>
    <w:rsid w:val="007C6C9C"/>
    <w:rsid w:val="007E03CF"/>
    <w:rsid w:val="007F0658"/>
    <w:rsid w:val="00816051"/>
    <w:rsid w:val="00827385"/>
    <w:rsid w:val="00842151"/>
    <w:rsid w:val="00850916"/>
    <w:rsid w:val="00856815"/>
    <w:rsid w:val="00864F7E"/>
    <w:rsid w:val="0088588F"/>
    <w:rsid w:val="008952B1"/>
    <w:rsid w:val="008D4F7C"/>
    <w:rsid w:val="008E609D"/>
    <w:rsid w:val="0090729E"/>
    <w:rsid w:val="009219FA"/>
    <w:rsid w:val="009309C0"/>
    <w:rsid w:val="0093667D"/>
    <w:rsid w:val="00983033"/>
    <w:rsid w:val="00983CB7"/>
    <w:rsid w:val="0099227E"/>
    <w:rsid w:val="009957B8"/>
    <w:rsid w:val="0099666C"/>
    <w:rsid w:val="009C2341"/>
    <w:rsid w:val="009F1C42"/>
    <w:rsid w:val="00A066D6"/>
    <w:rsid w:val="00A07A15"/>
    <w:rsid w:val="00A14650"/>
    <w:rsid w:val="00A173D2"/>
    <w:rsid w:val="00A352D4"/>
    <w:rsid w:val="00A36B68"/>
    <w:rsid w:val="00A922C5"/>
    <w:rsid w:val="00A95CA5"/>
    <w:rsid w:val="00AC3880"/>
    <w:rsid w:val="00AD0284"/>
    <w:rsid w:val="00AE470F"/>
    <w:rsid w:val="00AF17D9"/>
    <w:rsid w:val="00AF50E5"/>
    <w:rsid w:val="00AF58DD"/>
    <w:rsid w:val="00B00127"/>
    <w:rsid w:val="00B134A6"/>
    <w:rsid w:val="00B25A79"/>
    <w:rsid w:val="00B4671B"/>
    <w:rsid w:val="00B512E9"/>
    <w:rsid w:val="00B7289F"/>
    <w:rsid w:val="00B862A4"/>
    <w:rsid w:val="00BA212E"/>
    <w:rsid w:val="00BB3674"/>
    <w:rsid w:val="00BC2692"/>
    <w:rsid w:val="00BC7BED"/>
    <w:rsid w:val="00BD6FFD"/>
    <w:rsid w:val="00BE0FC1"/>
    <w:rsid w:val="00C02FB6"/>
    <w:rsid w:val="00C107C7"/>
    <w:rsid w:val="00C12443"/>
    <w:rsid w:val="00C15C20"/>
    <w:rsid w:val="00C33E5D"/>
    <w:rsid w:val="00C35442"/>
    <w:rsid w:val="00C36A73"/>
    <w:rsid w:val="00C60A62"/>
    <w:rsid w:val="00C81287"/>
    <w:rsid w:val="00C85CF0"/>
    <w:rsid w:val="00CA36FC"/>
    <w:rsid w:val="00CA729B"/>
    <w:rsid w:val="00CB54FB"/>
    <w:rsid w:val="00CC769D"/>
    <w:rsid w:val="00CD3FC6"/>
    <w:rsid w:val="00D14839"/>
    <w:rsid w:val="00D1562E"/>
    <w:rsid w:val="00D254D3"/>
    <w:rsid w:val="00D26E16"/>
    <w:rsid w:val="00D415D5"/>
    <w:rsid w:val="00D56A91"/>
    <w:rsid w:val="00D9153A"/>
    <w:rsid w:val="00D9711C"/>
    <w:rsid w:val="00DA1E34"/>
    <w:rsid w:val="00DB55F0"/>
    <w:rsid w:val="00E00AC0"/>
    <w:rsid w:val="00E065AA"/>
    <w:rsid w:val="00E23D6E"/>
    <w:rsid w:val="00E27A95"/>
    <w:rsid w:val="00E66C12"/>
    <w:rsid w:val="00E709E2"/>
    <w:rsid w:val="00E71632"/>
    <w:rsid w:val="00E756EA"/>
    <w:rsid w:val="00E80BDA"/>
    <w:rsid w:val="00E943ED"/>
    <w:rsid w:val="00EA1C10"/>
    <w:rsid w:val="00EB474C"/>
    <w:rsid w:val="00EB6960"/>
    <w:rsid w:val="00ED0A8C"/>
    <w:rsid w:val="00ED4D24"/>
    <w:rsid w:val="00EF1282"/>
    <w:rsid w:val="00F06B5C"/>
    <w:rsid w:val="00F36680"/>
    <w:rsid w:val="00F44D17"/>
    <w:rsid w:val="00F54C3F"/>
    <w:rsid w:val="00F61D28"/>
    <w:rsid w:val="00F64D50"/>
    <w:rsid w:val="00F6551E"/>
    <w:rsid w:val="00F84DF0"/>
    <w:rsid w:val="00F93053"/>
    <w:rsid w:val="00FA6718"/>
    <w:rsid w:val="00FD1A79"/>
    <w:rsid w:val="00FD5F18"/>
    <w:rsid w:val="00FE1E65"/>
    <w:rsid w:val="00FE5705"/>
    <w:rsid w:val="00FF012E"/>
    <w:rsid w:val="00FF5AA5"/>
    <w:rsid w:val="00FF5B0E"/>
    <w:rsid w:val="02717C9D"/>
    <w:rsid w:val="074D3B98"/>
    <w:rsid w:val="0C955D75"/>
    <w:rsid w:val="10FD0312"/>
    <w:rsid w:val="120E6874"/>
    <w:rsid w:val="18792466"/>
    <w:rsid w:val="270731DD"/>
    <w:rsid w:val="357129F4"/>
    <w:rsid w:val="371050B8"/>
    <w:rsid w:val="45947F31"/>
    <w:rsid w:val="4DF1278B"/>
    <w:rsid w:val="60087B46"/>
    <w:rsid w:val="629B4EDD"/>
    <w:rsid w:val="6C0B491D"/>
    <w:rsid w:val="72315596"/>
    <w:rsid w:val="784B1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footer"/>
    <w:basedOn w:val="1"/>
    <w:link w:val="17"/>
    <w:qFormat/>
    <w:uiPriority w:val="99"/>
    <w:pPr>
      <w:tabs>
        <w:tab w:val="center" w:pos="4153"/>
        <w:tab w:val="right" w:pos="8306"/>
      </w:tabs>
      <w:snapToGrid w:val="0"/>
      <w:jc w:val="left"/>
    </w:pPr>
    <w:rPr>
      <w:sz w:val="18"/>
      <w:szCs w:val="18"/>
      <w:lang w:val="zh-CN"/>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6">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7">
    <w:name w:val="annotation subject"/>
    <w:basedOn w:val="3"/>
    <w:next w:val="3"/>
    <w:link w:val="15"/>
    <w:qFormat/>
    <w:uiPriority w:val="0"/>
    <w:rPr>
      <w:b/>
      <w:bCs/>
    </w:rPr>
  </w:style>
  <w:style w:type="character" w:styleId="10">
    <w:name w:val="Hyperlink"/>
    <w:qFormat/>
    <w:uiPriority w:val="99"/>
    <w:rPr>
      <w:color w:val="0000FF"/>
      <w:u w:val="single"/>
    </w:rPr>
  </w:style>
  <w:style w:type="character" w:styleId="11">
    <w:name w:val="annotation reference"/>
    <w:basedOn w:val="9"/>
    <w:qFormat/>
    <w:uiPriority w:val="0"/>
    <w:rPr>
      <w:sz w:val="21"/>
      <w:szCs w:val="21"/>
    </w:rPr>
  </w:style>
  <w:style w:type="paragraph" w:customStyle="1" w:styleId="12">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4">
    <w:name w:val="批注文字 字符"/>
    <w:basedOn w:val="9"/>
    <w:link w:val="3"/>
    <w:qFormat/>
    <w:uiPriority w:val="0"/>
    <w:rPr>
      <w:kern w:val="2"/>
      <w:sz w:val="21"/>
      <w:szCs w:val="24"/>
    </w:rPr>
  </w:style>
  <w:style w:type="character" w:customStyle="1" w:styleId="15">
    <w:name w:val="批注主题 字符"/>
    <w:basedOn w:val="14"/>
    <w:link w:val="7"/>
    <w:qFormat/>
    <w:uiPriority w:val="0"/>
    <w:rPr>
      <w:b/>
      <w:bCs/>
      <w:kern w:val="2"/>
      <w:sz w:val="21"/>
      <w:szCs w:val="24"/>
    </w:rPr>
  </w:style>
  <w:style w:type="paragraph" w:styleId="16">
    <w:name w:val="List Paragraph"/>
    <w:basedOn w:val="1"/>
    <w:unhideWhenUsed/>
    <w:qFormat/>
    <w:uiPriority w:val="99"/>
    <w:pPr>
      <w:ind w:firstLine="420" w:firstLineChars="200"/>
    </w:pPr>
  </w:style>
  <w:style w:type="character" w:customStyle="1" w:styleId="17">
    <w:name w:val="页脚 字符"/>
    <w:basedOn w:val="9"/>
    <w:link w:val="4"/>
    <w:qFormat/>
    <w:uiPriority w:val="99"/>
    <w:rPr>
      <w:kern w:val="2"/>
      <w:sz w:val="18"/>
      <w:szCs w:val="18"/>
      <w:lang w:val="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00616-A4DC-48FD-B5E0-08469EFDF224}">
  <ds:schemaRefs/>
</ds:datastoreItem>
</file>

<file path=docProps/app.xml><?xml version="1.0" encoding="utf-8"?>
<Properties xmlns="http://schemas.openxmlformats.org/officeDocument/2006/extended-properties" xmlns:vt="http://schemas.openxmlformats.org/officeDocument/2006/docPropsVTypes">
  <Template>Normal</Template>
  <Pages>10</Pages>
  <Words>6034</Words>
  <Characters>6656</Characters>
  <Lines>54</Lines>
  <Paragraphs>15</Paragraphs>
  <TotalTime>629</TotalTime>
  <ScaleCrop>false</ScaleCrop>
  <LinksUpToDate>false</LinksUpToDate>
  <CharactersWithSpaces>6699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2024-06-07T06:02:00Z</cp:lastPrinted>
  <dcterms:modified xsi:type="dcterms:W3CDTF">2024-11-20T01:16:58Z</dcterms:modified>
  <cp:revision>132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