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4F61D">
      <w:pPr>
        <w:spacing w:line="360" w:lineRule="auto"/>
        <w:jc w:val="center"/>
        <w:rPr>
          <w:rFonts w:hint="default" w:ascii="Arial Narrow" w:hAnsi="Arial Narrow" w:eastAsia="仿宋_GB2312" w:cs="Arial Narrow"/>
          <w:b/>
          <w:bCs/>
          <w:sz w:val="36"/>
          <w:szCs w:val="36"/>
        </w:rPr>
      </w:pPr>
    </w:p>
    <w:p w14:paraId="75AB0672">
      <w:pPr>
        <w:spacing w:line="360" w:lineRule="auto"/>
        <w:jc w:val="center"/>
        <w:rPr>
          <w:rFonts w:hint="default" w:ascii="Arial Narrow" w:hAnsi="Arial Narrow" w:eastAsia="仿宋_GB2312" w:cs="Arial Narrow"/>
          <w:b/>
          <w:bCs/>
          <w:sz w:val="36"/>
          <w:szCs w:val="36"/>
        </w:rPr>
      </w:pPr>
    </w:p>
    <w:p w14:paraId="13A61655">
      <w:pPr>
        <w:spacing w:line="360" w:lineRule="auto"/>
        <w:jc w:val="center"/>
        <w:rPr>
          <w:rFonts w:hint="default" w:ascii="Arial Narrow" w:hAnsi="Arial Narrow" w:eastAsia="仿宋_GB2312" w:cs="Arial Narrow"/>
          <w:b/>
          <w:bCs/>
          <w:sz w:val="36"/>
          <w:szCs w:val="36"/>
        </w:rPr>
      </w:pPr>
    </w:p>
    <w:p w14:paraId="2A2859D7">
      <w:pPr>
        <w:spacing w:line="360" w:lineRule="auto"/>
        <w:jc w:val="center"/>
        <w:rPr>
          <w:rFonts w:hint="default" w:ascii="Arial Narrow" w:hAnsi="Arial Narrow" w:eastAsia="仿宋_GB2312" w:cs="Arial Narrow"/>
          <w:b/>
          <w:bCs/>
          <w:sz w:val="36"/>
          <w:szCs w:val="36"/>
          <w:highlight w:val="yellow"/>
        </w:rPr>
      </w:pPr>
    </w:p>
    <w:p w14:paraId="5E4066F8">
      <w:pPr>
        <w:adjustRightInd w:val="0"/>
        <w:snapToGrid w:val="0"/>
        <w:spacing w:line="360" w:lineRule="auto"/>
        <w:jc w:val="center"/>
        <w:rPr>
          <w:rFonts w:hint="default" w:ascii="Arial Narrow" w:hAnsi="Arial Narrow" w:eastAsia="仿宋_GB2312" w:cs="Arial Narrow"/>
          <w:b/>
          <w:sz w:val="36"/>
          <w:szCs w:val="36"/>
        </w:rPr>
      </w:pPr>
      <w:r>
        <w:rPr>
          <w:rFonts w:hint="default" w:ascii="Arial Narrow" w:hAnsi="Arial Narrow" w:eastAsia="仿宋_GB2312" w:cs="Arial Narrow"/>
          <w:b/>
          <w:sz w:val="36"/>
          <w:szCs w:val="36"/>
        </w:rPr>
        <w:t>重庆市铜梁区2023年巴川街道玉皇村农机购置项目</w:t>
      </w:r>
    </w:p>
    <w:p w14:paraId="3F816C78">
      <w:pPr>
        <w:adjustRightInd w:val="0"/>
        <w:snapToGrid w:val="0"/>
        <w:spacing w:line="360" w:lineRule="auto"/>
        <w:jc w:val="center"/>
        <w:rPr>
          <w:rFonts w:hint="default" w:ascii="Arial Narrow" w:hAnsi="Arial Narrow" w:eastAsia="仿宋_GB2312" w:cs="Arial Narrow"/>
          <w:b/>
          <w:spacing w:val="100"/>
          <w:sz w:val="32"/>
          <w:szCs w:val="32"/>
        </w:rPr>
      </w:pPr>
      <w:r>
        <w:rPr>
          <w:rFonts w:hint="default" w:ascii="Arial Narrow" w:hAnsi="Arial Narrow" w:eastAsia="仿宋_GB2312" w:cs="Arial Narrow"/>
          <w:b/>
          <w:sz w:val="36"/>
          <w:szCs w:val="36"/>
        </w:rPr>
        <w:t>财政专项衔接资金</w:t>
      </w:r>
    </w:p>
    <w:p w14:paraId="56BBD443">
      <w:pPr>
        <w:adjustRightInd w:val="0"/>
        <w:snapToGrid w:val="0"/>
        <w:spacing w:line="360" w:lineRule="auto"/>
        <w:jc w:val="center"/>
        <w:rPr>
          <w:rFonts w:hint="default" w:ascii="Arial Narrow" w:hAnsi="Arial Narrow" w:eastAsia="仿宋_GB2312" w:cs="Arial Narrow"/>
          <w:b/>
          <w:sz w:val="36"/>
          <w:szCs w:val="36"/>
        </w:rPr>
      </w:pPr>
    </w:p>
    <w:p w14:paraId="077E185B">
      <w:pPr>
        <w:adjustRightInd w:val="0"/>
        <w:snapToGrid w:val="0"/>
        <w:spacing w:line="360" w:lineRule="auto"/>
        <w:jc w:val="center"/>
        <w:rPr>
          <w:rFonts w:hint="default" w:ascii="Arial Narrow" w:hAnsi="Arial Narrow" w:eastAsia="仿宋_GB2312" w:cs="Arial Narrow"/>
          <w:b/>
          <w:spacing w:val="100"/>
          <w:sz w:val="32"/>
          <w:szCs w:val="32"/>
        </w:rPr>
      </w:pPr>
    </w:p>
    <w:p w14:paraId="4BB82929">
      <w:pPr>
        <w:adjustRightInd w:val="0"/>
        <w:snapToGrid w:val="0"/>
        <w:spacing w:line="360" w:lineRule="auto"/>
        <w:jc w:val="center"/>
        <w:rPr>
          <w:rFonts w:hint="default" w:ascii="Arial Narrow" w:hAnsi="Arial Narrow" w:eastAsia="仿宋_GB2312" w:cs="Arial Narrow"/>
          <w:b/>
          <w:spacing w:val="100"/>
          <w:sz w:val="32"/>
          <w:szCs w:val="32"/>
        </w:rPr>
      </w:pPr>
    </w:p>
    <w:p w14:paraId="300B50D7">
      <w:pPr>
        <w:tabs>
          <w:tab w:val="center" w:pos="4393"/>
          <w:tab w:val="left" w:pos="7258"/>
        </w:tabs>
        <w:adjustRightInd w:val="0"/>
        <w:snapToGrid w:val="0"/>
        <w:spacing w:line="360" w:lineRule="auto"/>
        <w:jc w:val="center"/>
        <w:rPr>
          <w:rFonts w:hint="default" w:ascii="Arial Narrow" w:hAnsi="Arial Narrow" w:eastAsia="仿宋_GB2312" w:cs="Arial Narrow"/>
          <w:b/>
          <w:w w:val="102"/>
          <w:sz w:val="44"/>
          <w:szCs w:val="44"/>
        </w:rPr>
      </w:pPr>
      <w:r>
        <w:rPr>
          <w:rFonts w:hint="default" w:ascii="Arial Narrow" w:hAnsi="Arial Narrow" w:eastAsia="仿宋_GB2312" w:cs="Arial Narrow"/>
          <w:b/>
          <w:w w:val="102"/>
          <w:sz w:val="44"/>
          <w:szCs w:val="44"/>
        </w:rPr>
        <w:t>绩效评价</w:t>
      </w:r>
      <w:bookmarkStart w:id="0" w:name="_Toc488804777"/>
      <w:bookmarkStart w:id="1" w:name="_Toc488637980"/>
      <w:r>
        <w:rPr>
          <w:rFonts w:hint="default" w:ascii="Arial Narrow" w:hAnsi="Arial Narrow" w:eastAsia="仿宋_GB2312" w:cs="Arial Narrow"/>
          <w:b/>
          <w:w w:val="102"/>
          <w:sz w:val="44"/>
          <w:szCs w:val="44"/>
        </w:rPr>
        <w:t>报告</w:t>
      </w:r>
    </w:p>
    <w:p w14:paraId="4DD0B565">
      <w:pPr>
        <w:spacing w:line="360" w:lineRule="auto"/>
        <w:jc w:val="center"/>
        <w:rPr>
          <w:rFonts w:hint="default" w:ascii="Arial Narrow" w:hAnsi="Arial Narrow" w:eastAsia="仿宋_GB2312" w:cs="Arial Narrow"/>
          <w:bCs/>
          <w:sz w:val="32"/>
          <w:szCs w:val="32"/>
        </w:rPr>
      </w:pPr>
      <w:r>
        <w:rPr>
          <w:rFonts w:hint="default" w:ascii="Arial Narrow" w:hAnsi="Arial Narrow" w:eastAsia="仿宋_GB2312" w:cs="Arial Narrow"/>
          <w:bCs/>
          <w:sz w:val="32"/>
          <w:szCs w:val="32"/>
        </w:rPr>
        <w:t>铭鸿咨字【2024】第0003号</w:t>
      </w:r>
    </w:p>
    <w:p w14:paraId="05EBD270">
      <w:pPr>
        <w:adjustRightInd w:val="0"/>
        <w:snapToGrid w:val="0"/>
        <w:spacing w:line="360" w:lineRule="auto"/>
        <w:jc w:val="center"/>
        <w:rPr>
          <w:rFonts w:hint="default" w:ascii="Arial Narrow" w:hAnsi="Arial Narrow" w:eastAsia="仿宋_GB2312" w:cs="Arial Narrow"/>
          <w:b/>
          <w:spacing w:val="100"/>
          <w:sz w:val="32"/>
          <w:szCs w:val="32"/>
        </w:rPr>
      </w:pPr>
    </w:p>
    <w:p w14:paraId="5D499EA1">
      <w:pPr>
        <w:adjustRightInd w:val="0"/>
        <w:snapToGrid w:val="0"/>
        <w:spacing w:line="360" w:lineRule="auto"/>
        <w:jc w:val="center"/>
        <w:rPr>
          <w:rFonts w:hint="default" w:ascii="Arial Narrow" w:hAnsi="Arial Narrow" w:eastAsia="仿宋_GB2312" w:cs="Arial Narrow"/>
          <w:b/>
          <w:spacing w:val="100"/>
          <w:sz w:val="32"/>
          <w:szCs w:val="32"/>
        </w:rPr>
      </w:pPr>
    </w:p>
    <w:p w14:paraId="1DDD49C8">
      <w:pPr>
        <w:adjustRightInd w:val="0"/>
        <w:snapToGrid w:val="0"/>
        <w:spacing w:line="360" w:lineRule="auto"/>
        <w:jc w:val="center"/>
        <w:rPr>
          <w:rFonts w:hint="default" w:ascii="Arial Narrow" w:hAnsi="Arial Narrow" w:eastAsia="仿宋_GB2312" w:cs="Arial Narrow"/>
          <w:b/>
          <w:spacing w:val="100"/>
          <w:sz w:val="32"/>
          <w:szCs w:val="32"/>
        </w:rPr>
      </w:pPr>
    </w:p>
    <w:p w14:paraId="719C822A">
      <w:pPr>
        <w:adjustRightInd w:val="0"/>
        <w:snapToGrid w:val="0"/>
        <w:spacing w:line="360" w:lineRule="auto"/>
        <w:jc w:val="center"/>
        <w:rPr>
          <w:rFonts w:hint="default" w:ascii="Arial Narrow" w:hAnsi="Arial Narrow" w:eastAsia="仿宋_GB2312" w:cs="Arial Narrow"/>
          <w:b/>
          <w:spacing w:val="100"/>
          <w:sz w:val="32"/>
          <w:szCs w:val="32"/>
        </w:rPr>
      </w:pPr>
    </w:p>
    <w:p w14:paraId="57C798EE">
      <w:pPr>
        <w:adjustRightInd w:val="0"/>
        <w:snapToGrid w:val="0"/>
        <w:spacing w:line="360" w:lineRule="auto"/>
        <w:jc w:val="center"/>
        <w:rPr>
          <w:rFonts w:hint="default" w:ascii="Arial Narrow" w:hAnsi="Arial Narrow" w:eastAsia="仿宋_GB2312" w:cs="Arial Narrow"/>
          <w:b/>
          <w:spacing w:val="100"/>
          <w:sz w:val="32"/>
          <w:szCs w:val="32"/>
        </w:rPr>
      </w:pPr>
    </w:p>
    <w:p w14:paraId="031EA004">
      <w:pPr>
        <w:adjustRightInd w:val="0"/>
        <w:snapToGrid w:val="0"/>
        <w:spacing w:line="360" w:lineRule="auto"/>
        <w:jc w:val="center"/>
        <w:rPr>
          <w:rFonts w:hint="default" w:ascii="Arial Narrow" w:hAnsi="Arial Narrow" w:eastAsia="仿宋_GB2312" w:cs="Arial Narrow"/>
          <w:b/>
          <w:spacing w:val="100"/>
          <w:sz w:val="32"/>
          <w:szCs w:val="32"/>
        </w:rPr>
      </w:pPr>
    </w:p>
    <w:p w14:paraId="6D718C64">
      <w:pPr>
        <w:adjustRightInd w:val="0"/>
        <w:snapToGrid w:val="0"/>
        <w:spacing w:line="360" w:lineRule="auto"/>
        <w:jc w:val="center"/>
        <w:rPr>
          <w:rFonts w:hint="default" w:ascii="Arial Narrow" w:hAnsi="Arial Narrow" w:eastAsia="仿宋_GB2312" w:cs="Arial Narrow"/>
          <w:b/>
          <w:spacing w:val="100"/>
          <w:sz w:val="32"/>
          <w:szCs w:val="32"/>
        </w:rPr>
      </w:pPr>
    </w:p>
    <w:p w14:paraId="11709869">
      <w:pPr>
        <w:spacing w:line="360" w:lineRule="auto"/>
        <w:jc w:val="center"/>
        <w:rPr>
          <w:rFonts w:hint="default" w:ascii="Arial Narrow" w:hAnsi="Arial Narrow" w:eastAsia="仿宋_GB2312" w:cs="Arial Narrow"/>
          <w:sz w:val="32"/>
          <w:szCs w:val="32"/>
        </w:rPr>
      </w:pPr>
      <w:r>
        <w:rPr>
          <w:rFonts w:hint="default" w:ascii="Arial Narrow" w:hAnsi="Arial Narrow" w:eastAsia="仿宋_GB2312" w:cs="Arial Narrow"/>
          <w:sz w:val="32"/>
          <w:szCs w:val="32"/>
        </w:rPr>
        <w:t>重庆铭鸿金全会计师事务所有限责任公司</w:t>
      </w:r>
    </w:p>
    <w:p w14:paraId="453236C3">
      <w:pPr>
        <w:spacing w:line="360" w:lineRule="auto"/>
        <w:jc w:val="center"/>
        <w:rPr>
          <w:rFonts w:hint="default" w:ascii="Arial Narrow" w:hAnsi="Arial Narrow" w:eastAsia="仿宋_GB2312" w:cs="Arial Narrow"/>
          <w:sz w:val="44"/>
          <w:szCs w:val="44"/>
        </w:rPr>
      </w:pPr>
      <w:r>
        <w:rPr>
          <w:rFonts w:hint="default" w:ascii="Arial Narrow" w:hAnsi="Arial Narrow" w:eastAsia="仿宋_GB2312" w:cs="Arial Narrow"/>
          <w:sz w:val="32"/>
          <w:szCs w:val="32"/>
        </w:rPr>
        <w:t>二</w:t>
      </w:r>
      <w:r>
        <w:rPr>
          <w:rFonts w:hint="eastAsia" w:ascii="Arial Narrow" w:hAnsi="Arial Narrow" w:eastAsia="仿宋_GB2312" w:cs="Arial Narrow"/>
          <w:sz w:val="32"/>
          <w:szCs w:val="32"/>
          <w:lang w:eastAsia="zh-CN"/>
        </w:rPr>
        <w:t>〇</w:t>
      </w:r>
      <w:r>
        <w:rPr>
          <w:rFonts w:hint="default" w:ascii="Arial Narrow" w:hAnsi="Arial Narrow" w:eastAsia="仿宋_GB2312" w:cs="Arial Narrow"/>
          <w:sz w:val="32"/>
          <w:szCs w:val="32"/>
        </w:rPr>
        <w:t>二</w:t>
      </w:r>
      <w:r>
        <w:rPr>
          <w:rFonts w:hint="eastAsia" w:ascii="Arial Narrow" w:hAnsi="Arial Narrow" w:eastAsia="仿宋_GB2312" w:cs="Arial Narrow"/>
          <w:sz w:val="32"/>
          <w:szCs w:val="32"/>
          <w:lang w:eastAsia="zh-CN"/>
        </w:rPr>
        <w:t>四</w:t>
      </w:r>
      <w:r>
        <w:rPr>
          <w:rFonts w:hint="default" w:ascii="Arial Narrow" w:hAnsi="Arial Narrow" w:eastAsia="仿宋_GB2312" w:cs="Arial Narrow"/>
          <w:sz w:val="32"/>
          <w:szCs w:val="32"/>
        </w:rPr>
        <w:t>年六月</w:t>
      </w:r>
      <w:r>
        <w:rPr>
          <w:rFonts w:hint="default" w:ascii="Arial Narrow" w:hAnsi="Arial Narrow" w:eastAsia="仿宋_GB2312" w:cs="Arial Narrow"/>
          <w:b/>
          <w:spacing w:val="100"/>
          <w:sz w:val="52"/>
          <w:szCs w:val="52"/>
        </w:rPr>
        <w:br w:type="page"/>
      </w:r>
      <w:bookmarkEnd w:id="0"/>
      <w:bookmarkEnd w:id="1"/>
      <w:r>
        <w:rPr>
          <w:rFonts w:hint="default" w:ascii="Arial Narrow" w:hAnsi="Arial Narrow" w:eastAsia="仿宋_GB2312" w:cs="Arial Narrow"/>
          <w:sz w:val="44"/>
          <w:szCs w:val="44"/>
        </w:rPr>
        <w:t>目   录</w:t>
      </w:r>
    </w:p>
    <w:p w14:paraId="3BC90C23">
      <w:pPr>
        <w:spacing w:line="360" w:lineRule="auto"/>
        <w:jc w:val="center"/>
        <w:rPr>
          <w:rFonts w:hint="default" w:ascii="Arial Narrow" w:hAnsi="Arial Narrow" w:eastAsia="仿宋_GB2312" w:cs="Arial Narrow"/>
          <w:sz w:val="24"/>
        </w:rPr>
      </w:pPr>
    </w:p>
    <w:p w14:paraId="5DB0273A">
      <w:pPr>
        <w:pStyle w:val="6"/>
        <w:tabs>
          <w:tab w:val="right" w:leader="dot" w:pos="8788"/>
          <w:tab w:val="clear" w:pos="8778"/>
        </w:tabs>
        <w:rPr>
          <w:rFonts w:hint="default" w:ascii="Arial Narrow" w:hAnsi="Arial Narrow" w:eastAsia="仿宋_GB2312" w:cs="Arial Narrow"/>
          <w:sz w:val="32"/>
          <w:szCs w:val="40"/>
        </w:rPr>
      </w:pPr>
      <w:r>
        <w:rPr>
          <w:rStyle w:val="10"/>
          <w:rFonts w:hint="default" w:ascii="Arial Narrow" w:hAnsi="Arial Narrow" w:eastAsia="仿宋_GB2312" w:cs="Arial Narrow"/>
          <w:b w:val="0"/>
          <w:bCs w:val="0"/>
          <w:color w:val="auto"/>
          <w:szCs w:val="21"/>
          <w:u w:val="none"/>
        </w:rPr>
        <w:fldChar w:fldCharType="begin"/>
      </w:r>
      <w:r>
        <w:rPr>
          <w:rStyle w:val="10"/>
          <w:rFonts w:hint="default" w:ascii="Arial Narrow" w:hAnsi="Arial Narrow" w:eastAsia="仿宋_GB2312" w:cs="Arial Narrow"/>
          <w:b w:val="0"/>
          <w:bCs w:val="0"/>
          <w:color w:val="auto"/>
          <w:szCs w:val="21"/>
          <w:u w:val="none"/>
        </w:rPr>
        <w:instrText xml:space="preserve"> TOC \o "1-3" \h \z \u </w:instrText>
      </w:r>
      <w:r>
        <w:rPr>
          <w:rStyle w:val="10"/>
          <w:rFonts w:hint="default" w:ascii="Arial Narrow" w:hAnsi="Arial Narrow" w:eastAsia="仿宋_GB2312" w:cs="Arial Narrow"/>
          <w:b w:val="0"/>
          <w:bCs w:val="0"/>
          <w:color w:val="auto"/>
          <w:szCs w:val="21"/>
          <w:u w:val="none"/>
        </w:rPr>
        <w:fldChar w:fldCharType="separate"/>
      </w:r>
      <w:r>
        <w:rPr>
          <w:rFonts w:hint="default" w:ascii="Arial Narrow" w:hAnsi="Arial Narrow" w:eastAsia="仿宋_GB2312" w:cs="Arial Narrow"/>
          <w:bCs w:val="0"/>
          <w:color w:val="auto"/>
          <w:sz w:val="32"/>
          <w:szCs w:val="32"/>
          <w:u w:val="none"/>
        </w:rPr>
        <w:fldChar w:fldCharType="begin"/>
      </w:r>
      <w:r>
        <w:rPr>
          <w:rFonts w:hint="default" w:ascii="Arial Narrow" w:hAnsi="Arial Narrow" w:eastAsia="仿宋_GB2312" w:cs="Arial Narrow"/>
          <w:bCs w:val="0"/>
          <w:sz w:val="32"/>
          <w:szCs w:val="32"/>
        </w:rPr>
        <w:instrText xml:space="preserve"> HYPERLINK \l _Toc25741 </w:instrText>
      </w:r>
      <w:r>
        <w:rPr>
          <w:rFonts w:hint="default" w:ascii="Arial Narrow" w:hAnsi="Arial Narrow" w:eastAsia="仿宋_GB2312" w:cs="Arial Narrow"/>
          <w:bCs w:val="0"/>
          <w:sz w:val="32"/>
          <w:szCs w:val="32"/>
        </w:rPr>
        <w:fldChar w:fldCharType="separate"/>
      </w:r>
      <w:r>
        <w:rPr>
          <w:rFonts w:hint="default" w:ascii="Arial Narrow" w:hAnsi="Arial Narrow" w:eastAsia="仿宋_GB2312" w:cs="Arial Narrow"/>
          <w:sz w:val="32"/>
          <w:szCs w:val="40"/>
        </w:rPr>
        <w:t>一、基本情况</w:t>
      </w:r>
      <w:r>
        <w:rPr>
          <w:rFonts w:hint="default" w:ascii="Arial Narrow" w:hAnsi="Arial Narrow" w:eastAsia="仿宋_GB2312" w:cs="Arial Narrow"/>
          <w:sz w:val="32"/>
          <w:szCs w:val="40"/>
        </w:rPr>
        <w:tab/>
      </w:r>
      <w:r>
        <w:rPr>
          <w:rFonts w:hint="default" w:ascii="Arial Narrow" w:hAnsi="Arial Narrow" w:eastAsia="仿宋_GB2312" w:cs="Arial Narrow"/>
          <w:sz w:val="32"/>
          <w:szCs w:val="40"/>
        </w:rPr>
        <w:fldChar w:fldCharType="begin"/>
      </w:r>
      <w:r>
        <w:rPr>
          <w:rFonts w:hint="default" w:ascii="Arial Narrow" w:hAnsi="Arial Narrow" w:eastAsia="仿宋_GB2312" w:cs="Arial Narrow"/>
          <w:sz w:val="32"/>
          <w:szCs w:val="40"/>
        </w:rPr>
        <w:instrText xml:space="preserve"> PAGEREF _Toc25741 \h </w:instrText>
      </w:r>
      <w:r>
        <w:rPr>
          <w:rFonts w:hint="default" w:ascii="Arial Narrow" w:hAnsi="Arial Narrow" w:eastAsia="仿宋_GB2312" w:cs="Arial Narrow"/>
          <w:sz w:val="32"/>
          <w:szCs w:val="40"/>
        </w:rPr>
        <w:fldChar w:fldCharType="separate"/>
      </w:r>
      <w:r>
        <w:rPr>
          <w:rFonts w:hint="default" w:ascii="Arial Narrow" w:hAnsi="Arial Narrow" w:eastAsia="仿宋_GB2312" w:cs="Arial Narrow"/>
          <w:sz w:val="32"/>
          <w:szCs w:val="40"/>
        </w:rPr>
        <w:t>1</w:t>
      </w:r>
      <w:r>
        <w:rPr>
          <w:rFonts w:hint="default" w:ascii="Arial Narrow" w:hAnsi="Arial Narrow" w:eastAsia="仿宋_GB2312" w:cs="Arial Narrow"/>
          <w:sz w:val="32"/>
          <w:szCs w:val="40"/>
        </w:rPr>
        <w:fldChar w:fldCharType="end"/>
      </w:r>
      <w:r>
        <w:rPr>
          <w:rFonts w:hint="default" w:ascii="Arial Narrow" w:hAnsi="Arial Narrow" w:eastAsia="仿宋_GB2312" w:cs="Arial Narrow"/>
          <w:bCs w:val="0"/>
          <w:color w:val="auto"/>
          <w:sz w:val="32"/>
          <w:szCs w:val="32"/>
          <w:u w:val="none"/>
        </w:rPr>
        <w:fldChar w:fldCharType="end"/>
      </w:r>
    </w:p>
    <w:p w14:paraId="1B1801A7">
      <w:pPr>
        <w:pStyle w:val="6"/>
        <w:tabs>
          <w:tab w:val="right" w:leader="dot" w:pos="8788"/>
          <w:tab w:val="clear" w:pos="8778"/>
        </w:tabs>
        <w:rPr>
          <w:rFonts w:hint="default" w:ascii="Arial Narrow" w:hAnsi="Arial Narrow" w:eastAsia="仿宋_GB2312" w:cs="Arial Narrow"/>
          <w:b w:val="0"/>
          <w:bCs w:val="0"/>
          <w:sz w:val="32"/>
          <w:szCs w:val="4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_Toc30394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kern w:val="0"/>
          <w:sz w:val="32"/>
          <w:szCs w:val="40"/>
        </w:rPr>
        <w:t>（一）项目情况</w:t>
      </w:r>
      <w:r>
        <w:rPr>
          <w:rFonts w:hint="default" w:ascii="Arial Narrow" w:hAnsi="Arial Narrow" w:eastAsia="仿宋_GB2312" w:cs="Arial Narrow"/>
          <w:b w:val="0"/>
          <w:bCs w:val="0"/>
          <w:sz w:val="32"/>
          <w:szCs w:val="40"/>
        </w:rPr>
        <w:tab/>
      </w:r>
      <w:r>
        <w:rPr>
          <w:rFonts w:hint="default" w:ascii="Arial Narrow" w:hAnsi="Arial Narrow" w:eastAsia="仿宋_GB2312" w:cs="Arial Narrow"/>
          <w:b w:val="0"/>
          <w:bCs w:val="0"/>
          <w:sz w:val="32"/>
          <w:szCs w:val="40"/>
        </w:rPr>
        <w:fldChar w:fldCharType="begin"/>
      </w:r>
      <w:r>
        <w:rPr>
          <w:rFonts w:hint="default" w:ascii="Arial Narrow" w:hAnsi="Arial Narrow" w:eastAsia="仿宋_GB2312" w:cs="Arial Narrow"/>
          <w:b w:val="0"/>
          <w:bCs w:val="0"/>
          <w:sz w:val="32"/>
          <w:szCs w:val="40"/>
        </w:rPr>
        <w:instrText xml:space="preserve"> PAGEREF _Toc30394 \h </w:instrText>
      </w:r>
      <w:r>
        <w:rPr>
          <w:rFonts w:hint="default" w:ascii="Arial Narrow" w:hAnsi="Arial Narrow" w:eastAsia="仿宋_GB2312" w:cs="Arial Narrow"/>
          <w:b w:val="0"/>
          <w:bCs w:val="0"/>
          <w:sz w:val="32"/>
          <w:szCs w:val="40"/>
        </w:rPr>
        <w:fldChar w:fldCharType="separate"/>
      </w:r>
      <w:r>
        <w:rPr>
          <w:rFonts w:hint="default" w:ascii="Arial Narrow" w:hAnsi="Arial Narrow" w:eastAsia="仿宋_GB2312" w:cs="Arial Narrow"/>
          <w:b w:val="0"/>
          <w:bCs w:val="0"/>
          <w:sz w:val="32"/>
          <w:szCs w:val="40"/>
        </w:rPr>
        <w:t>1</w:t>
      </w:r>
      <w:r>
        <w:rPr>
          <w:rFonts w:hint="default" w:ascii="Arial Narrow" w:hAnsi="Arial Narrow" w:eastAsia="仿宋_GB2312"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63E4B9C7">
      <w:pPr>
        <w:pStyle w:val="6"/>
        <w:tabs>
          <w:tab w:val="right" w:leader="dot" w:pos="8788"/>
          <w:tab w:val="clear" w:pos="8778"/>
        </w:tabs>
        <w:rPr>
          <w:rFonts w:hint="default" w:ascii="Arial Narrow" w:hAnsi="Arial Narrow" w:eastAsia="仿宋_GB2312" w:cs="Arial Narrow"/>
          <w:sz w:val="32"/>
          <w:szCs w:val="40"/>
        </w:rPr>
      </w:pPr>
      <w:r>
        <w:rPr>
          <w:rFonts w:hint="default" w:ascii="Arial Narrow" w:hAnsi="Arial Narrow" w:eastAsia="仿宋_GB2312" w:cs="Arial Narrow"/>
          <w:color w:val="auto"/>
          <w:sz w:val="32"/>
          <w:szCs w:val="32"/>
          <w:u w:val="none"/>
        </w:rPr>
        <w:fldChar w:fldCharType="begin"/>
      </w:r>
      <w:r>
        <w:rPr>
          <w:rFonts w:hint="default" w:ascii="Arial Narrow" w:hAnsi="Arial Narrow" w:eastAsia="仿宋_GB2312" w:cs="Arial Narrow"/>
          <w:sz w:val="32"/>
          <w:szCs w:val="32"/>
        </w:rPr>
        <w:instrText xml:space="preserve"> HYPERLINK \l _Toc11126 </w:instrText>
      </w:r>
      <w:r>
        <w:rPr>
          <w:rFonts w:hint="default" w:ascii="Arial Narrow" w:hAnsi="Arial Narrow" w:eastAsia="仿宋_GB2312" w:cs="Arial Narrow"/>
          <w:sz w:val="32"/>
          <w:szCs w:val="32"/>
        </w:rPr>
        <w:fldChar w:fldCharType="separate"/>
      </w:r>
      <w:r>
        <w:rPr>
          <w:rFonts w:hint="default" w:ascii="Arial Narrow" w:hAnsi="Arial Narrow" w:eastAsia="仿宋_GB2312" w:cs="Arial Narrow"/>
          <w:sz w:val="32"/>
          <w:szCs w:val="40"/>
        </w:rPr>
        <w:t>二、绩效评价工作情况</w:t>
      </w:r>
      <w:r>
        <w:rPr>
          <w:rFonts w:hint="default" w:ascii="Arial Narrow" w:hAnsi="Arial Narrow" w:eastAsia="仿宋_GB2312" w:cs="Arial Narrow"/>
          <w:sz w:val="32"/>
          <w:szCs w:val="40"/>
        </w:rPr>
        <w:tab/>
      </w:r>
      <w:r>
        <w:rPr>
          <w:rFonts w:hint="default" w:ascii="Arial Narrow" w:hAnsi="Arial Narrow" w:eastAsia="仿宋_GB2312" w:cs="Arial Narrow"/>
          <w:sz w:val="32"/>
          <w:szCs w:val="40"/>
        </w:rPr>
        <w:fldChar w:fldCharType="begin"/>
      </w:r>
      <w:r>
        <w:rPr>
          <w:rFonts w:hint="default" w:ascii="Arial Narrow" w:hAnsi="Arial Narrow" w:eastAsia="仿宋_GB2312" w:cs="Arial Narrow"/>
          <w:sz w:val="32"/>
          <w:szCs w:val="40"/>
        </w:rPr>
        <w:instrText xml:space="preserve"> PAGEREF _Toc11126 \h </w:instrText>
      </w:r>
      <w:r>
        <w:rPr>
          <w:rFonts w:hint="default" w:ascii="Arial Narrow" w:hAnsi="Arial Narrow" w:eastAsia="仿宋_GB2312" w:cs="Arial Narrow"/>
          <w:sz w:val="32"/>
          <w:szCs w:val="40"/>
        </w:rPr>
        <w:fldChar w:fldCharType="separate"/>
      </w:r>
      <w:r>
        <w:rPr>
          <w:rFonts w:hint="default" w:ascii="Arial Narrow" w:hAnsi="Arial Narrow" w:eastAsia="仿宋_GB2312" w:cs="Arial Narrow"/>
          <w:sz w:val="32"/>
          <w:szCs w:val="40"/>
        </w:rPr>
        <w:t>1</w:t>
      </w:r>
      <w:r>
        <w:rPr>
          <w:rFonts w:hint="default" w:ascii="Arial Narrow" w:hAnsi="Arial Narrow" w:eastAsia="仿宋_GB2312" w:cs="Arial Narrow"/>
          <w:sz w:val="32"/>
          <w:szCs w:val="40"/>
        </w:rPr>
        <w:fldChar w:fldCharType="end"/>
      </w:r>
      <w:r>
        <w:rPr>
          <w:rFonts w:hint="default" w:ascii="Arial Narrow" w:hAnsi="Arial Narrow" w:eastAsia="仿宋_GB2312" w:cs="Arial Narrow"/>
          <w:color w:val="auto"/>
          <w:sz w:val="32"/>
          <w:szCs w:val="32"/>
          <w:u w:val="none"/>
        </w:rPr>
        <w:fldChar w:fldCharType="end"/>
      </w:r>
    </w:p>
    <w:p w14:paraId="794F56CC">
      <w:pPr>
        <w:pStyle w:val="6"/>
        <w:tabs>
          <w:tab w:val="right" w:leader="dot" w:pos="8788"/>
          <w:tab w:val="clear" w:pos="8778"/>
        </w:tabs>
        <w:rPr>
          <w:rFonts w:hint="default" w:ascii="Arial Narrow" w:hAnsi="Arial Narrow" w:eastAsia="仿宋_GB2312" w:cs="Arial Narrow"/>
          <w:b w:val="0"/>
          <w:bCs w:val="0"/>
          <w:sz w:val="32"/>
          <w:szCs w:val="4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_Toc16041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sz w:val="32"/>
          <w:szCs w:val="40"/>
        </w:rPr>
        <w:t>（一）绩效评价目的</w:t>
      </w:r>
      <w:r>
        <w:rPr>
          <w:rFonts w:hint="default" w:ascii="Arial Narrow" w:hAnsi="Arial Narrow" w:eastAsia="仿宋_GB2312" w:cs="Arial Narrow"/>
          <w:b w:val="0"/>
          <w:bCs w:val="0"/>
          <w:sz w:val="32"/>
          <w:szCs w:val="40"/>
        </w:rPr>
        <w:tab/>
      </w:r>
      <w:r>
        <w:rPr>
          <w:rFonts w:hint="default" w:ascii="Arial Narrow" w:hAnsi="Arial Narrow" w:eastAsia="仿宋_GB2312" w:cs="Arial Narrow"/>
          <w:b w:val="0"/>
          <w:bCs w:val="0"/>
          <w:sz w:val="32"/>
          <w:szCs w:val="40"/>
        </w:rPr>
        <w:fldChar w:fldCharType="begin"/>
      </w:r>
      <w:r>
        <w:rPr>
          <w:rFonts w:hint="default" w:ascii="Arial Narrow" w:hAnsi="Arial Narrow" w:eastAsia="仿宋_GB2312" w:cs="Arial Narrow"/>
          <w:b w:val="0"/>
          <w:bCs w:val="0"/>
          <w:sz w:val="32"/>
          <w:szCs w:val="40"/>
        </w:rPr>
        <w:instrText xml:space="preserve"> PAGEREF _Toc16041 \h </w:instrText>
      </w:r>
      <w:r>
        <w:rPr>
          <w:rFonts w:hint="default" w:ascii="Arial Narrow" w:hAnsi="Arial Narrow" w:eastAsia="仿宋_GB2312" w:cs="Arial Narrow"/>
          <w:b w:val="0"/>
          <w:bCs w:val="0"/>
          <w:sz w:val="32"/>
          <w:szCs w:val="40"/>
        </w:rPr>
        <w:fldChar w:fldCharType="separate"/>
      </w:r>
      <w:r>
        <w:rPr>
          <w:rFonts w:hint="default" w:ascii="Arial Narrow" w:hAnsi="Arial Narrow" w:eastAsia="仿宋_GB2312" w:cs="Arial Narrow"/>
          <w:b w:val="0"/>
          <w:bCs w:val="0"/>
          <w:sz w:val="32"/>
          <w:szCs w:val="40"/>
        </w:rPr>
        <w:t>1</w:t>
      </w:r>
      <w:r>
        <w:rPr>
          <w:rFonts w:hint="default" w:ascii="Arial Narrow" w:hAnsi="Arial Narrow" w:eastAsia="仿宋_GB2312"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71712CE0">
      <w:pPr>
        <w:pStyle w:val="6"/>
        <w:tabs>
          <w:tab w:val="right" w:leader="dot" w:pos="8788"/>
          <w:tab w:val="clear" w:pos="8778"/>
        </w:tabs>
        <w:rPr>
          <w:rFonts w:hint="default" w:ascii="Arial Narrow" w:hAnsi="Arial Narrow" w:eastAsia="仿宋_GB2312" w:cs="Arial Narrow"/>
          <w:b w:val="0"/>
          <w:bCs w:val="0"/>
          <w:sz w:val="32"/>
          <w:szCs w:val="4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_Toc22348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sz w:val="32"/>
          <w:szCs w:val="40"/>
        </w:rPr>
        <w:t>（二）绩效评价的基本内容</w:t>
      </w:r>
      <w:r>
        <w:rPr>
          <w:rFonts w:hint="default" w:ascii="Arial Narrow" w:hAnsi="Arial Narrow" w:eastAsia="仿宋_GB2312" w:cs="Arial Narrow"/>
          <w:b w:val="0"/>
          <w:bCs w:val="0"/>
          <w:sz w:val="32"/>
          <w:szCs w:val="40"/>
        </w:rPr>
        <w:tab/>
      </w:r>
      <w:r>
        <w:rPr>
          <w:rFonts w:hint="default" w:ascii="Arial Narrow" w:hAnsi="Arial Narrow" w:eastAsia="仿宋_GB2312" w:cs="Arial Narrow"/>
          <w:b w:val="0"/>
          <w:bCs w:val="0"/>
          <w:sz w:val="32"/>
          <w:szCs w:val="40"/>
        </w:rPr>
        <w:fldChar w:fldCharType="begin"/>
      </w:r>
      <w:r>
        <w:rPr>
          <w:rFonts w:hint="default" w:ascii="Arial Narrow" w:hAnsi="Arial Narrow" w:eastAsia="仿宋_GB2312" w:cs="Arial Narrow"/>
          <w:b w:val="0"/>
          <w:bCs w:val="0"/>
          <w:sz w:val="32"/>
          <w:szCs w:val="40"/>
        </w:rPr>
        <w:instrText xml:space="preserve"> PAGEREF _Toc22348 \h </w:instrText>
      </w:r>
      <w:r>
        <w:rPr>
          <w:rFonts w:hint="default" w:ascii="Arial Narrow" w:hAnsi="Arial Narrow" w:eastAsia="仿宋_GB2312" w:cs="Arial Narrow"/>
          <w:b w:val="0"/>
          <w:bCs w:val="0"/>
          <w:sz w:val="32"/>
          <w:szCs w:val="40"/>
        </w:rPr>
        <w:fldChar w:fldCharType="separate"/>
      </w:r>
      <w:r>
        <w:rPr>
          <w:rFonts w:hint="default" w:ascii="Arial Narrow" w:hAnsi="Arial Narrow" w:eastAsia="仿宋_GB2312" w:cs="Arial Narrow"/>
          <w:b w:val="0"/>
          <w:bCs w:val="0"/>
          <w:sz w:val="32"/>
          <w:szCs w:val="40"/>
        </w:rPr>
        <w:t>1</w:t>
      </w:r>
      <w:r>
        <w:rPr>
          <w:rFonts w:hint="default" w:ascii="Arial Narrow" w:hAnsi="Arial Narrow" w:eastAsia="仿宋_GB2312"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321CC797">
      <w:pPr>
        <w:pStyle w:val="6"/>
        <w:tabs>
          <w:tab w:val="right" w:leader="dot" w:pos="8788"/>
          <w:tab w:val="clear" w:pos="8778"/>
        </w:tabs>
        <w:rPr>
          <w:rFonts w:hint="default" w:ascii="Arial Narrow" w:hAnsi="Arial Narrow" w:eastAsia="仿宋_GB2312" w:cs="Arial Narrow"/>
          <w:b w:val="0"/>
          <w:bCs w:val="0"/>
          <w:sz w:val="32"/>
          <w:szCs w:val="4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_Toc9055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sz w:val="32"/>
          <w:szCs w:val="40"/>
        </w:rPr>
        <w:t>（三）绩效评价依据</w:t>
      </w:r>
      <w:r>
        <w:rPr>
          <w:rFonts w:hint="default" w:ascii="Arial Narrow" w:hAnsi="Arial Narrow" w:eastAsia="仿宋_GB2312" w:cs="Arial Narrow"/>
          <w:b w:val="0"/>
          <w:bCs w:val="0"/>
          <w:sz w:val="32"/>
          <w:szCs w:val="40"/>
        </w:rPr>
        <w:tab/>
      </w:r>
      <w:r>
        <w:rPr>
          <w:rFonts w:hint="default" w:ascii="Arial Narrow" w:hAnsi="Arial Narrow" w:eastAsia="仿宋_GB2312" w:cs="Arial Narrow"/>
          <w:b w:val="0"/>
          <w:bCs w:val="0"/>
          <w:sz w:val="32"/>
          <w:szCs w:val="40"/>
        </w:rPr>
        <w:fldChar w:fldCharType="begin"/>
      </w:r>
      <w:r>
        <w:rPr>
          <w:rFonts w:hint="default" w:ascii="Arial Narrow" w:hAnsi="Arial Narrow" w:eastAsia="仿宋_GB2312" w:cs="Arial Narrow"/>
          <w:b w:val="0"/>
          <w:bCs w:val="0"/>
          <w:sz w:val="32"/>
          <w:szCs w:val="40"/>
        </w:rPr>
        <w:instrText xml:space="preserve"> PAGEREF _Toc9055 \h </w:instrText>
      </w:r>
      <w:r>
        <w:rPr>
          <w:rFonts w:hint="default" w:ascii="Arial Narrow" w:hAnsi="Arial Narrow" w:eastAsia="仿宋_GB2312" w:cs="Arial Narrow"/>
          <w:b w:val="0"/>
          <w:bCs w:val="0"/>
          <w:sz w:val="32"/>
          <w:szCs w:val="40"/>
        </w:rPr>
        <w:fldChar w:fldCharType="separate"/>
      </w:r>
      <w:r>
        <w:rPr>
          <w:rFonts w:hint="default" w:ascii="Arial Narrow" w:hAnsi="Arial Narrow" w:eastAsia="仿宋_GB2312" w:cs="Arial Narrow"/>
          <w:b w:val="0"/>
          <w:bCs w:val="0"/>
          <w:sz w:val="32"/>
          <w:szCs w:val="40"/>
        </w:rPr>
        <w:t>2</w:t>
      </w:r>
      <w:r>
        <w:rPr>
          <w:rFonts w:hint="default" w:ascii="Arial Narrow" w:hAnsi="Arial Narrow" w:eastAsia="仿宋_GB2312"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6B45F965">
      <w:pPr>
        <w:pStyle w:val="6"/>
        <w:tabs>
          <w:tab w:val="right" w:leader="dot" w:pos="8788"/>
          <w:tab w:val="clear" w:pos="8778"/>
        </w:tabs>
        <w:rPr>
          <w:rFonts w:hint="default" w:ascii="Arial Narrow" w:hAnsi="Arial Narrow" w:eastAsia="仿宋_GB2312" w:cs="Arial Narrow"/>
          <w:b w:val="0"/>
          <w:bCs w:val="0"/>
          <w:sz w:val="32"/>
          <w:szCs w:val="4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_Toc5917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sz w:val="32"/>
          <w:szCs w:val="40"/>
        </w:rPr>
        <w:t>（四）绩效评价原则和指标体系</w:t>
      </w:r>
      <w:r>
        <w:rPr>
          <w:rFonts w:hint="default" w:ascii="Arial Narrow" w:hAnsi="Arial Narrow" w:eastAsia="仿宋_GB2312" w:cs="Arial Narrow"/>
          <w:b w:val="0"/>
          <w:bCs w:val="0"/>
          <w:sz w:val="32"/>
          <w:szCs w:val="40"/>
        </w:rPr>
        <w:tab/>
      </w:r>
      <w:r>
        <w:rPr>
          <w:rFonts w:hint="default" w:ascii="Arial Narrow" w:hAnsi="Arial Narrow" w:eastAsia="仿宋_GB2312" w:cs="Arial Narrow"/>
          <w:b w:val="0"/>
          <w:bCs w:val="0"/>
          <w:sz w:val="32"/>
          <w:szCs w:val="40"/>
        </w:rPr>
        <w:fldChar w:fldCharType="begin"/>
      </w:r>
      <w:r>
        <w:rPr>
          <w:rFonts w:hint="default" w:ascii="Arial Narrow" w:hAnsi="Arial Narrow" w:eastAsia="仿宋_GB2312" w:cs="Arial Narrow"/>
          <w:b w:val="0"/>
          <w:bCs w:val="0"/>
          <w:sz w:val="32"/>
          <w:szCs w:val="40"/>
        </w:rPr>
        <w:instrText xml:space="preserve"> PAGEREF _Toc5917 \h </w:instrText>
      </w:r>
      <w:r>
        <w:rPr>
          <w:rFonts w:hint="default" w:ascii="Arial Narrow" w:hAnsi="Arial Narrow" w:eastAsia="仿宋_GB2312" w:cs="Arial Narrow"/>
          <w:b w:val="0"/>
          <w:bCs w:val="0"/>
          <w:sz w:val="32"/>
          <w:szCs w:val="40"/>
        </w:rPr>
        <w:fldChar w:fldCharType="separate"/>
      </w:r>
      <w:r>
        <w:rPr>
          <w:rFonts w:hint="default" w:ascii="Arial Narrow" w:hAnsi="Arial Narrow" w:eastAsia="仿宋_GB2312" w:cs="Arial Narrow"/>
          <w:b w:val="0"/>
          <w:bCs w:val="0"/>
          <w:sz w:val="32"/>
          <w:szCs w:val="40"/>
        </w:rPr>
        <w:t>2</w:t>
      </w:r>
      <w:r>
        <w:rPr>
          <w:rFonts w:hint="default" w:ascii="Arial Narrow" w:hAnsi="Arial Narrow" w:eastAsia="仿宋_GB2312"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79F22E83">
      <w:pPr>
        <w:pStyle w:val="6"/>
        <w:tabs>
          <w:tab w:val="right" w:leader="dot" w:pos="8788"/>
          <w:tab w:val="clear" w:pos="8778"/>
        </w:tabs>
        <w:rPr>
          <w:rFonts w:hint="default" w:ascii="Arial Narrow" w:hAnsi="Arial Narrow" w:eastAsia="仿宋_GB2312" w:cs="Arial Narrow"/>
          <w:b w:val="0"/>
          <w:bCs w:val="0"/>
          <w:sz w:val="32"/>
          <w:szCs w:val="4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_Toc9776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sz w:val="32"/>
          <w:szCs w:val="40"/>
        </w:rPr>
        <w:t>（五）绩效评价标准和评价方法</w:t>
      </w:r>
      <w:r>
        <w:rPr>
          <w:rFonts w:hint="default" w:ascii="Arial Narrow" w:hAnsi="Arial Narrow" w:eastAsia="仿宋_GB2312" w:cs="Arial Narrow"/>
          <w:b w:val="0"/>
          <w:bCs w:val="0"/>
          <w:sz w:val="32"/>
          <w:szCs w:val="40"/>
        </w:rPr>
        <w:tab/>
      </w:r>
      <w:r>
        <w:rPr>
          <w:rFonts w:hint="default" w:ascii="Arial Narrow" w:hAnsi="Arial Narrow" w:eastAsia="仿宋_GB2312" w:cs="Arial Narrow"/>
          <w:b w:val="0"/>
          <w:bCs w:val="0"/>
          <w:sz w:val="32"/>
          <w:szCs w:val="40"/>
        </w:rPr>
        <w:fldChar w:fldCharType="begin"/>
      </w:r>
      <w:r>
        <w:rPr>
          <w:rFonts w:hint="default" w:ascii="Arial Narrow" w:hAnsi="Arial Narrow" w:eastAsia="仿宋_GB2312" w:cs="Arial Narrow"/>
          <w:b w:val="0"/>
          <w:bCs w:val="0"/>
          <w:sz w:val="32"/>
          <w:szCs w:val="40"/>
        </w:rPr>
        <w:instrText xml:space="preserve"> PAGEREF _Toc9776 \h </w:instrText>
      </w:r>
      <w:r>
        <w:rPr>
          <w:rFonts w:hint="default" w:ascii="Arial Narrow" w:hAnsi="Arial Narrow" w:eastAsia="仿宋_GB2312" w:cs="Arial Narrow"/>
          <w:b w:val="0"/>
          <w:bCs w:val="0"/>
          <w:sz w:val="32"/>
          <w:szCs w:val="40"/>
        </w:rPr>
        <w:fldChar w:fldCharType="separate"/>
      </w:r>
      <w:r>
        <w:rPr>
          <w:rFonts w:hint="default" w:ascii="Arial Narrow" w:hAnsi="Arial Narrow" w:eastAsia="仿宋_GB2312" w:cs="Arial Narrow"/>
          <w:b w:val="0"/>
          <w:bCs w:val="0"/>
          <w:sz w:val="32"/>
          <w:szCs w:val="40"/>
        </w:rPr>
        <w:t>4</w:t>
      </w:r>
      <w:r>
        <w:rPr>
          <w:rFonts w:hint="default" w:ascii="Arial Narrow" w:hAnsi="Arial Narrow" w:eastAsia="仿宋_GB2312"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70012427">
      <w:pPr>
        <w:pStyle w:val="6"/>
        <w:tabs>
          <w:tab w:val="right" w:leader="dot" w:pos="8788"/>
          <w:tab w:val="clear" w:pos="8778"/>
        </w:tabs>
        <w:rPr>
          <w:rFonts w:hint="default" w:ascii="Arial Narrow" w:hAnsi="Arial Narrow" w:eastAsia="仿宋_GB2312" w:cs="Arial Narrow"/>
          <w:b w:val="0"/>
          <w:bCs w:val="0"/>
          <w:sz w:val="32"/>
          <w:szCs w:val="4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_Toc9092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sz w:val="32"/>
          <w:szCs w:val="40"/>
        </w:rPr>
        <w:t>（六）绩效评价工作过程</w:t>
      </w:r>
      <w:r>
        <w:rPr>
          <w:rFonts w:hint="default" w:ascii="Arial Narrow" w:hAnsi="Arial Narrow" w:eastAsia="仿宋_GB2312" w:cs="Arial Narrow"/>
          <w:b w:val="0"/>
          <w:bCs w:val="0"/>
          <w:sz w:val="32"/>
          <w:szCs w:val="40"/>
        </w:rPr>
        <w:tab/>
      </w:r>
      <w:r>
        <w:rPr>
          <w:rFonts w:hint="default" w:ascii="Arial Narrow" w:hAnsi="Arial Narrow" w:eastAsia="仿宋_GB2312" w:cs="Arial Narrow"/>
          <w:b w:val="0"/>
          <w:bCs w:val="0"/>
          <w:sz w:val="32"/>
          <w:szCs w:val="40"/>
        </w:rPr>
        <w:fldChar w:fldCharType="begin"/>
      </w:r>
      <w:r>
        <w:rPr>
          <w:rFonts w:hint="default" w:ascii="Arial Narrow" w:hAnsi="Arial Narrow" w:eastAsia="仿宋_GB2312" w:cs="Arial Narrow"/>
          <w:b w:val="0"/>
          <w:bCs w:val="0"/>
          <w:sz w:val="32"/>
          <w:szCs w:val="40"/>
        </w:rPr>
        <w:instrText xml:space="preserve"> PAGEREF _Toc9092 \h </w:instrText>
      </w:r>
      <w:r>
        <w:rPr>
          <w:rFonts w:hint="default" w:ascii="Arial Narrow" w:hAnsi="Arial Narrow" w:eastAsia="仿宋_GB2312" w:cs="Arial Narrow"/>
          <w:b w:val="0"/>
          <w:bCs w:val="0"/>
          <w:sz w:val="32"/>
          <w:szCs w:val="40"/>
        </w:rPr>
        <w:fldChar w:fldCharType="separate"/>
      </w:r>
      <w:r>
        <w:rPr>
          <w:rFonts w:hint="default" w:ascii="Arial Narrow" w:hAnsi="Arial Narrow" w:eastAsia="仿宋_GB2312" w:cs="Arial Narrow"/>
          <w:b w:val="0"/>
          <w:bCs w:val="0"/>
          <w:sz w:val="32"/>
          <w:szCs w:val="40"/>
        </w:rPr>
        <w:t>5</w:t>
      </w:r>
      <w:r>
        <w:rPr>
          <w:rFonts w:hint="default" w:ascii="Arial Narrow" w:hAnsi="Arial Narrow" w:eastAsia="仿宋_GB2312"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4E7328DD">
      <w:pPr>
        <w:pStyle w:val="6"/>
        <w:tabs>
          <w:tab w:val="right" w:leader="dot" w:pos="8788"/>
          <w:tab w:val="clear" w:pos="8778"/>
        </w:tabs>
        <w:rPr>
          <w:rFonts w:hint="default" w:ascii="Arial Narrow" w:hAnsi="Arial Narrow" w:eastAsia="仿宋_GB2312" w:cs="Arial Narrow"/>
          <w:sz w:val="32"/>
          <w:szCs w:val="40"/>
        </w:rPr>
      </w:pPr>
      <w:r>
        <w:rPr>
          <w:rFonts w:hint="default" w:ascii="Arial Narrow" w:hAnsi="Arial Narrow" w:eastAsia="仿宋_GB2312" w:cs="Arial Narrow"/>
          <w:color w:val="auto"/>
          <w:sz w:val="32"/>
          <w:szCs w:val="32"/>
          <w:u w:val="none"/>
        </w:rPr>
        <w:fldChar w:fldCharType="begin"/>
      </w:r>
      <w:r>
        <w:rPr>
          <w:rFonts w:hint="default" w:ascii="Arial Narrow" w:hAnsi="Arial Narrow" w:eastAsia="仿宋_GB2312" w:cs="Arial Narrow"/>
          <w:sz w:val="32"/>
          <w:szCs w:val="32"/>
        </w:rPr>
        <w:instrText xml:space="preserve"> HYPERLINK \l _Toc12176 </w:instrText>
      </w:r>
      <w:r>
        <w:rPr>
          <w:rFonts w:hint="default" w:ascii="Arial Narrow" w:hAnsi="Arial Narrow" w:eastAsia="仿宋_GB2312" w:cs="Arial Narrow"/>
          <w:sz w:val="32"/>
          <w:szCs w:val="32"/>
        </w:rPr>
        <w:fldChar w:fldCharType="separate"/>
      </w:r>
      <w:r>
        <w:rPr>
          <w:rFonts w:hint="default" w:ascii="Arial Narrow" w:hAnsi="Arial Narrow" w:eastAsia="仿宋_GB2312" w:cs="Arial Narrow"/>
          <w:sz w:val="32"/>
          <w:szCs w:val="40"/>
        </w:rPr>
        <w:t>三、项目评价结论</w:t>
      </w:r>
      <w:r>
        <w:rPr>
          <w:rFonts w:hint="default" w:ascii="Arial Narrow" w:hAnsi="Arial Narrow" w:eastAsia="仿宋_GB2312" w:cs="Arial Narrow"/>
          <w:sz w:val="32"/>
          <w:szCs w:val="40"/>
        </w:rPr>
        <w:tab/>
      </w:r>
      <w:r>
        <w:rPr>
          <w:rFonts w:hint="default" w:ascii="Arial Narrow" w:hAnsi="Arial Narrow" w:eastAsia="仿宋_GB2312" w:cs="Arial Narrow"/>
          <w:sz w:val="32"/>
          <w:szCs w:val="40"/>
        </w:rPr>
        <w:fldChar w:fldCharType="begin"/>
      </w:r>
      <w:r>
        <w:rPr>
          <w:rFonts w:hint="default" w:ascii="Arial Narrow" w:hAnsi="Arial Narrow" w:eastAsia="仿宋_GB2312" w:cs="Arial Narrow"/>
          <w:sz w:val="32"/>
          <w:szCs w:val="40"/>
        </w:rPr>
        <w:instrText xml:space="preserve"> PAGEREF _Toc12176 \h </w:instrText>
      </w:r>
      <w:r>
        <w:rPr>
          <w:rFonts w:hint="default" w:ascii="Arial Narrow" w:hAnsi="Arial Narrow" w:eastAsia="仿宋_GB2312" w:cs="Arial Narrow"/>
          <w:sz w:val="32"/>
          <w:szCs w:val="40"/>
        </w:rPr>
        <w:fldChar w:fldCharType="separate"/>
      </w:r>
      <w:r>
        <w:rPr>
          <w:rFonts w:hint="default" w:ascii="Arial Narrow" w:hAnsi="Arial Narrow" w:eastAsia="仿宋_GB2312" w:cs="Arial Narrow"/>
          <w:sz w:val="32"/>
          <w:szCs w:val="40"/>
        </w:rPr>
        <w:t>5</w:t>
      </w:r>
      <w:r>
        <w:rPr>
          <w:rFonts w:hint="default" w:ascii="Arial Narrow" w:hAnsi="Arial Narrow" w:eastAsia="仿宋_GB2312" w:cs="Arial Narrow"/>
          <w:sz w:val="32"/>
          <w:szCs w:val="40"/>
        </w:rPr>
        <w:fldChar w:fldCharType="end"/>
      </w:r>
      <w:r>
        <w:rPr>
          <w:rFonts w:hint="default" w:ascii="Arial Narrow" w:hAnsi="Arial Narrow" w:eastAsia="仿宋_GB2312" w:cs="Arial Narrow"/>
          <w:color w:val="auto"/>
          <w:sz w:val="32"/>
          <w:szCs w:val="32"/>
          <w:u w:val="none"/>
        </w:rPr>
        <w:fldChar w:fldCharType="end"/>
      </w:r>
    </w:p>
    <w:p w14:paraId="3D3407BC">
      <w:pPr>
        <w:pStyle w:val="6"/>
        <w:tabs>
          <w:tab w:val="right" w:leader="dot" w:pos="8788"/>
          <w:tab w:val="clear" w:pos="8778"/>
        </w:tabs>
        <w:rPr>
          <w:rFonts w:hint="default" w:ascii="Arial Narrow" w:hAnsi="Arial Narrow" w:eastAsia="仿宋_GB2312" w:cs="Arial Narrow"/>
          <w:sz w:val="32"/>
          <w:szCs w:val="40"/>
        </w:rPr>
      </w:pPr>
      <w:r>
        <w:rPr>
          <w:rFonts w:hint="default" w:ascii="Arial Narrow" w:hAnsi="Arial Narrow" w:eastAsia="仿宋_GB2312" w:cs="Arial Narrow"/>
          <w:color w:val="auto"/>
          <w:sz w:val="32"/>
          <w:szCs w:val="32"/>
          <w:u w:val="none"/>
        </w:rPr>
        <w:fldChar w:fldCharType="begin"/>
      </w:r>
      <w:r>
        <w:rPr>
          <w:rFonts w:hint="default" w:ascii="Arial Narrow" w:hAnsi="Arial Narrow" w:eastAsia="仿宋_GB2312" w:cs="Arial Narrow"/>
          <w:sz w:val="32"/>
          <w:szCs w:val="32"/>
        </w:rPr>
        <w:instrText xml:space="preserve"> HYPERLINK \l _Toc13378 </w:instrText>
      </w:r>
      <w:r>
        <w:rPr>
          <w:rFonts w:hint="default" w:ascii="Arial Narrow" w:hAnsi="Arial Narrow" w:eastAsia="仿宋_GB2312" w:cs="Arial Narrow"/>
          <w:sz w:val="32"/>
          <w:szCs w:val="32"/>
        </w:rPr>
        <w:fldChar w:fldCharType="separate"/>
      </w:r>
      <w:r>
        <w:rPr>
          <w:rFonts w:hint="default" w:ascii="Arial Narrow" w:hAnsi="Arial Narrow" w:eastAsia="仿宋_GB2312" w:cs="Arial Narrow"/>
          <w:sz w:val="32"/>
          <w:szCs w:val="40"/>
        </w:rPr>
        <w:t>四、综合评价情况</w:t>
      </w:r>
      <w:r>
        <w:rPr>
          <w:rFonts w:hint="default" w:ascii="Arial Narrow" w:hAnsi="Arial Narrow" w:eastAsia="仿宋_GB2312" w:cs="Arial Narrow"/>
          <w:sz w:val="32"/>
          <w:szCs w:val="40"/>
        </w:rPr>
        <w:tab/>
      </w:r>
      <w:r>
        <w:rPr>
          <w:rFonts w:hint="default" w:ascii="Arial Narrow" w:hAnsi="Arial Narrow" w:eastAsia="仿宋_GB2312" w:cs="Arial Narrow"/>
          <w:sz w:val="32"/>
          <w:szCs w:val="40"/>
        </w:rPr>
        <w:fldChar w:fldCharType="begin"/>
      </w:r>
      <w:r>
        <w:rPr>
          <w:rFonts w:hint="default" w:ascii="Arial Narrow" w:hAnsi="Arial Narrow" w:eastAsia="仿宋_GB2312" w:cs="Arial Narrow"/>
          <w:sz w:val="32"/>
          <w:szCs w:val="40"/>
        </w:rPr>
        <w:instrText xml:space="preserve"> PAGEREF _Toc13378 \h </w:instrText>
      </w:r>
      <w:r>
        <w:rPr>
          <w:rFonts w:hint="default" w:ascii="Arial Narrow" w:hAnsi="Arial Narrow" w:eastAsia="仿宋_GB2312" w:cs="Arial Narrow"/>
          <w:sz w:val="32"/>
          <w:szCs w:val="40"/>
        </w:rPr>
        <w:fldChar w:fldCharType="separate"/>
      </w:r>
      <w:r>
        <w:rPr>
          <w:rFonts w:hint="default" w:ascii="Arial Narrow" w:hAnsi="Arial Narrow" w:eastAsia="仿宋_GB2312" w:cs="Arial Narrow"/>
          <w:sz w:val="32"/>
          <w:szCs w:val="40"/>
        </w:rPr>
        <w:t>5</w:t>
      </w:r>
      <w:r>
        <w:rPr>
          <w:rFonts w:hint="default" w:ascii="Arial Narrow" w:hAnsi="Arial Narrow" w:eastAsia="仿宋_GB2312" w:cs="Arial Narrow"/>
          <w:sz w:val="32"/>
          <w:szCs w:val="40"/>
        </w:rPr>
        <w:fldChar w:fldCharType="end"/>
      </w:r>
      <w:r>
        <w:rPr>
          <w:rFonts w:hint="default" w:ascii="Arial Narrow" w:hAnsi="Arial Narrow" w:eastAsia="仿宋_GB2312" w:cs="Arial Narrow"/>
          <w:color w:val="auto"/>
          <w:sz w:val="32"/>
          <w:szCs w:val="32"/>
          <w:u w:val="none"/>
        </w:rPr>
        <w:fldChar w:fldCharType="end"/>
      </w:r>
    </w:p>
    <w:p w14:paraId="66AEF244">
      <w:pPr>
        <w:pStyle w:val="6"/>
        <w:tabs>
          <w:tab w:val="right" w:leader="dot" w:pos="8788"/>
          <w:tab w:val="clear" w:pos="8778"/>
        </w:tabs>
        <w:rPr>
          <w:rFonts w:hint="default" w:ascii="Arial Narrow" w:hAnsi="Arial Narrow" w:eastAsia="仿宋_GB2312" w:cs="Arial Narrow"/>
          <w:b w:val="0"/>
          <w:bCs w:val="0"/>
          <w:sz w:val="32"/>
          <w:szCs w:val="4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_Toc19673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sz w:val="32"/>
          <w:szCs w:val="40"/>
        </w:rPr>
        <w:t>（一）资金管理</w:t>
      </w:r>
      <w:r>
        <w:rPr>
          <w:rFonts w:hint="default" w:ascii="Arial Narrow" w:hAnsi="Arial Narrow" w:eastAsia="仿宋_GB2312" w:cs="Arial Narrow"/>
          <w:b w:val="0"/>
          <w:bCs w:val="0"/>
          <w:sz w:val="32"/>
          <w:szCs w:val="40"/>
        </w:rPr>
        <w:tab/>
      </w:r>
      <w:r>
        <w:rPr>
          <w:rFonts w:hint="default" w:ascii="Arial Narrow" w:hAnsi="Arial Narrow" w:eastAsia="仿宋_GB2312" w:cs="Arial Narrow"/>
          <w:b w:val="0"/>
          <w:bCs w:val="0"/>
          <w:sz w:val="32"/>
          <w:szCs w:val="40"/>
        </w:rPr>
        <w:fldChar w:fldCharType="begin"/>
      </w:r>
      <w:r>
        <w:rPr>
          <w:rFonts w:hint="default" w:ascii="Arial Narrow" w:hAnsi="Arial Narrow" w:eastAsia="仿宋_GB2312" w:cs="Arial Narrow"/>
          <w:b w:val="0"/>
          <w:bCs w:val="0"/>
          <w:sz w:val="32"/>
          <w:szCs w:val="40"/>
        </w:rPr>
        <w:instrText xml:space="preserve"> PAGEREF _Toc19673 \h </w:instrText>
      </w:r>
      <w:r>
        <w:rPr>
          <w:rFonts w:hint="default" w:ascii="Arial Narrow" w:hAnsi="Arial Narrow" w:eastAsia="仿宋_GB2312" w:cs="Arial Narrow"/>
          <w:b w:val="0"/>
          <w:bCs w:val="0"/>
          <w:sz w:val="32"/>
          <w:szCs w:val="40"/>
        </w:rPr>
        <w:fldChar w:fldCharType="separate"/>
      </w:r>
      <w:r>
        <w:rPr>
          <w:rFonts w:hint="default" w:ascii="Arial Narrow" w:hAnsi="Arial Narrow" w:eastAsia="仿宋_GB2312" w:cs="Arial Narrow"/>
          <w:b w:val="0"/>
          <w:bCs w:val="0"/>
          <w:sz w:val="32"/>
          <w:szCs w:val="40"/>
        </w:rPr>
        <w:t>5</w:t>
      </w:r>
      <w:r>
        <w:rPr>
          <w:rFonts w:hint="default" w:ascii="Arial Narrow" w:hAnsi="Arial Narrow" w:eastAsia="仿宋_GB2312"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2373D6AD">
      <w:pPr>
        <w:pStyle w:val="6"/>
        <w:tabs>
          <w:tab w:val="right" w:leader="dot" w:pos="8788"/>
          <w:tab w:val="clear" w:pos="8778"/>
        </w:tabs>
        <w:rPr>
          <w:rFonts w:hint="default" w:ascii="Arial Narrow" w:hAnsi="Arial Narrow" w:eastAsia="仿宋_GB2312" w:cs="Arial Narrow"/>
          <w:b w:val="0"/>
          <w:bCs w:val="0"/>
          <w:sz w:val="32"/>
          <w:szCs w:val="4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_Toc27518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sz w:val="32"/>
          <w:szCs w:val="40"/>
        </w:rPr>
        <w:t>（二）项目管理</w:t>
      </w:r>
      <w:r>
        <w:rPr>
          <w:rFonts w:hint="default" w:ascii="Arial Narrow" w:hAnsi="Arial Narrow" w:eastAsia="仿宋_GB2312" w:cs="Arial Narrow"/>
          <w:b w:val="0"/>
          <w:bCs w:val="0"/>
          <w:sz w:val="32"/>
          <w:szCs w:val="40"/>
        </w:rPr>
        <w:tab/>
      </w:r>
      <w:r>
        <w:rPr>
          <w:rFonts w:hint="default" w:ascii="Arial Narrow" w:hAnsi="Arial Narrow" w:eastAsia="仿宋_GB2312" w:cs="Arial Narrow"/>
          <w:b w:val="0"/>
          <w:bCs w:val="0"/>
          <w:sz w:val="32"/>
          <w:szCs w:val="40"/>
        </w:rPr>
        <w:fldChar w:fldCharType="begin"/>
      </w:r>
      <w:r>
        <w:rPr>
          <w:rFonts w:hint="default" w:ascii="Arial Narrow" w:hAnsi="Arial Narrow" w:eastAsia="仿宋_GB2312" w:cs="Arial Narrow"/>
          <w:b w:val="0"/>
          <w:bCs w:val="0"/>
          <w:sz w:val="32"/>
          <w:szCs w:val="40"/>
        </w:rPr>
        <w:instrText xml:space="preserve"> PAGEREF _Toc27518 \h </w:instrText>
      </w:r>
      <w:r>
        <w:rPr>
          <w:rFonts w:hint="default" w:ascii="Arial Narrow" w:hAnsi="Arial Narrow" w:eastAsia="仿宋_GB2312" w:cs="Arial Narrow"/>
          <w:b w:val="0"/>
          <w:bCs w:val="0"/>
          <w:sz w:val="32"/>
          <w:szCs w:val="40"/>
        </w:rPr>
        <w:fldChar w:fldCharType="separate"/>
      </w:r>
      <w:r>
        <w:rPr>
          <w:rFonts w:hint="default" w:ascii="Arial Narrow" w:hAnsi="Arial Narrow" w:eastAsia="仿宋_GB2312" w:cs="Arial Narrow"/>
          <w:b w:val="0"/>
          <w:bCs w:val="0"/>
          <w:sz w:val="32"/>
          <w:szCs w:val="40"/>
        </w:rPr>
        <w:t>6</w:t>
      </w:r>
      <w:r>
        <w:rPr>
          <w:rFonts w:hint="default" w:ascii="Arial Narrow" w:hAnsi="Arial Narrow" w:eastAsia="仿宋_GB2312"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0A9AB712">
      <w:pPr>
        <w:pStyle w:val="6"/>
        <w:tabs>
          <w:tab w:val="right" w:leader="dot" w:pos="8788"/>
          <w:tab w:val="clear" w:pos="8778"/>
        </w:tabs>
        <w:rPr>
          <w:rFonts w:hint="default" w:ascii="Arial Narrow" w:hAnsi="Arial Narrow" w:eastAsia="仿宋_GB2312" w:cs="Arial Narrow"/>
          <w:b w:val="0"/>
          <w:bCs w:val="0"/>
          <w:sz w:val="32"/>
          <w:szCs w:val="4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_Toc255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sz w:val="32"/>
          <w:szCs w:val="40"/>
        </w:rPr>
        <w:t>（三）使用成效及通报情况</w:t>
      </w:r>
      <w:r>
        <w:rPr>
          <w:rFonts w:hint="default" w:ascii="Arial Narrow" w:hAnsi="Arial Narrow" w:eastAsia="仿宋_GB2312" w:cs="Arial Narrow"/>
          <w:b w:val="0"/>
          <w:bCs w:val="0"/>
          <w:sz w:val="32"/>
          <w:szCs w:val="40"/>
        </w:rPr>
        <w:tab/>
      </w:r>
      <w:r>
        <w:rPr>
          <w:rFonts w:hint="default" w:ascii="Arial Narrow" w:hAnsi="Arial Narrow" w:eastAsia="仿宋_GB2312" w:cs="Arial Narrow"/>
          <w:b w:val="0"/>
          <w:bCs w:val="0"/>
          <w:sz w:val="32"/>
          <w:szCs w:val="40"/>
        </w:rPr>
        <w:fldChar w:fldCharType="begin"/>
      </w:r>
      <w:r>
        <w:rPr>
          <w:rFonts w:hint="default" w:ascii="Arial Narrow" w:hAnsi="Arial Narrow" w:eastAsia="仿宋_GB2312" w:cs="Arial Narrow"/>
          <w:b w:val="0"/>
          <w:bCs w:val="0"/>
          <w:sz w:val="32"/>
          <w:szCs w:val="40"/>
        </w:rPr>
        <w:instrText xml:space="preserve"> PAGEREF _Toc255 \h </w:instrText>
      </w:r>
      <w:r>
        <w:rPr>
          <w:rFonts w:hint="default" w:ascii="Arial Narrow" w:hAnsi="Arial Narrow" w:eastAsia="仿宋_GB2312" w:cs="Arial Narrow"/>
          <w:b w:val="0"/>
          <w:bCs w:val="0"/>
          <w:sz w:val="32"/>
          <w:szCs w:val="40"/>
        </w:rPr>
        <w:fldChar w:fldCharType="separate"/>
      </w:r>
      <w:r>
        <w:rPr>
          <w:rFonts w:hint="default" w:ascii="Arial Narrow" w:hAnsi="Arial Narrow" w:eastAsia="仿宋_GB2312" w:cs="Arial Narrow"/>
          <w:b w:val="0"/>
          <w:bCs w:val="0"/>
          <w:sz w:val="32"/>
          <w:szCs w:val="40"/>
        </w:rPr>
        <w:t>6</w:t>
      </w:r>
      <w:r>
        <w:rPr>
          <w:rFonts w:hint="default" w:ascii="Arial Narrow" w:hAnsi="Arial Narrow" w:eastAsia="仿宋_GB2312"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72909113">
      <w:pPr>
        <w:pStyle w:val="6"/>
        <w:tabs>
          <w:tab w:val="right" w:leader="dot" w:pos="8788"/>
          <w:tab w:val="clear" w:pos="8778"/>
        </w:tabs>
        <w:rPr>
          <w:rFonts w:hint="default" w:ascii="Arial Narrow" w:hAnsi="Arial Narrow" w:eastAsia="仿宋_GB2312" w:cs="Arial Narrow"/>
          <w:sz w:val="32"/>
          <w:szCs w:val="40"/>
        </w:rPr>
      </w:pPr>
      <w:r>
        <w:rPr>
          <w:rFonts w:hint="default" w:ascii="Arial Narrow" w:hAnsi="Arial Narrow" w:eastAsia="仿宋_GB2312" w:cs="Arial Narrow"/>
          <w:color w:val="auto"/>
          <w:sz w:val="32"/>
          <w:szCs w:val="32"/>
          <w:u w:val="none"/>
        </w:rPr>
        <w:fldChar w:fldCharType="begin"/>
      </w:r>
      <w:r>
        <w:rPr>
          <w:rFonts w:hint="default" w:ascii="Arial Narrow" w:hAnsi="Arial Narrow" w:eastAsia="仿宋_GB2312" w:cs="Arial Narrow"/>
          <w:sz w:val="32"/>
          <w:szCs w:val="32"/>
        </w:rPr>
        <w:instrText xml:space="preserve"> HYPERLINK \l _Toc11294 </w:instrText>
      </w:r>
      <w:r>
        <w:rPr>
          <w:rFonts w:hint="default" w:ascii="Arial Narrow" w:hAnsi="Arial Narrow" w:eastAsia="仿宋_GB2312" w:cs="Arial Narrow"/>
          <w:sz w:val="32"/>
          <w:szCs w:val="32"/>
        </w:rPr>
        <w:fldChar w:fldCharType="separate"/>
      </w:r>
      <w:r>
        <w:rPr>
          <w:rFonts w:hint="default" w:ascii="Arial Narrow" w:hAnsi="Arial Narrow" w:eastAsia="仿宋_GB2312" w:cs="Arial Narrow"/>
          <w:sz w:val="32"/>
          <w:szCs w:val="40"/>
        </w:rPr>
        <w:t>五、存在的问题和建议</w:t>
      </w:r>
      <w:r>
        <w:rPr>
          <w:rFonts w:hint="default" w:ascii="Arial Narrow" w:hAnsi="Arial Narrow" w:eastAsia="仿宋_GB2312" w:cs="Arial Narrow"/>
          <w:sz w:val="32"/>
          <w:szCs w:val="40"/>
        </w:rPr>
        <w:tab/>
      </w:r>
      <w:r>
        <w:rPr>
          <w:rFonts w:hint="default" w:ascii="Arial Narrow" w:hAnsi="Arial Narrow" w:eastAsia="仿宋_GB2312" w:cs="Arial Narrow"/>
          <w:sz w:val="32"/>
          <w:szCs w:val="40"/>
        </w:rPr>
        <w:fldChar w:fldCharType="begin"/>
      </w:r>
      <w:r>
        <w:rPr>
          <w:rFonts w:hint="default" w:ascii="Arial Narrow" w:hAnsi="Arial Narrow" w:eastAsia="仿宋_GB2312" w:cs="Arial Narrow"/>
          <w:sz w:val="32"/>
          <w:szCs w:val="40"/>
        </w:rPr>
        <w:instrText xml:space="preserve"> PAGEREF _Toc11294 \h </w:instrText>
      </w:r>
      <w:r>
        <w:rPr>
          <w:rFonts w:hint="default" w:ascii="Arial Narrow" w:hAnsi="Arial Narrow" w:eastAsia="仿宋_GB2312" w:cs="Arial Narrow"/>
          <w:sz w:val="32"/>
          <w:szCs w:val="40"/>
        </w:rPr>
        <w:fldChar w:fldCharType="separate"/>
      </w:r>
      <w:r>
        <w:rPr>
          <w:rFonts w:hint="default" w:ascii="Arial Narrow" w:hAnsi="Arial Narrow" w:eastAsia="仿宋_GB2312" w:cs="Arial Narrow"/>
          <w:sz w:val="32"/>
          <w:szCs w:val="40"/>
        </w:rPr>
        <w:t>7</w:t>
      </w:r>
      <w:r>
        <w:rPr>
          <w:rFonts w:hint="default" w:ascii="Arial Narrow" w:hAnsi="Arial Narrow" w:eastAsia="仿宋_GB2312" w:cs="Arial Narrow"/>
          <w:sz w:val="32"/>
          <w:szCs w:val="40"/>
        </w:rPr>
        <w:fldChar w:fldCharType="end"/>
      </w:r>
      <w:r>
        <w:rPr>
          <w:rFonts w:hint="default" w:ascii="Arial Narrow" w:hAnsi="Arial Narrow" w:eastAsia="仿宋_GB2312" w:cs="Arial Narrow"/>
          <w:color w:val="auto"/>
          <w:sz w:val="32"/>
          <w:szCs w:val="32"/>
          <w:u w:val="none"/>
        </w:rPr>
        <w:fldChar w:fldCharType="end"/>
      </w:r>
    </w:p>
    <w:p w14:paraId="3E93BF46">
      <w:pPr>
        <w:pStyle w:val="6"/>
        <w:tabs>
          <w:tab w:val="right" w:leader="dot" w:pos="8788"/>
          <w:tab w:val="clear" w:pos="8778"/>
        </w:tabs>
        <w:rPr>
          <w:rFonts w:hint="default" w:ascii="Arial Narrow" w:hAnsi="Arial Narrow" w:eastAsia="仿宋_GB2312" w:cs="Arial Narrow"/>
          <w:b w:val="0"/>
          <w:bCs w:val="0"/>
          <w:sz w:val="32"/>
          <w:szCs w:val="4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_Toc26634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sz w:val="32"/>
          <w:szCs w:val="40"/>
        </w:rPr>
        <w:t>（一）存在问题</w:t>
      </w:r>
      <w:r>
        <w:rPr>
          <w:rFonts w:hint="default" w:ascii="Arial Narrow" w:hAnsi="Arial Narrow" w:eastAsia="仿宋_GB2312" w:cs="Arial Narrow"/>
          <w:b w:val="0"/>
          <w:bCs w:val="0"/>
          <w:sz w:val="32"/>
          <w:szCs w:val="40"/>
        </w:rPr>
        <w:tab/>
      </w:r>
      <w:r>
        <w:rPr>
          <w:rFonts w:hint="default" w:ascii="Arial Narrow" w:hAnsi="Arial Narrow" w:eastAsia="仿宋_GB2312" w:cs="Arial Narrow"/>
          <w:b w:val="0"/>
          <w:bCs w:val="0"/>
          <w:sz w:val="32"/>
          <w:szCs w:val="40"/>
        </w:rPr>
        <w:fldChar w:fldCharType="begin"/>
      </w:r>
      <w:r>
        <w:rPr>
          <w:rFonts w:hint="default" w:ascii="Arial Narrow" w:hAnsi="Arial Narrow" w:eastAsia="仿宋_GB2312" w:cs="Arial Narrow"/>
          <w:b w:val="0"/>
          <w:bCs w:val="0"/>
          <w:sz w:val="32"/>
          <w:szCs w:val="40"/>
        </w:rPr>
        <w:instrText xml:space="preserve"> PAGEREF _Toc26634 \h </w:instrText>
      </w:r>
      <w:r>
        <w:rPr>
          <w:rFonts w:hint="default" w:ascii="Arial Narrow" w:hAnsi="Arial Narrow" w:eastAsia="仿宋_GB2312" w:cs="Arial Narrow"/>
          <w:b w:val="0"/>
          <w:bCs w:val="0"/>
          <w:sz w:val="32"/>
          <w:szCs w:val="40"/>
        </w:rPr>
        <w:fldChar w:fldCharType="separate"/>
      </w:r>
      <w:r>
        <w:rPr>
          <w:rFonts w:hint="default" w:ascii="Arial Narrow" w:hAnsi="Arial Narrow" w:eastAsia="仿宋_GB2312" w:cs="Arial Narrow"/>
          <w:b w:val="0"/>
          <w:bCs w:val="0"/>
          <w:sz w:val="32"/>
          <w:szCs w:val="40"/>
        </w:rPr>
        <w:t>7</w:t>
      </w:r>
      <w:r>
        <w:rPr>
          <w:rFonts w:hint="default" w:ascii="Arial Narrow" w:hAnsi="Arial Narrow" w:eastAsia="仿宋_GB2312"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59AFB4D0">
      <w:pPr>
        <w:pStyle w:val="6"/>
        <w:tabs>
          <w:tab w:val="right" w:leader="dot" w:pos="8788"/>
          <w:tab w:val="clear" w:pos="8778"/>
        </w:tabs>
        <w:rPr>
          <w:rFonts w:hint="default" w:ascii="Arial Narrow" w:hAnsi="Arial Narrow" w:eastAsia="仿宋_GB2312" w:cs="Arial Narrow"/>
          <w:b w:val="0"/>
          <w:bCs w:val="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_Toc15324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sz w:val="32"/>
          <w:szCs w:val="40"/>
        </w:rPr>
        <w:t>（二）建议</w:t>
      </w:r>
      <w:r>
        <w:rPr>
          <w:rFonts w:hint="default" w:ascii="Arial Narrow" w:hAnsi="Arial Narrow" w:eastAsia="仿宋_GB2312" w:cs="Arial Narrow"/>
          <w:b w:val="0"/>
          <w:bCs w:val="0"/>
          <w:sz w:val="32"/>
          <w:szCs w:val="40"/>
        </w:rPr>
        <w:tab/>
      </w:r>
      <w:r>
        <w:rPr>
          <w:rFonts w:hint="default" w:ascii="Arial Narrow" w:hAnsi="Arial Narrow" w:eastAsia="仿宋_GB2312" w:cs="Arial Narrow"/>
          <w:b w:val="0"/>
          <w:bCs w:val="0"/>
          <w:sz w:val="32"/>
          <w:szCs w:val="40"/>
        </w:rPr>
        <w:fldChar w:fldCharType="begin"/>
      </w:r>
      <w:r>
        <w:rPr>
          <w:rFonts w:hint="default" w:ascii="Arial Narrow" w:hAnsi="Arial Narrow" w:eastAsia="仿宋_GB2312" w:cs="Arial Narrow"/>
          <w:b w:val="0"/>
          <w:bCs w:val="0"/>
          <w:sz w:val="32"/>
          <w:szCs w:val="40"/>
        </w:rPr>
        <w:instrText xml:space="preserve"> PAGEREF _Toc15324 \h </w:instrText>
      </w:r>
      <w:r>
        <w:rPr>
          <w:rFonts w:hint="default" w:ascii="Arial Narrow" w:hAnsi="Arial Narrow" w:eastAsia="仿宋_GB2312" w:cs="Arial Narrow"/>
          <w:b w:val="0"/>
          <w:bCs w:val="0"/>
          <w:sz w:val="32"/>
          <w:szCs w:val="40"/>
        </w:rPr>
        <w:fldChar w:fldCharType="separate"/>
      </w:r>
      <w:r>
        <w:rPr>
          <w:rFonts w:hint="default" w:ascii="Arial Narrow" w:hAnsi="Arial Narrow" w:eastAsia="仿宋_GB2312" w:cs="Arial Narrow"/>
          <w:b w:val="0"/>
          <w:bCs w:val="0"/>
          <w:sz w:val="32"/>
          <w:szCs w:val="40"/>
        </w:rPr>
        <w:t>7</w:t>
      </w:r>
      <w:r>
        <w:rPr>
          <w:rFonts w:hint="default" w:ascii="Arial Narrow" w:hAnsi="Arial Narrow" w:eastAsia="仿宋_GB2312"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4C13D891">
      <w:pPr>
        <w:pStyle w:val="12"/>
        <w:spacing w:line="460" w:lineRule="exact"/>
        <w:rPr>
          <w:rFonts w:hint="default" w:ascii="Arial Narrow" w:hAnsi="Arial Narrow" w:eastAsia="仿宋_GB2312" w:cs="Arial Narrow"/>
          <w:bCs/>
          <w:w w:val="80"/>
        </w:rPr>
        <w:sectPr>
          <w:footerReference r:id="rId3" w:type="default"/>
          <w:pgSz w:w="11907" w:h="16840"/>
          <w:pgMar w:top="1418" w:right="1418" w:bottom="1134" w:left="1701" w:header="851" w:footer="851" w:gutter="0"/>
          <w:pgNumType w:start="1"/>
          <w:cols w:space="425" w:num="1"/>
          <w:docGrid w:linePitch="312" w:charSpace="0"/>
        </w:sectPr>
      </w:pPr>
      <w:r>
        <w:rPr>
          <w:rFonts w:hint="default" w:ascii="Arial Narrow" w:hAnsi="Arial Narrow" w:eastAsia="仿宋_GB2312" w:cs="Arial Narrow"/>
          <w:color w:val="auto"/>
          <w:szCs w:val="21"/>
          <w:u w:val="none"/>
        </w:rPr>
        <w:fldChar w:fldCharType="end"/>
      </w:r>
    </w:p>
    <w:p w14:paraId="2F35A986">
      <w:pPr>
        <w:spacing w:line="360" w:lineRule="auto"/>
        <w:jc w:val="right"/>
        <w:rPr>
          <w:rFonts w:hint="default" w:ascii="Arial Narrow" w:hAnsi="Arial Narrow" w:eastAsia="仿宋_GB2312" w:cs="Arial Narrow"/>
          <w:bCs/>
          <w:w w:val="80"/>
          <w:sz w:val="28"/>
          <w:szCs w:val="28"/>
        </w:rPr>
      </w:pPr>
    </w:p>
    <w:p w14:paraId="0642BA1C">
      <w:pPr>
        <w:spacing w:line="360" w:lineRule="auto"/>
        <w:jc w:val="right"/>
        <w:rPr>
          <w:rFonts w:hint="default" w:ascii="Arial Narrow" w:hAnsi="Arial Narrow" w:eastAsia="仿宋_GB2312" w:cs="Arial Narrow"/>
          <w:bCs/>
          <w:w w:val="80"/>
          <w:sz w:val="28"/>
          <w:szCs w:val="28"/>
        </w:rPr>
      </w:pPr>
    </w:p>
    <w:p w14:paraId="085A2725">
      <w:pPr>
        <w:widowControl/>
        <w:jc w:val="distribute"/>
        <w:rPr>
          <w:rFonts w:hint="default" w:ascii="Arial Narrow" w:hAnsi="Arial Narrow" w:eastAsia="仿宋_GB2312" w:cs="Arial Narrow"/>
          <w:bCs/>
          <w:kern w:val="0"/>
          <w:sz w:val="28"/>
          <w:szCs w:val="28"/>
        </w:rPr>
      </w:pPr>
      <w:r>
        <w:rPr>
          <w:rFonts w:hint="default" w:ascii="Arial Narrow" w:hAnsi="Arial Narrow" w:eastAsia="仿宋_GB2312" w:cs="Arial Narrow"/>
          <w:b/>
          <w:kern w:val="0"/>
          <w:sz w:val="72"/>
          <w:szCs w:val="72"/>
        </w:rPr>
        <w:t>重庆铭鸿金全会计师事务所</w:t>
      </w:r>
    </w:p>
    <w:p w14:paraId="03324C95">
      <w:pPr>
        <w:widowControl/>
        <w:spacing w:line="360" w:lineRule="auto"/>
        <w:ind w:right="-2"/>
        <w:jc w:val="distribute"/>
        <w:rPr>
          <w:rFonts w:hint="default" w:ascii="Arial Narrow" w:hAnsi="Arial Narrow" w:eastAsia="仿宋_GB2312" w:cs="Arial Narrow"/>
          <w:kern w:val="0"/>
          <w:sz w:val="28"/>
          <w:szCs w:val="28"/>
          <w:lang w:eastAsia="zh-TW"/>
        </w:rPr>
      </w:pPr>
      <w:r>
        <w:rPr>
          <w:rFonts w:hint="default" w:ascii="Arial Narrow" w:hAnsi="Arial Narrow" w:eastAsia="仿宋_GB2312" w:cs="Arial Narrow"/>
          <w:b/>
          <w:kern w:val="0"/>
          <w:sz w:val="32"/>
          <w:szCs w:val="20"/>
          <w:lang w:eastAsia="zh-TW"/>
        </w:rPr>
        <w:t xml:space="preserve">Chongqing </w:t>
      </w:r>
      <w:r>
        <w:rPr>
          <w:rFonts w:hint="default" w:ascii="Arial Narrow" w:hAnsi="Arial Narrow" w:eastAsia="仿宋_GB2312" w:cs="Arial Narrow"/>
          <w:b/>
          <w:kern w:val="0"/>
          <w:sz w:val="32"/>
          <w:szCs w:val="20"/>
        </w:rPr>
        <w:t>MingHong</w:t>
      </w:r>
      <w:r>
        <w:rPr>
          <w:rFonts w:hint="default" w:ascii="Arial Narrow" w:hAnsi="Arial Narrow" w:eastAsia="仿宋_GB2312" w:cs="Arial Narrow"/>
          <w:b/>
          <w:kern w:val="0"/>
          <w:sz w:val="32"/>
          <w:szCs w:val="20"/>
          <w:lang w:eastAsia="zh-TW"/>
        </w:rPr>
        <w:t xml:space="preserve"> </w:t>
      </w:r>
      <w:r>
        <w:rPr>
          <w:rFonts w:hint="default" w:ascii="Arial Narrow" w:hAnsi="Arial Narrow" w:eastAsia="仿宋_GB2312" w:cs="Arial Narrow"/>
          <w:b/>
          <w:kern w:val="0"/>
          <w:sz w:val="32"/>
          <w:szCs w:val="20"/>
        </w:rPr>
        <w:t>JinQuan</w:t>
      </w:r>
      <w:r>
        <w:rPr>
          <w:rFonts w:hint="default" w:ascii="Arial Narrow" w:hAnsi="Arial Narrow" w:eastAsia="仿宋_GB2312" w:cs="Arial Narrow"/>
          <w:b/>
          <w:kern w:val="0"/>
          <w:sz w:val="32"/>
          <w:szCs w:val="20"/>
          <w:lang w:eastAsia="zh-TW"/>
        </w:rPr>
        <w:t xml:space="preserve"> Certified Public Accountants</w:t>
      </w:r>
    </w:p>
    <w:p w14:paraId="796A431D">
      <w:pPr>
        <w:spacing w:line="360" w:lineRule="auto"/>
        <w:jc w:val="center"/>
        <w:rPr>
          <w:rFonts w:hint="default" w:ascii="Arial Narrow" w:hAnsi="Arial Narrow" w:eastAsia="仿宋_GB2312" w:cs="Arial Narrow"/>
          <w:sz w:val="28"/>
          <w:szCs w:val="28"/>
        </w:rPr>
      </w:pPr>
      <w:r>
        <w:rPr>
          <w:rFonts w:hint="default" w:ascii="Arial Narrow" w:hAnsi="Arial Narrow" w:eastAsia="仿宋_GB2312" w:cs="Arial Narrow"/>
          <w:kern w:val="0"/>
          <w:sz w:val="28"/>
          <w:szCs w:val="28"/>
        </w:rPr>
        <w:t>铭</w:t>
      </w:r>
      <w:r>
        <w:rPr>
          <w:rFonts w:hint="default" w:ascii="Arial Narrow" w:hAnsi="Arial Narrow" w:eastAsia="仿宋_GB2312" w:cs="Arial Narrow"/>
          <w:sz w:val="28"/>
          <w:szCs w:val="28"/>
        </w:rPr>
        <w:t>鸿咨字〔2024〕第0003号</w:t>
      </w:r>
    </w:p>
    <w:p w14:paraId="31AB91A0">
      <w:pPr>
        <w:spacing w:line="360" w:lineRule="auto"/>
        <w:jc w:val="distribute"/>
        <w:rPr>
          <w:rFonts w:hint="default" w:ascii="Arial Narrow" w:hAnsi="Arial Narrow" w:eastAsia="仿宋_GB2312" w:cs="Arial Narrow"/>
          <w:w w:val="94"/>
        </w:rPr>
      </w:pPr>
      <w:r>
        <w:rPr>
          <w:rFonts w:hint="default" w:ascii="Arial Narrow" w:hAnsi="Arial Narrow" w:eastAsia="仿宋_GB2312" w:cs="Arial Narrow"/>
          <w:b/>
          <w:bCs/>
          <w:w w:val="94"/>
          <w:sz w:val="36"/>
          <w:szCs w:val="36"/>
        </w:rPr>
        <w:t>━━━━━━━━━━━━ ★ ━━━━━━━━━━━</w:t>
      </w:r>
      <w:bookmarkStart w:id="2" w:name="_Hlk51614207"/>
      <w:r>
        <w:rPr>
          <w:rFonts w:hint="default" w:ascii="Arial Narrow" w:hAnsi="Arial Narrow" w:eastAsia="仿宋_GB2312" w:cs="Arial Narrow"/>
          <w:b/>
          <w:bCs/>
          <w:w w:val="94"/>
          <w:sz w:val="36"/>
          <w:szCs w:val="36"/>
        </w:rPr>
        <w:t>━</w:t>
      </w:r>
      <w:bookmarkEnd w:id="2"/>
    </w:p>
    <w:p w14:paraId="43592036">
      <w:pPr>
        <w:adjustRightInd w:val="0"/>
        <w:snapToGrid w:val="0"/>
        <w:spacing w:line="360" w:lineRule="auto"/>
        <w:jc w:val="center"/>
        <w:rPr>
          <w:rFonts w:hint="default" w:ascii="Arial Narrow" w:hAnsi="Arial Narrow" w:eastAsia="仿宋_GB2312" w:cs="Arial Narrow"/>
          <w:b/>
          <w:sz w:val="36"/>
          <w:szCs w:val="36"/>
        </w:rPr>
      </w:pPr>
      <w:r>
        <w:rPr>
          <w:rFonts w:hint="default" w:ascii="Arial Narrow" w:hAnsi="Arial Narrow" w:eastAsia="仿宋_GB2312" w:cs="Arial Narrow"/>
          <w:b/>
          <w:sz w:val="36"/>
          <w:szCs w:val="36"/>
        </w:rPr>
        <w:t>重庆市铜梁区2023年巴川街道玉皇村农机购置项目</w:t>
      </w:r>
    </w:p>
    <w:p w14:paraId="4A52E859">
      <w:pPr>
        <w:adjustRightInd w:val="0"/>
        <w:snapToGrid w:val="0"/>
        <w:spacing w:line="360" w:lineRule="auto"/>
        <w:jc w:val="center"/>
        <w:rPr>
          <w:rFonts w:hint="default" w:ascii="Arial Narrow" w:hAnsi="Arial Narrow" w:eastAsia="仿宋_GB2312" w:cs="Arial Narrow"/>
          <w:b/>
          <w:sz w:val="36"/>
          <w:szCs w:val="36"/>
        </w:rPr>
      </w:pPr>
      <w:r>
        <w:rPr>
          <w:rFonts w:hint="default" w:ascii="Arial Narrow" w:hAnsi="Arial Narrow" w:eastAsia="仿宋_GB2312" w:cs="Arial Narrow"/>
          <w:b/>
          <w:sz w:val="36"/>
          <w:szCs w:val="36"/>
        </w:rPr>
        <w:t>财政专项衔接资金绩效评价报告</w:t>
      </w:r>
    </w:p>
    <w:p w14:paraId="40B736BF">
      <w:pPr>
        <w:pStyle w:val="13"/>
        <w:spacing w:line="360" w:lineRule="auto"/>
        <w:ind w:firstLine="480" w:firstLineChars="200"/>
        <w:jc w:val="both"/>
        <w:rPr>
          <w:rFonts w:hint="default" w:ascii="Arial Narrow" w:hAnsi="Arial Narrow" w:eastAsia="仿宋_GB2312" w:cs="Arial Narrow"/>
          <w:color w:val="auto"/>
        </w:rPr>
      </w:pPr>
      <w:r>
        <w:rPr>
          <w:rFonts w:hint="default" w:ascii="Arial Narrow" w:hAnsi="Arial Narrow" w:eastAsia="仿宋_GB2312" w:cs="Arial Narrow"/>
          <w:color w:val="auto"/>
        </w:rPr>
        <w:t>为深入贯彻落实党的十九大</w:t>
      </w:r>
      <w:r>
        <w:rPr>
          <w:rFonts w:hint="eastAsia" w:ascii="Arial Narrow" w:hAnsi="Arial Narrow" w:eastAsia="仿宋_GB2312" w:cs="Arial Narrow"/>
          <w:color w:val="auto"/>
          <w:lang w:eastAsia="zh-CN"/>
        </w:rPr>
        <w:t>“</w:t>
      </w:r>
      <w:r>
        <w:rPr>
          <w:rFonts w:hint="default" w:ascii="Arial Narrow" w:hAnsi="Arial Narrow" w:eastAsia="仿宋_GB2312" w:cs="Arial Narrow"/>
          <w:color w:val="auto"/>
        </w:rPr>
        <w:t>全面实施绩效管理</w:t>
      </w:r>
      <w:r>
        <w:rPr>
          <w:rFonts w:hint="eastAsia" w:ascii="Arial Narrow" w:hAnsi="Arial Narrow" w:eastAsia="仿宋_GB2312" w:cs="Arial Narrow"/>
          <w:color w:val="auto"/>
          <w:lang w:eastAsia="zh-CN"/>
        </w:rPr>
        <w:t>”</w:t>
      </w:r>
      <w:r>
        <w:rPr>
          <w:rFonts w:hint="default" w:ascii="Arial Narrow" w:hAnsi="Arial Narrow" w:eastAsia="仿宋_GB2312" w:cs="Arial Narrow"/>
          <w:color w:val="auto"/>
        </w:rPr>
        <w:t>决策部署，进一步提高政府投入资金的使用效益，促进公共服务资源的优化配置，根据《中华人民共和国预算法》、《项目支出绩效评价管理办法》（财预〔2020〕10号）</w:t>
      </w:r>
      <w:r>
        <w:rPr>
          <w:rFonts w:hint="default" w:ascii="Arial Narrow" w:hAnsi="Arial Narrow" w:eastAsia="仿宋_GB2312" w:cs="Arial Narrow"/>
          <w:color w:val="auto"/>
          <w:lang w:eastAsia="zh-CN"/>
        </w:rPr>
        <w:t>、</w:t>
      </w:r>
      <w:r>
        <w:rPr>
          <w:rFonts w:hint="default" w:ascii="Arial Narrow" w:hAnsi="Arial Narrow" w:eastAsia="仿宋_GB2312" w:cs="Arial Narrow"/>
          <w:color w:val="auto"/>
        </w:rPr>
        <w:t>《重庆市市级政策和项目预算绩效管理办法（试行）》（渝财绩〔2019〕19号），受重庆市铜梁区财政局（以下简称</w:t>
      </w:r>
      <w:r>
        <w:rPr>
          <w:rFonts w:hint="eastAsia" w:ascii="Arial Narrow" w:hAnsi="Arial Narrow" w:eastAsia="仿宋_GB2312" w:cs="Arial Narrow"/>
          <w:color w:val="auto"/>
          <w:lang w:eastAsia="zh-CN"/>
        </w:rPr>
        <w:t>“</w:t>
      </w:r>
      <w:r>
        <w:rPr>
          <w:rFonts w:hint="default" w:ascii="Arial Narrow" w:hAnsi="Arial Narrow" w:eastAsia="仿宋_GB2312" w:cs="Arial Narrow"/>
          <w:color w:val="auto"/>
        </w:rPr>
        <w:t>财政局</w:t>
      </w:r>
      <w:r>
        <w:rPr>
          <w:rFonts w:hint="eastAsia" w:ascii="Arial Narrow" w:hAnsi="Arial Narrow" w:eastAsia="仿宋_GB2312" w:cs="Arial Narrow"/>
          <w:color w:val="auto"/>
          <w:lang w:eastAsia="zh-CN"/>
        </w:rPr>
        <w:t>”</w:t>
      </w:r>
      <w:r>
        <w:rPr>
          <w:rFonts w:hint="default" w:ascii="Arial Narrow" w:hAnsi="Arial Narrow" w:eastAsia="仿宋_GB2312" w:cs="Arial Narrow"/>
          <w:color w:val="auto"/>
        </w:rPr>
        <w:t>）的委托，我们对</w:t>
      </w:r>
      <w:r>
        <w:rPr>
          <w:rFonts w:hint="eastAsia" w:ascii="Arial Narrow" w:hAnsi="Arial Narrow" w:eastAsia="仿宋_GB2312" w:cs="Arial Narrow"/>
          <w:color w:val="auto"/>
          <w:lang w:eastAsia="zh-CN"/>
        </w:rPr>
        <w:t>“</w:t>
      </w:r>
      <w:r>
        <w:rPr>
          <w:rFonts w:hint="default" w:ascii="Arial Narrow" w:hAnsi="Arial Narrow" w:eastAsia="仿宋_GB2312" w:cs="Arial Narrow"/>
          <w:color w:val="auto"/>
        </w:rPr>
        <w:t>重庆市铜梁区2023年巴川街道玉皇村农机购置项目</w:t>
      </w:r>
      <w:r>
        <w:rPr>
          <w:rFonts w:hint="eastAsia" w:ascii="Arial Narrow" w:hAnsi="Arial Narrow" w:eastAsia="仿宋_GB2312" w:cs="Arial Narrow"/>
          <w:color w:val="auto"/>
          <w:lang w:eastAsia="zh-CN"/>
        </w:rPr>
        <w:t>”</w:t>
      </w:r>
      <w:r>
        <w:rPr>
          <w:rFonts w:hint="default" w:ascii="Arial Narrow" w:hAnsi="Arial Narrow" w:eastAsia="仿宋_GB2312" w:cs="Arial Narrow"/>
          <w:color w:val="auto"/>
        </w:rPr>
        <w:t>财政专项衔接资金进行绩效评价，现将评价情况报告如下：</w:t>
      </w:r>
    </w:p>
    <w:p w14:paraId="5FC8B7E5">
      <w:pPr>
        <w:spacing w:before="240" w:beforeLines="100" w:line="360" w:lineRule="auto"/>
        <w:ind w:firstLine="482" w:firstLineChars="200"/>
        <w:jc w:val="left"/>
        <w:outlineLvl w:val="0"/>
        <w:rPr>
          <w:rFonts w:hint="default" w:ascii="Arial Narrow" w:hAnsi="Arial Narrow" w:eastAsia="仿宋_GB2312" w:cs="Arial Narrow"/>
          <w:b/>
          <w:sz w:val="24"/>
        </w:rPr>
      </w:pPr>
      <w:bookmarkStart w:id="3" w:name="_Toc25741"/>
      <w:r>
        <w:rPr>
          <w:rFonts w:hint="default" w:ascii="Arial Narrow" w:hAnsi="Arial Narrow" w:eastAsia="仿宋_GB2312" w:cs="Arial Narrow"/>
          <w:b/>
          <w:sz w:val="24"/>
        </w:rPr>
        <w:t>一、基本情况</w:t>
      </w:r>
      <w:bookmarkEnd w:id="3"/>
    </w:p>
    <w:p w14:paraId="03B7F236">
      <w:pPr>
        <w:spacing w:before="120" w:beforeLines="50" w:line="360" w:lineRule="auto"/>
        <w:ind w:firstLine="482" w:firstLineChars="200"/>
        <w:jc w:val="left"/>
        <w:outlineLvl w:val="0"/>
        <w:rPr>
          <w:rFonts w:hint="default" w:ascii="Arial Narrow" w:hAnsi="Arial Narrow" w:eastAsia="仿宋_GB2312" w:cs="Arial Narrow"/>
          <w:b/>
          <w:bCs/>
          <w:kern w:val="0"/>
          <w:sz w:val="24"/>
        </w:rPr>
      </w:pPr>
      <w:bookmarkStart w:id="4" w:name="_Toc30394"/>
      <w:r>
        <w:rPr>
          <w:rFonts w:hint="default" w:ascii="Arial Narrow" w:hAnsi="Arial Narrow" w:eastAsia="仿宋_GB2312" w:cs="Arial Narrow"/>
          <w:b/>
          <w:bCs/>
          <w:kern w:val="0"/>
          <w:sz w:val="24"/>
        </w:rPr>
        <w:t>（一）项目情况</w:t>
      </w:r>
      <w:bookmarkEnd w:id="4"/>
    </w:p>
    <w:p w14:paraId="2E8A5F75">
      <w:pPr>
        <w:spacing w:line="360" w:lineRule="auto"/>
        <w:ind w:firstLine="480" w:firstLineChars="200"/>
        <w:rPr>
          <w:rFonts w:hint="default" w:ascii="Arial Narrow" w:hAnsi="Arial Narrow" w:eastAsia="仿宋_GB2312" w:cs="Arial Narrow"/>
          <w:kern w:val="0"/>
          <w:sz w:val="24"/>
        </w:rPr>
      </w:pPr>
      <w:r>
        <w:rPr>
          <w:rFonts w:hint="default" w:ascii="Arial Narrow" w:hAnsi="Arial Narrow" w:eastAsia="仿宋_GB2312" w:cs="Arial Narrow"/>
          <w:kern w:val="0"/>
          <w:sz w:val="24"/>
        </w:rPr>
        <w:t>项目名称：2023年巴川街道玉皇村农机购置项目</w:t>
      </w:r>
    </w:p>
    <w:p w14:paraId="4F2218E3">
      <w:pPr>
        <w:spacing w:line="360" w:lineRule="auto"/>
        <w:ind w:firstLine="480" w:firstLineChars="200"/>
        <w:rPr>
          <w:rFonts w:hint="default" w:ascii="Arial Narrow" w:hAnsi="Arial Narrow" w:eastAsia="仿宋_GB2312" w:cs="Arial Narrow"/>
          <w:kern w:val="0"/>
          <w:sz w:val="24"/>
        </w:rPr>
      </w:pPr>
      <w:r>
        <w:rPr>
          <w:rFonts w:hint="default" w:ascii="Arial Narrow" w:hAnsi="Arial Narrow" w:eastAsia="仿宋_GB2312" w:cs="Arial Narrow"/>
          <w:kern w:val="0"/>
          <w:sz w:val="24"/>
        </w:rPr>
        <w:t>实施单位：巴川街道玉皇村股份经济合作社</w:t>
      </w:r>
    </w:p>
    <w:p w14:paraId="783D2481">
      <w:pPr>
        <w:spacing w:line="360" w:lineRule="auto"/>
        <w:ind w:firstLine="480" w:firstLineChars="200"/>
        <w:rPr>
          <w:rFonts w:hint="default" w:ascii="Arial Narrow" w:hAnsi="Arial Narrow" w:eastAsia="仿宋_GB2312" w:cs="Arial Narrow"/>
          <w:kern w:val="0"/>
          <w:sz w:val="24"/>
        </w:rPr>
      </w:pPr>
      <w:r>
        <w:rPr>
          <w:rFonts w:hint="default" w:ascii="Arial Narrow" w:hAnsi="Arial Narrow" w:eastAsia="仿宋_GB2312" w:cs="Arial Narrow"/>
          <w:kern w:val="0"/>
          <w:sz w:val="24"/>
        </w:rPr>
        <w:t>项目内容：为增加村集体经济收入，购置农用无人机4台、履带自走式旋耕机4台、自吸汞4台</w:t>
      </w:r>
    </w:p>
    <w:p w14:paraId="05C1214A">
      <w:pPr>
        <w:spacing w:line="360" w:lineRule="auto"/>
        <w:ind w:firstLine="480" w:firstLineChars="200"/>
        <w:rPr>
          <w:rFonts w:hint="default" w:ascii="Arial Narrow" w:hAnsi="Arial Narrow" w:eastAsia="仿宋_GB2312" w:cs="Arial Narrow"/>
          <w:kern w:val="0"/>
          <w:sz w:val="24"/>
        </w:rPr>
      </w:pPr>
      <w:r>
        <w:rPr>
          <w:rFonts w:hint="default" w:ascii="Arial Narrow" w:hAnsi="Arial Narrow" w:eastAsia="仿宋_GB2312" w:cs="Arial Narrow"/>
          <w:kern w:val="0"/>
          <w:sz w:val="24"/>
        </w:rPr>
        <w:t>项目资金安排情况：该项目2023年计划投入74.84万元，上级补助资金70万元，自筹资金4.84万元。</w:t>
      </w:r>
    </w:p>
    <w:p w14:paraId="5CFB3272">
      <w:pPr>
        <w:spacing w:line="360" w:lineRule="auto"/>
        <w:ind w:firstLine="482" w:firstLineChars="200"/>
        <w:jc w:val="left"/>
        <w:outlineLvl w:val="0"/>
        <w:rPr>
          <w:rFonts w:hint="default" w:ascii="Arial Narrow" w:hAnsi="Arial Narrow" w:eastAsia="仿宋_GB2312" w:cs="Arial Narrow"/>
          <w:b/>
          <w:sz w:val="24"/>
        </w:rPr>
      </w:pPr>
      <w:bookmarkStart w:id="5" w:name="_Toc11126"/>
      <w:r>
        <w:rPr>
          <w:rFonts w:hint="default" w:ascii="Arial Narrow" w:hAnsi="Arial Narrow" w:eastAsia="仿宋_GB2312" w:cs="Arial Narrow"/>
          <w:b/>
          <w:sz w:val="24"/>
        </w:rPr>
        <w:t>二、绩效评价工作情况</w:t>
      </w:r>
      <w:bookmarkEnd w:id="5"/>
    </w:p>
    <w:p w14:paraId="0957C4C7">
      <w:pPr>
        <w:spacing w:line="360" w:lineRule="auto"/>
        <w:ind w:firstLine="482" w:firstLineChars="200"/>
        <w:jc w:val="left"/>
        <w:outlineLvl w:val="0"/>
        <w:rPr>
          <w:rFonts w:hint="default" w:ascii="Arial Narrow" w:hAnsi="Arial Narrow" w:eastAsia="仿宋_GB2312" w:cs="Arial Narrow"/>
          <w:b/>
          <w:sz w:val="24"/>
        </w:rPr>
      </w:pPr>
      <w:bookmarkStart w:id="6" w:name="_Toc513775099"/>
      <w:bookmarkStart w:id="7" w:name="_Toc16041"/>
      <w:r>
        <w:rPr>
          <w:rFonts w:hint="default" w:ascii="Arial Narrow" w:hAnsi="Arial Narrow" w:eastAsia="仿宋_GB2312" w:cs="Arial Narrow"/>
          <w:b/>
          <w:sz w:val="24"/>
        </w:rPr>
        <w:t>（一）绩效评价目的</w:t>
      </w:r>
      <w:bookmarkEnd w:id="6"/>
      <w:bookmarkEnd w:id="7"/>
    </w:p>
    <w:p w14:paraId="42692EAE">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通过实施财政重点绩效评价，总结项目实施主要成效，分析影响项目绩效的主要问题及成因，为进一步加强财政资金管理、提高资金使用效益提供依据。</w:t>
      </w:r>
    </w:p>
    <w:p w14:paraId="6A87164E">
      <w:pPr>
        <w:spacing w:line="360" w:lineRule="auto"/>
        <w:ind w:firstLine="482" w:firstLineChars="200"/>
        <w:jc w:val="left"/>
        <w:outlineLvl w:val="0"/>
        <w:rPr>
          <w:rFonts w:hint="default" w:ascii="Arial Narrow" w:hAnsi="Arial Narrow" w:eastAsia="仿宋_GB2312" w:cs="Arial Narrow"/>
          <w:b/>
          <w:sz w:val="24"/>
        </w:rPr>
      </w:pPr>
      <w:bookmarkStart w:id="8" w:name="_Toc22348"/>
      <w:bookmarkStart w:id="9" w:name="_Toc513775100"/>
      <w:r>
        <w:rPr>
          <w:rFonts w:hint="default" w:ascii="Arial Narrow" w:hAnsi="Arial Narrow" w:eastAsia="仿宋_GB2312" w:cs="Arial Narrow"/>
          <w:b/>
          <w:sz w:val="24"/>
        </w:rPr>
        <w:t>（二）绩效评价的基本内容</w:t>
      </w:r>
      <w:bookmarkEnd w:id="8"/>
    </w:p>
    <w:p w14:paraId="7A3B0807">
      <w:pPr>
        <w:pStyle w:val="13"/>
        <w:spacing w:line="360" w:lineRule="auto"/>
        <w:ind w:firstLine="480" w:firstLineChars="200"/>
        <w:rPr>
          <w:rFonts w:hint="default" w:ascii="Arial Narrow" w:hAnsi="Arial Narrow" w:eastAsia="仿宋_GB2312" w:cs="Arial Narrow"/>
          <w:color w:val="auto"/>
        </w:rPr>
      </w:pPr>
      <w:bookmarkStart w:id="10" w:name="_Toc166332968"/>
      <w:r>
        <w:rPr>
          <w:rFonts w:hint="default" w:ascii="Arial Narrow" w:hAnsi="Arial Narrow" w:eastAsia="仿宋_GB2312" w:cs="Arial Narrow"/>
          <w:color w:val="auto"/>
        </w:rPr>
        <w:t>1.绩效目标的设定情况；</w:t>
      </w:r>
    </w:p>
    <w:p w14:paraId="45169BD9">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2.资金投入和使用情况；</w:t>
      </w:r>
    </w:p>
    <w:p w14:paraId="52471171">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3.为实现绩效目标制定的制度、采取的措施等；</w:t>
      </w:r>
    </w:p>
    <w:p w14:paraId="05AC25B8">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4.绩效目标的实现程度及效果；</w:t>
      </w:r>
    </w:p>
    <w:p w14:paraId="431D4273">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5.根据实际情况需要评价的其他内容。</w:t>
      </w:r>
    </w:p>
    <w:p w14:paraId="70422628">
      <w:pPr>
        <w:spacing w:line="360" w:lineRule="auto"/>
        <w:ind w:firstLine="482" w:firstLineChars="200"/>
        <w:jc w:val="left"/>
        <w:outlineLvl w:val="0"/>
        <w:rPr>
          <w:rFonts w:hint="default" w:ascii="Arial Narrow" w:hAnsi="Arial Narrow" w:eastAsia="仿宋_GB2312" w:cs="Arial Narrow"/>
          <w:b/>
          <w:sz w:val="24"/>
        </w:rPr>
      </w:pPr>
      <w:bookmarkStart w:id="11" w:name="_Toc9055"/>
      <w:r>
        <w:rPr>
          <w:rFonts w:hint="default" w:ascii="Arial Narrow" w:hAnsi="Arial Narrow" w:eastAsia="仿宋_GB2312" w:cs="Arial Narrow"/>
          <w:b/>
          <w:sz w:val="24"/>
        </w:rPr>
        <w:t>（三）绩效评价依据</w:t>
      </w:r>
      <w:bookmarkEnd w:id="9"/>
      <w:bookmarkEnd w:id="10"/>
      <w:bookmarkEnd w:id="11"/>
      <w:bookmarkStart w:id="12" w:name="_Toc335040595"/>
    </w:p>
    <w:p w14:paraId="7DC712FF">
      <w:pPr>
        <w:pStyle w:val="13"/>
        <w:spacing w:line="360" w:lineRule="auto"/>
        <w:ind w:firstLine="480" w:firstLineChars="200"/>
        <w:rPr>
          <w:rFonts w:hint="default" w:ascii="Arial Narrow" w:hAnsi="Arial Narrow" w:eastAsia="仿宋_GB2312" w:cs="Arial Narrow"/>
          <w:color w:val="auto"/>
          <w:kern w:val="0"/>
          <w:sz w:val="24"/>
          <w:szCs w:val="24"/>
          <w:lang w:val="en-US" w:eastAsia="zh-CN" w:bidi="ar-SA"/>
        </w:rPr>
      </w:pPr>
      <w:r>
        <w:rPr>
          <w:rFonts w:hint="default" w:ascii="Arial Narrow" w:hAnsi="Arial Narrow" w:eastAsia="仿宋_GB2312" w:cs="Arial Narrow"/>
          <w:color w:val="auto"/>
          <w:kern w:val="0"/>
          <w:sz w:val="24"/>
          <w:szCs w:val="24"/>
          <w:lang w:val="en-US" w:eastAsia="zh-CN" w:bidi="ar-SA"/>
        </w:rPr>
        <w:t>1.《重庆市铜梁区财政衔接推进乡村振兴补助资金绩效评价及考核办法》的通知（铜财〔2022〕678号）；</w:t>
      </w:r>
    </w:p>
    <w:bookmarkEnd w:id="12"/>
    <w:p w14:paraId="29C5EFDE">
      <w:pPr>
        <w:pStyle w:val="13"/>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default" w:ascii="Arial Narrow" w:hAnsi="Arial Narrow" w:eastAsia="仿宋_GB2312" w:cs="Arial Narrow"/>
          <w:color w:val="auto"/>
          <w:kern w:val="0"/>
          <w:sz w:val="24"/>
          <w:szCs w:val="24"/>
          <w:lang w:val="en-US" w:eastAsia="zh-CN" w:bidi="ar-SA"/>
        </w:rPr>
      </w:pPr>
      <w:r>
        <w:rPr>
          <w:rFonts w:hint="default" w:ascii="Arial Narrow" w:hAnsi="Arial Narrow" w:eastAsia="仿宋_GB2312" w:cs="Arial Narrow"/>
          <w:color w:val="auto"/>
          <w:kern w:val="0"/>
          <w:sz w:val="24"/>
          <w:szCs w:val="24"/>
          <w:lang w:val="en-US" w:eastAsia="zh-CN" w:bidi="ar-SA"/>
        </w:rPr>
        <w:t>2.《重庆市铜梁区财政局关于开展2023年度项目财政重点绩效评价的通知》（铜财〔2024〕237号）；</w:t>
      </w:r>
    </w:p>
    <w:p w14:paraId="038A331C">
      <w:pPr>
        <w:pStyle w:val="13"/>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default" w:ascii="Arial Narrow" w:hAnsi="Arial Narrow" w:eastAsia="仿宋_GB2312" w:cs="Arial Narrow"/>
          <w:color w:val="auto"/>
          <w:kern w:val="0"/>
          <w:sz w:val="24"/>
          <w:szCs w:val="24"/>
          <w:lang w:val="en-US" w:eastAsia="zh-CN" w:bidi="ar-SA"/>
        </w:rPr>
      </w:pPr>
      <w:r>
        <w:rPr>
          <w:rFonts w:hint="default" w:ascii="Arial Narrow" w:hAnsi="Arial Narrow" w:eastAsia="仿宋_GB2312" w:cs="Arial Narrow"/>
          <w:color w:val="auto"/>
          <w:kern w:val="0"/>
          <w:sz w:val="24"/>
          <w:szCs w:val="24"/>
          <w:lang w:val="en-US" w:eastAsia="zh-CN" w:bidi="ar-SA"/>
        </w:rPr>
        <w:t>3.《重庆市财政衔接推进乡村振兴补助资金绩效评价及考核办法》（渝财农〔2022〕2号)；</w:t>
      </w:r>
    </w:p>
    <w:p w14:paraId="0CBE9C73">
      <w:pPr>
        <w:pStyle w:val="13"/>
        <w:spacing w:line="360" w:lineRule="auto"/>
        <w:ind w:firstLine="480" w:firstLineChars="200"/>
        <w:rPr>
          <w:rFonts w:hint="default" w:ascii="Arial Narrow" w:hAnsi="Arial Narrow" w:eastAsia="仿宋_GB2312" w:cs="Arial Narrow"/>
          <w:color w:val="auto"/>
          <w:kern w:val="0"/>
          <w:sz w:val="24"/>
          <w:szCs w:val="24"/>
          <w:lang w:val="en-US" w:eastAsia="zh-CN" w:bidi="ar-SA"/>
        </w:rPr>
      </w:pPr>
      <w:r>
        <w:rPr>
          <w:rFonts w:hint="default" w:ascii="Arial Narrow" w:hAnsi="Arial Narrow" w:eastAsia="仿宋_GB2312" w:cs="Arial Narrow"/>
          <w:color w:val="auto"/>
          <w:kern w:val="0"/>
          <w:sz w:val="24"/>
          <w:szCs w:val="24"/>
          <w:lang w:val="en-US" w:eastAsia="zh-CN" w:bidi="ar-SA"/>
        </w:rPr>
        <w:t>4.《铜梁区区级政策和项目预算绩效管理办法（试行）》（铜财〔2022〕41号）；</w:t>
      </w:r>
    </w:p>
    <w:p w14:paraId="7BE5264F">
      <w:pPr>
        <w:pStyle w:val="13"/>
        <w:spacing w:line="360" w:lineRule="auto"/>
        <w:ind w:firstLine="480" w:firstLineChars="200"/>
        <w:rPr>
          <w:rFonts w:hint="default" w:ascii="Arial Narrow" w:hAnsi="Arial Narrow" w:eastAsia="仿宋_GB2312" w:cs="Arial Narrow"/>
          <w:color w:val="auto"/>
          <w:kern w:val="0"/>
          <w:sz w:val="24"/>
          <w:szCs w:val="24"/>
          <w:lang w:val="en-US" w:eastAsia="zh-CN" w:bidi="ar-SA"/>
        </w:rPr>
      </w:pPr>
      <w:r>
        <w:rPr>
          <w:rFonts w:hint="default" w:ascii="Arial Narrow" w:hAnsi="Arial Narrow" w:eastAsia="仿宋_GB2312" w:cs="Arial Narrow"/>
          <w:color w:val="auto"/>
          <w:kern w:val="0"/>
          <w:sz w:val="24"/>
          <w:szCs w:val="24"/>
          <w:lang w:val="en-US" w:eastAsia="zh-CN" w:bidi="ar-SA"/>
        </w:rPr>
        <w:t>5.《重庆市财政局等6部门关于加强财政衔接推进乡村振兴补助资金使用管理的实施意见》（渝财农〔2022〕73号）；</w:t>
      </w:r>
    </w:p>
    <w:p w14:paraId="09D829FE">
      <w:pPr>
        <w:pStyle w:val="13"/>
        <w:spacing w:line="360" w:lineRule="auto"/>
        <w:ind w:firstLine="480" w:firstLineChars="200"/>
        <w:rPr>
          <w:rFonts w:hint="default" w:ascii="Arial Narrow" w:hAnsi="Arial Narrow" w:eastAsia="仿宋_GB2312" w:cs="Arial Narrow"/>
          <w:color w:val="auto"/>
          <w:kern w:val="0"/>
          <w:sz w:val="24"/>
          <w:szCs w:val="24"/>
          <w:lang w:val="en-US" w:eastAsia="zh-CN" w:bidi="ar-SA"/>
        </w:rPr>
      </w:pPr>
      <w:r>
        <w:rPr>
          <w:rFonts w:hint="default" w:ascii="Arial Narrow" w:hAnsi="Arial Narrow" w:eastAsia="仿宋_GB2312" w:cs="Arial Narrow"/>
          <w:color w:val="auto"/>
          <w:kern w:val="0"/>
          <w:sz w:val="24"/>
          <w:szCs w:val="24"/>
          <w:lang w:val="en-US" w:eastAsia="zh-CN" w:bidi="ar-SA"/>
        </w:rPr>
        <w:t>6.《铜梁区巩固拓展脱贫攻坚成果和衔接乡村振兴项目库建设管理实施细则》（铜乡振〔2021〕7号）；</w:t>
      </w:r>
    </w:p>
    <w:p w14:paraId="585CE0BC">
      <w:pPr>
        <w:pStyle w:val="13"/>
        <w:spacing w:line="360" w:lineRule="auto"/>
        <w:ind w:firstLine="480" w:firstLineChars="200"/>
        <w:rPr>
          <w:rFonts w:hint="default" w:ascii="Arial Narrow" w:hAnsi="Arial Narrow" w:eastAsia="仿宋_GB2312" w:cs="Arial Narrow"/>
          <w:color w:val="auto"/>
          <w:kern w:val="0"/>
          <w:sz w:val="24"/>
          <w:szCs w:val="24"/>
          <w:lang w:val="en-US" w:eastAsia="zh-CN" w:bidi="ar-SA"/>
        </w:rPr>
      </w:pPr>
      <w:r>
        <w:rPr>
          <w:rFonts w:hint="default" w:ascii="Arial Narrow" w:hAnsi="Arial Narrow" w:eastAsia="仿宋_GB2312" w:cs="Arial Narrow"/>
          <w:color w:val="auto"/>
          <w:kern w:val="0"/>
          <w:sz w:val="24"/>
          <w:szCs w:val="24"/>
          <w:lang w:val="en-US" w:eastAsia="zh-CN" w:bidi="ar-SA"/>
        </w:rPr>
        <w:t>7.《铜梁区财政衔接推进乡村振兴补助资金项目公告公示实施办法》（铜委农办〔2021〕19号）；</w:t>
      </w:r>
    </w:p>
    <w:p w14:paraId="2324D08C">
      <w:pPr>
        <w:pStyle w:val="13"/>
        <w:spacing w:line="360" w:lineRule="auto"/>
        <w:ind w:firstLine="480" w:firstLineChars="200"/>
        <w:rPr>
          <w:rFonts w:hint="default" w:ascii="Arial Narrow" w:hAnsi="Arial Narrow" w:eastAsia="仿宋_GB2312" w:cs="Arial Narrow"/>
          <w:color w:val="auto"/>
          <w:kern w:val="0"/>
          <w:sz w:val="24"/>
          <w:szCs w:val="24"/>
          <w:lang w:val="en-US" w:eastAsia="zh-CN" w:bidi="ar-SA"/>
        </w:rPr>
      </w:pPr>
      <w:r>
        <w:rPr>
          <w:rFonts w:hint="default" w:ascii="Arial Narrow" w:hAnsi="Arial Narrow" w:eastAsia="仿宋_GB2312" w:cs="Arial Narrow"/>
          <w:color w:val="auto"/>
          <w:kern w:val="0"/>
          <w:sz w:val="24"/>
          <w:szCs w:val="24"/>
          <w:lang w:val="en-US" w:eastAsia="zh-CN" w:bidi="ar-SA"/>
        </w:rPr>
        <w:t>8.《项目支出绩效评价管理办法》（财预〔2020〕10号）；</w:t>
      </w:r>
    </w:p>
    <w:p w14:paraId="118DFE13">
      <w:pPr>
        <w:pStyle w:val="13"/>
        <w:spacing w:line="360" w:lineRule="auto"/>
        <w:ind w:firstLine="480" w:firstLineChars="200"/>
        <w:rPr>
          <w:rFonts w:hint="default" w:ascii="Arial Narrow" w:hAnsi="Arial Narrow" w:eastAsia="仿宋_GB2312" w:cs="Arial Narrow"/>
          <w:color w:val="auto"/>
          <w:kern w:val="0"/>
          <w:sz w:val="24"/>
          <w:szCs w:val="24"/>
          <w:lang w:val="en-US" w:eastAsia="zh-CN" w:bidi="ar-SA"/>
        </w:rPr>
      </w:pPr>
      <w:r>
        <w:rPr>
          <w:rFonts w:hint="default" w:ascii="Arial Narrow" w:hAnsi="Arial Narrow" w:eastAsia="仿宋_GB2312" w:cs="Arial Narrow"/>
          <w:color w:val="auto"/>
          <w:kern w:val="0"/>
          <w:sz w:val="24"/>
          <w:szCs w:val="24"/>
          <w:lang w:val="en-US" w:eastAsia="zh-CN" w:bidi="ar-SA"/>
        </w:rPr>
        <w:t>9.《重庆市市级政策和项目预算绩效管理办法》（渝财绩〔2019〕19号）；</w:t>
      </w:r>
    </w:p>
    <w:p w14:paraId="5D47C55A">
      <w:pPr>
        <w:pStyle w:val="13"/>
        <w:spacing w:line="360" w:lineRule="auto"/>
        <w:ind w:firstLine="480" w:firstLineChars="200"/>
        <w:rPr>
          <w:rFonts w:hint="default" w:ascii="Arial Narrow" w:hAnsi="Arial Narrow" w:eastAsia="仿宋_GB2312" w:cs="Arial Narrow"/>
          <w:color w:val="auto"/>
          <w:kern w:val="0"/>
          <w:sz w:val="24"/>
          <w:szCs w:val="24"/>
          <w:lang w:val="en-US" w:eastAsia="zh-CN" w:bidi="ar-SA"/>
        </w:rPr>
      </w:pPr>
      <w:r>
        <w:rPr>
          <w:rFonts w:hint="default" w:ascii="Arial Narrow" w:hAnsi="Arial Narrow" w:eastAsia="仿宋_GB2312" w:cs="Arial Narrow"/>
          <w:color w:val="auto"/>
          <w:kern w:val="0"/>
          <w:sz w:val="24"/>
          <w:szCs w:val="24"/>
          <w:lang w:val="en-US" w:eastAsia="zh-CN" w:bidi="ar-SA"/>
        </w:rPr>
        <w:t>10.《会计师事务所财政支出绩效评价业务指引》（注协</w:t>
      </w:r>
      <w:bookmarkStart w:id="13" w:name="_Hlk162597612"/>
      <w:r>
        <w:rPr>
          <w:rFonts w:hint="default" w:ascii="Arial Narrow" w:hAnsi="Arial Narrow" w:eastAsia="仿宋_GB2312" w:cs="Arial Narrow"/>
          <w:color w:val="auto"/>
          <w:kern w:val="0"/>
          <w:sz w:val="24"/>
          <w:szCs w:val="24"/>
          <w:lang w:val="en-US" w:eastAsia="zh-CN" w:bidi="ar-SA"/>
        </w:rPr>
        <w:t>〔2016〕</w:t>
      </w:r>
      <w:bookmarkEnd w:id="13"/>
      <w:r>
        <w:rPr>
          <w:rFonts w:hint="default" w:ascii="Arial Narrow" w:hAnsi="Arial Narrow" w:eastAsia="仿宋_GB2312" w:cs="Arial Narrow"/>
          <w:color w:val="auto"/>
          <w:kern w:val="0"/>
          <w:sz w:val="24"/>
          <w:szCs w:val="24"/>
          <w:lang w:val="en-US" w:eastAsia="zh-CN" w:bidi="ar-SA"/>
        </w:rPr>
        <w:t>10号）；</w:t>
      </w:r>
    </w:p>
    <w:p w14:paraId="2D676D24">
      <w:pPr>
        <w:pStyle w:val="13"/>
        <w:spacing w:line="360" w:lineRule="auto"/>
        <w:ind w:firstLine="480" w:firstLineChars="200"/>
        <w:rPr>
          <w:rFonts w:hint="default" w:ascii="Arial Narrow" w:hAnsi="Arial Narrow" w:eastAsia="仿宋_GB2312" w:cs="Arial Narrow"/>
          <w:color w:val="auto"/>
          <w:kern w:val="0"/>
          <w:sz w:val="24"/>
          <w:szCs w:val="24"/>
          <w:lang w:val="en-US" w:eastAsia="zh-CN" w:bidi="ar-SA"/>
        </w:rPr>
      </w:pPr>
      <w:r>
        <w:rPr>
          <w:rFonts w:hint="default" w:ascii="Arial Narrow" w:hAnsi="Arial Narrow" w:eastAsia="仿宋_GB2312" w:cs="Arial Narrow"/>
          <w:color w:val="auto"/>
          <w:kern w:val="0"/>
          <w:sz w:val="24"/>
          <w:szCs w:val="24"/>
          <w:lang w:val="en-US" w:eastAsia="zh-CN" w:bidi="ar-SA"/>
        </w:rPr>
        <w:t>11.评价工作人员通过现场调查、核实等获得的资料等。</w:t>
      </w:r>
    </w:p>
    <w:p w14:paraId="414F78FC">
      <w:pPr>
        <w:spacing w:line="360" w:lineRule="auto"/>
        <w:ind w:firstLine="482" w:firstLineChars="200"/>
        <w:jc w:val="left"/>
        <w:outlineLvl w:val="0"/>
        <w:rPr>
          <w:rFonts w:hint="default" w:ascii="Arial Narrow" w:hAnsi="Arial Narrow" w:eastAsia="仿宋_GB2312" w:cs="Arial Narrow"/>
          <w:b/>
          <w:sz w:val="24"/>
        </w:rPr>
      </w:pPr>
      <w:bookmarkStart w:id="14" w:name="_Toc5917"/>
      <w:r>
        <w:rPr>
          <w:rFonts w:hint="default" w:ascii="Arial Narrow" w:hAnsi="Arial Narrow" w:eastAsia="仿宋_GB2312" w:cs="Arial Narrow"/>
          <w:b/>
          <w:sz w:val="24"/>
        </w:rPr>
        <w:t>（四）绩效评价原则和指标体系</w:t>
      </w:r>
      <w:bookmarkEnd w:id="14"/>
    </w:p>
    <w:p w14:paraId="4BCFC547">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1.绩效评价主要遵循以下原则：</w:t>
      </w:r>
    </w:p>
    <w:p w14:paraId="520E2CAC">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（1）相关性原则。应当与绩效目标有直接的联系，能够恰当反映目标的实现程度。</w:t>
      </w:r>
    </w:p>
    <w:p w14:paraId="1FE830FC">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（2）重要性原则。应当优先使用最具评价对象代表性、最能反映评价要求的核心指标。</w:t>
      </w:r>
    </w:p>
    <w:p w14:paraId="279449D5">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（3）可比性原则。对同类评价对象要设定共性的绩效评价指标，以便于评价结果可以相互比较。</w:t>
      </w:r>
    </w:p>
    <w:p w14:paraId="563CE9CD">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（4）系统性原则。应当将定量指标与定性指标相结合，系统反映财政支出所产生的社会效益和可持续影响等。</w:t>
      </w:r>
    </w:p>
    <w:p w14:paraId="4AAA6735">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（5）经济性原则。应当通俗易懂、简便易行，数据的获得应当考虑现实条件和可操作性，符合成本效益原则。</w:t>
      </w:r>
    </w:p>
    <w:p w14:paraId="29FE9F30">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2.绩效评价指标体系</w:t>
      </w:r>
    </w:p>
    <w:p w14:paraId="3161292E">
      <w:pPr>
        <w:pStyle w:val="13"/>
        <w:spacing w:line="360" w:lineRule="auto"/>
        <w:ind w:firstLine="480" w:firstLineChars="200"/>
        <w:jc w:val="both"/>
        <w:rPr>
          <w:rFonts w:hint="default" w:ascii="Arial Narrow" w:hAnsi="Arial Narrow" w:eastAsia="仿宋_GB2312" w:cs="Arial Narrow"/>
          <w:color w:val="auto"/>
        </w:rPr>
      </w:pPr>
      <w:r>
        <w:rPr>
          <w:rFonts w:hint="default" w:ascii="Arial Narrow" w:hAnsi="Arial Narrow" w:eastAsia="仿宋_GB2312" w:cs="Arial Narrow"/>
          <w:color w:val="auto"/>
        </w:rPr>
        <w:t>根据《重庆市铜梁区财政衔接推进乡村振兴补助资金绩效评价及考核办法》的通知（铜财〔2022〕678号</w:t>
      </w:r>
      <w:r>
        <w:rPr>
          <w:rFonts w:hint="default" w:ascii="Arial Narrow" w:hAnsi="Arial Narrow" w:eastAsia="仿宋_GB2312" w:cs="Arial Narrow"/>
          <w:color w:val="auto"/>
          <w:lang w:eastAsia="zh-CN"/>
        </w:rPr>
        <w:t>）</w:t>
      </w:r>
      <w:r>
        <w:rPr>
          <w:rFonts w:hint="default" w:ascii="Arial Narrow" w:hAnsi="Arial Narrow" w:eastAsia="仿宋_GB2312" w:cs="Arial Narrow"/>
          <w:color w:val="auto"/>
        </w:rPr>
        <w:t>，本次绩效评价及考核指标体系如下：</w:t>
      </w:r>
    </w:p>
    <w:p w14:paraId="232357F7">
      <w:pPr>
        <w:pStyle w:val="13"/>
        <w:spacing w:line="360" w:lineRule="auto"/>
        <w:ind w:firstLine="482" w:firstLineChars="200"/>
        <w:jc w:val="center"/>
        <w:rPr>
          <w:rFonts w:hint="default" w:ascii="Arial Narrow" w:hAnsi="Arial Narrow" w:eastAsia="仿宋_GB2312" w:cs="Arial Narrow"/>
          <w:b/>
          <w:bCs/>
          <w:color w:val="auto"/>
        </w:rPr>
      </w:pPr>
      <w:r>
        <w:rPr>
          <w:rFonts w:hint="default" w:ascii="Arial Narrow" w:hAnsi="Arial Narrow" w:eastAsia="仿宋_GB2312" w:cs="Arial Narrow"/>
          <w:b/>
          <w:bCs/>
          <w:color w:val="auto"/>
        </w:rPr>
        <w:t>铜梁区衔接资金项目绩效评价及考核指标评分表</w:t>
      </w:r>
    </w:p>
    <w:tbl>
      <w:tblPr>
        <w:tblStyle w:val="8"/>
        <w:tblW w:w="9491" w:type="dxa"/>
        <w:tblInd w:w="113" w:type="dxa"/>
        <w:tblLayout w:type="fixed"/>
        <w:tblCellMar>
          <w:top w:w="0" w:type="dxa"/>
          <w:left w:w="108" w:type="dxa"/>
          <w:bottom w:w="0" w:type="dxa"/>
          <w:right w:w="108" w:type="dxa"/>
        </w:tblCellMar>
      </w:tblPr>
      <w:tblGrid>
        <w:gridCol w:w="536"/>
        <w:gridCol w:w="1017"/>
        <w:gridCol w:w="1049"/>
        <w:gridCol w:w="536"/>
        <w:gridCol w:w="2762"/>
        <w:gridCol w:w="3591"/>
      </w:tblGrid>
      <w:tr w14:paraId="0627FE0D">
        <w:trPr>
          <w:cantSplit/>
          <w:trHeight w:val="340" w:hRule="atLeast"/>
          <w:tblHeader/>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920FEE">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序号</w:t>
            </w:r>
          </w:p>
        </w:tc>
        <w:tc>
          <w:tcPr>
            <w:tcW w:w="1017" w:type="dxa"/>
            <w:tcBorders>
              <w:top w:val="single" w:color="auto" w:sz="4" w:space="0"/>
              <w:left w:val="nil"/>
              <w:bottom w:val="single" w:color="auto" w:sz="4" w:space="0"/>
              <w:right w:val="single" w:color="auto" w:sz="4" w:space="0"/>
            </w:tcBorders>
            <w:shd w:val="clear" w:color="auto" w:fill="auto"/>
            <w:noWrap/>
            <w:vAlign w:val="center"/>
          </w:tcPr>
          <w:p w14:paraId="4006E3A3">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一级指标</w:t>
            </w:r>
          </w:p>
        </w:tc>
        <w:tc>
          <w:tcPr>
            <w:tcW w:w="1049" w:type="dxa"/>
            <w:tcBorders>
              <w:top w:val="single" w:color="auto" w:sz="4" w:space="0"/>
              <w:left w:val="nil"/>
              <w:bottom w:val="single" w:color="auto" w:sz="4" w:space="0"/>
              <w:right w:val="single" w:color="auto" w:sz="4" w:space="0"/>
            </w:tcBorders>
            <w:shd w:val="clear" w:color="auto" w:fill="auto"/>
            <w:noWrap/>
            <w:vAlign w:val="center"/>
          </w:tcPr>
          <w:p w14:paraId="3BC9DE12">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二级指标</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57128B27">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分值</w:t>
            </w:r>
          </w:p>
        </w:tc>
        <w:tc>
          <w:tcPr>
            <w:tcW w:w="2762" w:type="dxa"/>
            <w:tcBorders>
              <w:top w:val="single" w:color="auto" w:sz="4" w:space="0"/>
              <w:left w:val="nil"/>
              <w:bottom w:val="single" w:color="auto" w:sz="4" w:space="0"/>
              <w:right w:val="single" w:color="auto" w:sz="4" w:space="0"/>
            </w:tcBorders>
            <w:shd w:val="clear" w:color="auto" w:fill="auto"/>
            <w:noWrap/>
            <w:vAlign w:val="center"/>
          </w:tcPr>
          <w:p w14:paraId="47674ED0">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指标释义</w:t>
            </w:r>
          </w:p>
        </w:tc>
        <w:tc>
          <w:tcPr>
            <w:tcW w:w="3591" w:type="dxa"/>
            <w:tcBorders>
              <w:top w:val="single" w:color="auto" w:sz="4" w:space="0"/>
              <w:left w:val="nil"/>
              <w:bottom w:val="single" w:color="auto" w:sz="4" w:space="0"/>
              <w:right w:val="single" w:color="auto" w:sz="4" w:space="0"/>
            </w:tcBorders>
            <w:shd w:val="clear" w:color="auto" w:fill="auto"/>
            <w:noWrap/>
            <w:vAlign w:val="center"/>
          </w:tcPr>
          <w:p w14:paraId="2A5A5A8E">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评价标准</w:t>
            </w:r>
          </w:p>
        </w:tc>
      </w:tr>
      <w:tr w14:paraId="465898DA">
        <w:tblPrEx>
          <w:tblCellMar>
            <w:top w:w="0" w:type="dxa"/>
            <w:left w:w="108" w:type="dxa"/>
            <w:bottom w:w="0" w:type="dxa"/>
            <w:right w:w="108" w:type="dxa"/>
          </w:tblCellMar>
        </w:tblPrEx>
        <w:trPr>
          <w:cantSplit/>
          <w:trHeight w:val="1967"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5D1D445">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0803FEA4">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资金管理（5分）</w:t>
            </w:r>
          </w:p>
        </w:tc>
        <w:tc>
          <w:tcPr>
            <w:tcW w:w="1049" w:type="dxa"/>
            <w:tcBorders>
              <w:top w:val="nil"/>
              <w:left w:val="nil"/>
              <w:bottom w:val="single" w:color="auto" w:sz="4" w:space="0"/>
              <w:right w:val="single" w:color="auto" w:sz="4" w:space="0"/>
            </w:tcBorders>
            <w:shd w:val="clear" w:color="auto" w:fill="auto"/>
            <w:vAlign w:val="center"/>
          </w:tcPr>
          <w:p w14:paraId="46E7D5D3">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财政衔接资金安排情况</w:t>
            </w:r>
          </w:p>
        </w:tc>
        <w:tc>
          <w:tcPr>
            <w:tcW w:w="536" w:type="dxa"/>
            <w:tcBorders>
              <w:top w:val="nil"/>
              <w:left w:val="nil"/>
              <w:bottom w:val="single" w:color="auto" w:sz="4" w:space="0"/>
              <w:right w:val="single" w:color="auto" w:sz="4" w:space="0"/>
            </w:tcBorders>
            <w:shd w:val="clear" w:color="auto" w:fill="auto"/>
            <w:vAlign w:val="center"/>
          </w:tcPr>
          <w:p w14:paraId="565AF54F">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w:t>
            </w:r>
          </w:p>
        </w:tc>
        <w:tc>
          <w:tcPr>
            <w:tcW w:w="2762" w:type="dxa"/>
            <w:tcBorders>
              <w:top w:val="nil"/>
              <w:left w:val="nil"/>
              <w:bottom w:val="single" w:color="auto" w:sz="4" w:space="0"/>
              <w:right w:val="single" w:color="auto" w:sz="4" w:space="0"/>
            </w:tcBorders>
            <w:shd w:val="clear" w:color="auto" w:fill="auto"/>
            <w:vAlign w:val="center"/>
          </w:tcPr>
          <w:p w14:paraId="7EEC312C">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3591" w:type="dxa"/>
            <w:tcBorders>
              <w:top w:val="nil"/>
              <w:left w:val="nil"/>
              <w:bottom w:val="single" w:color="auto" w:sz="4" w:space="0"/>
              <w:right w:val="single" w:color="auto" w:sz="4" w:space="0"/>
            </w:tcBorders>
            <w:shd w:val="clear" w:color="auto" w:fill="auto"/>
            <w:vAlign w:val="center"/>
          </w:tcPr>
          <w:p w14:paraId="7A058355">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资金使用方向符合文件规定（2分）。</w:t>
            </w:r>
          </w:p>
        </w:tc>
      </w:tr>
      <w:tr w14:paraId="62EDBD22">
        <w:tblPrEx>
          <w:tblCellMar>
            <w:top w:w="0" w:type="dxa"/>
            <w:left w:w="108" w:type="dxa"/>
            <w:bottom w:w="0" w:type="dxa"/>
            <w:right w:w="108" w:type="dxa"/>
          </w:tblCellMar>
        </w:tblPrEx>
        <w:trPr>
          <w:cantSplit/>
          <w:trHeight w:val="81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31F2CEE">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w:t>
            </w:r>
          </w:p>
        </w:tc>
        <w:tc>
          <w:tcPr>
            <w:tcW w:w="1017" w:type="dxa"/>
            <w:vMerge w:val="continue"/>
            <w:tcBorders>
              <w:top w:val="nil"/>
              <w:left w:val="single" w:color="auto" w:sz="4" w:space="0"/>
              <w:bottom w:val="single" w:color="auto" w:sz="4" w:space="0"/>
              <w:right w:val="single" w:color="auto" w:sz="4" w:space="0"/>
            </w:tcBorders>
            <w:vAlign w:val="center"/>
          </w:tcPr>
          <w:p w14:paraId="26D1E213">
            <w:pPr>
              <w:widowControl/>
              <w:jc w:val="left"/>
              <w:rPr>
                <w:rFonts w:hint="default"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3B5083FD">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资金分解下达进度</w:t>
            </w:r>
          </w:p>
        </w:tc>
        <w:tc>
          <w:tcPr>
            <w:tcW w:w="536" w:type="dxa"/>
            <w:tcBorders>
              <w:top w:val="nil"/>
              <w:left w:val="nil"/>
              <w:bottom w:val="single" w:color="auto" w:sz="4" w:space="0"/>
              <w:right w:val="single" w:color="auto" w:sz="4" w:space="0"/>
            </w:tcBorders>
            <w:shd w:val="clear" w:color="auto" w:fill="auto"/>
            <w:noWrap/>
            <w:vAlign w:val="center"/>
          </w:tcPr>
          <w:p w14:paraId="4342834B">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w:t>
            </w:r>
          </w:p>
        </w:tc>
        <w:tc>
          <w:tcPr>
            <w:tcW w:w="2762" w:type="dxa"/>
            <w:tcBorders>
              <w:top w:val="nil"/>
              <w:left w:val="nil"/>
              <w:bottom w:val="single" w:color="auto" w:sz="4" w:space="0"/>
              <w:right w:val="single" w:color="auto" w:sz="4" w:space="0"/>
            </w:tcBorders>
            <w:shd w:val="clear" w:color="auto" w:fill="auto"/>
            <w:vAlign w:val="center"/>
          </w:tcPr>
          <w:p w14:paraId="43270E2A">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评价区级业务主管部门分解下达当年资金及次年提前批资金进度情况。</w:t>
            </w:r>
          </w:p>
        </w:tc>
        <w:tc>
          <w:tcPr>
            <w:tcW w:w="3591" w:type="dxa"/>
            <w:tcBorders>
              <w:top w:val="nil"/>
              <w:left w:val="nil"/>
              <w:bottom w:val="single" w:color="auto" w:sz="4" w:space="0"/>
              <w:right w:val="single" w:color="auto" w:sz="4" w:space="0"/>
            </w:tcBorders>
            <w:shd w:val="clear" w:color="auto" w:fill="auto"/>
            <w:vAlign w:val="center"/>
          </w:tcPr>
          <w:p w14:paraId="25FBEFAE">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区财政局下达资金文件时间到区级业务主管部门下达项目及资金计划文件时间间隔≤30日（3分）。</w:t>
            </w:r>
          </w:p>
        </w:tc>
      </w:tr>
      <w:tr w14:paraId="3F276C7C">
        <w:tblPrEx>
          <w:tblCellMar>
            <w:top w:w="0" w:type="dxa"/>
            <w:left w:w="108" w:type="dxa"/>
            <w:bottom w:w="0" w:type="dxa"/>
            <w:right w:w="108" w:type="dxa"/>
          </w:tblCellMar>
        </w:tblPrEx>
        <w:trPr>
          <w:cantSplit/>
          <w:trHeight w:val="1030"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DB8B77F">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602F5432">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项目管理（55分）</w:t>
            </w:r>
          </w:p>
        </w:tc>
        <w:tc>
          <w:tcPr>
            <w:tcW w:w="1049" w:type="dxa"/>
            <w:tcBorders>
              <w:top w:val="nil"/>
              <w:left w:val="nil"/>
              <w:bottom w:val="single" w:color="auto" w:sz="4" w:space="0"/>
              <w:right w:val="single" w:color="auto" w:sz="4" w:space="0"/>
            </w:tcBorders>
            <w:shd w:val="clear" w:color="auto" w:fill="auto"/>
            <w:vAlign w:val="center"/>
          </w:tcPr>
          <w:p w14:paraId="6591E43B">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项目库建设管理情况</w:t>
            </w:r>
          </w:p>
        </w:tc>
        <w:tc>
          <w:tcPr>
            <w:tcW w:w="536" w:type="dxa"/>
            <w:tcBorders>
              <w:top w:val="nil"/>
              <w:left w:val="nil"/>
              <w:bottom w:val="single" w:color="auto" w:sz="4" w:space="0"/>
              <w:right w:val="single" w:color="auto" w:sz="4" w:space="0"/>
            </w:tcBorders>
            <w:shd w:val="clear" w:color="auto" w:fill="auto"/>
            <w:noWrap/>
            <w:vAlign w:val="center"/>
          </w:tcPr>
          <w:p w14:paraId="0F430FF6">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2762" w:type="dxa"/>
            <w:tcBorders>
              <w:top w:val="nil"/>
              <w:left w:val="nil"/>
              <w:bottom w:val="nil"/>
              <w:right w:val="nil"/>
            </w:tcBorders>
            <w:shd w:val="clear" w:color="auto" w:fill="auto"/>
            <w:vAlign w:val="center"/>
          </w:tcPr>
          <w:p w14:paraId="796D7818">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评价落实《铜梁区巩固拓展脱贫攻坚成果和衔接乡村振兴项目库建设管理实施细则》（铜乡振〔2021〕7号）落实情况。根据抽</w:t>
            </w:r>
            <w:r>
              <w:rPr>
                <w:rFonts w:hint="default" w:ascii="Arial Narrow" w:hAnsi="Arial Narrow" w:eastAsia="仿宋_GB2312" w:cs="Arial Narrow"/>
                <w:kern w:val="0"/>
                <w:sz w:val="16"/>
                <w:szCs w:val="16"/>
                <w:lang w:eastAsia="zh-CN"/>
              </w:rPr>
              <w:t>查</w:t>
            </w:r>
            <w:r>
              <w:rPr>
                <w:rFonts w:hint="default" w:ascii="Arial Narrow" w:hAnsi="Arial Narrow" w:eastAsia="仿宋_GB2312" w:cs="Arial Narrow"/>
                <w:kern w:val="0"/>
                <w:sz w:val="16"/>
                <w:szCs w:val="16"/>
              </w:rPr>
              <w:t>情况赋分。</w:t>
            </w:r>
          </w:p>
        </w:tc>
        <w:tc>
          <w:tcPr>
            <w:tcW w:w="3591" w:type="dxa"/>
            <w:tcBorders>
              <w:top w:val="nil"/>
              <w:left w:val="single" w:color="auto" w:sz="4" w:space="0"/>
              <w:bottom w:val="single" w:color="auto" w:sz="4" w:space="0"/>
              <w:right w:val="single" w:color="auto" w:sz="4" w:space="0"/>
            </w:tcBorders>
            <w:shd w:val="clear" w:color="auto" w:fill="auto"/>
            <w:vAlign w:val="center"/>
          </w:tcPr>
          <w:p w14:paraId="0FC33D99">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1.项目入库及时充分、程序规范、内容完整（3分）；</w:t>
            </w:r>
          </w:p>
          <w:p w14:paraId="6AB22B3C">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2.入库项目具备实施条件（2分）；</w:t>
            </w:r>
          </w:p>
          <w:p w14:paraId="13C23B19">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3.衔接资金用于项目库之外的项目（-5分）。</w:t>
            </w:r>
          </w:p>
        </w:tc>
      </w:tr>
      <w:tr w14:paraId="1B396ECA">
        <w:tblPrEx>
          <w:tblCellMar>
            <w:top w:w="0" w:type="dxa"/>
            <w:left w:w="108" w:type="dxa"/>
            <w:bottom w:w="0" w:type="dxa"/>
            <w:right w:w="108" w:type="dxa"/>
          </w:tblCellMar>
        </w:tblPrEx>
        <w:trPr>
          <w:cantSplit/>
          <w:trHeight w:val="15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D8C1C75">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4</w:t>
            </w:r>
          </w:p>
        </w:tc>
        <w:tc>
          <w:tcPr>
            <w:tcW w:w="1017" w:type="dxa"/>
            <w:vMerge w:val="continue"/>
            <w:tcBorders>
              <w:top w:val="nil"/>
              <w:left w:val="single" w:color="auto" w:sz="4" w:space="0"/>
              <w:bottom w:val="single" w:color="auto" w:sz="4" w:space="0"/>
              <w:right w:val="single" w:color="auto" w:sz="4" w:space="0"/>
            </w:tcBorders>
            <w:vAlign w:val="center"/>
          </w:tcPr>
          <w:p w14:paraId="1D5938BA">
            <w:pPr>
              <w:widowControl/>
              <w:jc w:val="left"/>
              <w:rPr>
                <w:rFonts w:hint="default"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5FFB6BEC">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项目绩效管理情况</w:t>
            </w:r>
          </w:p>
        </w:tc>
        <w:tc>
          <w:tcPr>
            <w:tcW w:w="536" w:type="dxa"/>
            <w:tcBorders>
              <w:top w:val="nil"/>
              <w:left w:val="nil"/>
              <w:bottom w:val="single" w:color="auto" w:sz="4" w:space="0"/>
              <w:right w:val="single" w:color="auto" w:sz="4" w:space="0"/>
            </w:tcBorders>
            <w:shd w:val="clear" w:color="auto" w:fill="auto"/>
            <w:noWrap/>
            <w:vAlign w:val="center"/>
          </w:tcPr>
          <w:p w14:paraId="2B3C3657">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10</w:t>
            </w:r>
          </w:p>
        </w:tc>
        <w:tc>
          <w:tcPr>
            <w:tcW w:w="2762" w:type="dxa"/>
            <w:tcBorders>
              <w:top w:val="single" w:color="auto" w:sz="4" w:space="0"/>
              <w:left w:val="nil"/>
              <w:bottom w:val="single" w:color="auto" w:sz="4" w:space="0"/>
              <w:right w:val="single" w:color="auto" w:sz="4" w:space="0"/>
            </w:tcBorders>
            <w:shd w:val="clear" w:color="auto" w:fill="auto"/>
            <w:vAlign w:val="center"/>
          </w:tcPr>
          <w:p w14:paraId="71FCB207">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评价具体项目实施方案明确绩效目标情况、开展跟踪监督绩效监控情况、事后评价情况等。根据抽</w:t>
            </w:r>
            <w:r>
              <w:rPr>
                <w:rFonts w:hint="default" w:ascii="Arial Narrow" w:hAnsi="Arial Narrow" w:eastAsia="仿宋_GB2312" w:cs="Arial Narrow"/>
                <w:kern w:val="0"/>
                <w:sz w:val="16"/>
                <w:szCs w:val="16"/>
                <w:lang w:eastAsia="zh-CN"/>
              </w:rPr>
              <w:t>查</w:t>
            </w:r>
            <w:r>
              <w:rPr>
                <w:rFonts w:hint="default" w:ascii="Arial Narrow" w:hAnsi="Arial Narrow" w:eastAsia="仿宋_GB2312" w:cs="Arial Narrow"/>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2C560F32">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1.及时制定绩效目标、审核绩效目标（2分）；</w:t>
            </w:r>
          </w:p>
          <w:p w14:paraId="5B66E33C">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2.开展绩效监控不少于1次（2分）；</w:t>
            </w:r>
          </w:p>
          <w:p w14:paraId="2A313BCB">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3.对绩效目标偏离项目采取纠偏措施（2分）；</w:t>
            </w:r>
          </w:p>
          <w:p w14:paraId="72F3ED8C">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4.项目实施完毕后立即开展绩效自评，并形成绩效自评报告及绩效自评表。（2分）</w:t>
            </w:r>
          </w:p>
          <w:p w14:paraId="7FA27D0F">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5.项目绩效是否达到预期。（2分）</w:t>
            </w:r>
          </w:p>
        </w:tc>
      </w:tr>
      <w:tr w14:paraId="4C90FFD0">
        <w:tblPrEx>
          <w:tblCellMar>
            <w:top w:w="0" w:type="dxa"/>
            <w:left w:w="108" w:type="dxa"/>
            <w:bottom w:w="0" w:type="dxa"/>
            <w:right w:w="108" w:type="dxa"/>
          </w:tblCellMar>
        </w:tblPrEx>
        <w:trPr>
          <w:cantSplit/>
          <w:trHeight w:val="90"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9D4C8C3">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1017" w:type="dxa"/>
            <w:vMerge w:val="continue"/>
            <w:tcBorders>
              <w:top w:val="nil"/>
              <w:left w:val="single" w:color="auto" w:sz="4" w:space="0"/>
              <w:bottom w:val="single" w:color="auto" w:sz="4" w:space="0"/>
              <w:right w:val="single" w:color="auto" w:sz="4" w:space="0"/>
            </w:tcBorders>
            <w:vAlign w:val="center"/>
          </w:tcPr>
          <w:p w14:paraId="399B4675">
            <w:pPr>
              <w:widowControl/>
              <w:jc w:val="left"/>
              <w:rPr>
                <w:rFonts w:hint="default"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13E3DD34">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项目建设管理情况</w:t>
            </w:r>
          </w:p>
        </w:tc>
        <w:tc>
          <w:tcPr>
            <w:tcW w:w="536" w:type="dxa"/>
            <w:tcBorders>
              <w:top w:val="nil"/>
              <w:left w:val="nil"/>
              <w:bottom w:val="single" w:color="auto" w:sz="4" w:space="0"/>
              <w:right w:val="single" w:color="auto" w:sz="4" w:space="0"/>
            </w:tcBorders>
            <w:shd w:val="clear" w:color="auto" w:fill="auto"/>
            <w:vAlign w:val="center"/>
          </w:tcPr>
          <w:p w14:paraId="3A282211">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6</w:t>
            </w:r>
          </w:p>
        </w:tc>
        <w:tc>
          <w:tcPr>
            <w:tcW w:w="2762" w:type="dxa"/>
            <w:tcBorders>
              <w:top w:val="nil"/>
              <w:left w:val="nil"/>
              <w:bottom w:val="single" w:color="auto" w:sz="4" w:space="0"/>
              <w:right w:val="single" w:color="auto" w:sz="4" w:space="0"/>
            </w:tcBorders>
            <w:shd w:val="clear" w:color="auto" w:fill="auto"/>
            <w:vAlign w:val="center"/>
          </w:tcPr>
          <w:p w14:paraId="21F028B4">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评价有序推进项目前期工作、组织实施、项目验收、资料报送等情况。根据抽</w:t>
            </w:r>
            <w:r>
              <w:rPr>
                <w:rFonts w:hint="default" w:ascii="Arial Narrow" w:hAnsi="Arial Narrow" w:eastAsia="仿宋_GB2312" w:cs="Arial Narrow"/>
                <w:kern w:val="0"/>
                <w:sz w:val="16"/>
                <w:szCs w:val="16"/>
                <w:lang w:eastAsia="zh-CN"/>
              </w:rPr>
              <w:t>查</w:t>
            </w:r>
            <w:r>
              <w:rPr>
                <w:rFonts w:hint="default" w:ascii="Arial Narrow" w:hAnsi="Arial Narrow" w:eastAsia="仿宋_GB2312" w:cs="Arial Narrow"/>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234B0FEC">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1.项目实施方法存在变更是否按规定报批；（1分）</w:t>
            </w:r>
          </w:p>
          <w:p w14:paraId="1D69F3BD">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2.是否定期对项目实施情况进行监督检查，对检查中发现的问题进行整改；（2分）</w:t>
            </w:r>
          </w:p>
          <w:p w14:paraId="5EB49A94">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3.是否按照项目实施节点按时提交项目报账资料；（1分）</w:t>
            </w:r>
          </w:p>
          <w:p w14:paraId="64278C84">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4.日常管理资料是否及时归档整理；（1分）</w:t>
            </w:r>
          </w:p>
          <w:p w14:paraId="2381BA82">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5.项目完工后是否在规定时间内进行验收。（1分）</w:t>
            </w:r>
          </w:p>
        </w:tc>
      </w:tr>
      <w:tr w14:paraId="49FF45CE">
        <w:tblPrEx>
          <w:tblCellMar>
            <w:top w:w="0" w:type="dxa"/>
            <w:left w:w="108" w:type="dxa"/>
            <w:bottom w:w="0" w:type="dxa"/>
            <w:right w:w="108" w:type="dxa"/>
          </w:tblCellMar>
        </w:tblPrEx>
        <w:trPr>
          <w:cantSplit/>
          <w:trHeight w:val="356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C6C03C4">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6</w:t>
            </w:r>
          </w:p>
        </w:tc>
        <w:tc>
          <w:tcPr>
            <w:tcW w:w="1017" w:type="dxa"/>
            <w:vMerge w:val="continue"/>
            <w:tcBorders>
              <w:top w:val="nil"/>
              <w:left w:val="single" w:color="auto" w:sz="4" w:space="0"/>
              <w:bottom w:val="single" w:color="auto" w:sz="4" w:space="0"/>
              <w:right w:val="single" w:color="auto" w:sz="4" w:space="0"/>
            </w:tcBorders>
            <w:vAlign w:val="center"/>
          </w:tcPr>
          <w:p w14:paraId="244E4F88">
            <w:pPr>
              <w:widowControl/>
              <w:jc w:val="left"/>
              <w:rPr>
                <w:rFonts w:hint="default"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3DFDAF96">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预算执行率情况</w:t>
            </w:r>
          </w:p>
        </w:tc>
        <w:tc>
          <w:tcPr>
            <w:tcW w:w="536" w:type="dxa"/>
            <w:tcBorders>
              <w:top w:val="nil"/>
              <w:left w:val="nil"/>
              <w:bottom w:val="single" w:color="auto" w:sz="4" w:space="0"/>
              <w:right w:val="single" w:color="auto" w:sz="4" w:space="0"/>
            </w:tcBorders>
            <w:shd w:val="clear" w:color="auto" w:fill="auto"/>
            <w:noWrap/>
            <w:vAlign w:val="center"/>
          </w:tcPr>
          <w:p w14:paraId="12B0EFC8">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12</w:t>
            </w:r>
          </w:p>
        </w:tc>
        <w:tc>
          <w:tcPr>
            <w:tcW w:w="2762" w:type="dxa"/>
            <w:tcBorders>
              <w:top w:val="nil"/>
              <w:left w:val="nil"/>
              <w:bottom w:val="single" w:color="auto" w:sz="4" w:space="0"/>
              <w:right w:val="single" w:color="auto" w:sz="4" w:space="0"/>
            </w:tcBorders>
            <w:shd w:val="clear" w:color="auto" w:fill="auto"/>
            <w:vAlign w:val="center"/>
          </w:tcPr>
          <w:p w14:paraId="68DB169A">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评价有序推进项目工作和资金支付情况。根据抽</w:t>
            </w:r>
            <w:r>
              <w:rPr>
                <w:rFonts w:hint="default" w:ascii="Arial Narrow" w:hAnsi="Arial Narrow" w:eastAsia="仿宋_GB2312" w:cs="Arial Narrow"/>
                <w:kern w:val="0"/>
                <w:sz w:val="16"/>
                <w:szCs w:val="16"/>
                <w:lang w:eastAsia="zh-CN"/>
              </w:rPr>
              <w:t>查</w:t>
            </w:r>
            <w:r>
              <w:rPr>
                <w:rFonts w:hint="default" w:ascii="Arial Narrow" w:hAnsi="Arial Narrow" w:eastAsia="仿宋_GB2312" w:cs="Arial Narrow"/>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71A17DE1">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主要通过支出进度评价有序推进项目工作和资金支付情况，于7月末、10月中旬定期调度。</w:t>
            </w:r>
          </w:p>
          <w:p w14:paraId="11DC9945">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1.7月末支出进度评分4分。资金支出进度达到全区平均进度或者序时进度的，得满分；未达到的按照与序时进度的比例扣分；</w:t>
            </w:r>
          </w:p>
          <w:p w14:paraId="1D80F765">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2.10月中旬支出进度评分4分。资金支出进度达到全区平均进度或者序时进度的，得满分；未达到的按照与序时进度的比例扣分；</w:t>
            </w:r>
          </w:p>
          <w:p w14:paraId="26FAADEC">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09A675F2">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9E38A27">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7</w:t>
            </w:r>
          </w:p>
        </w:tc>
        <w:tc>
          <w:tcPr>
            <w:tcW w:w="1017" w:type="dxa"/>
            <w:vMerge w:val="continue"/>
            <w:tcBorders>
              <w:top w:val="nil"/>
              <w:left w:val="single" w:color="auto" w:sz="4" w:space="0"/>
              <w:bottom w:val="single" w:color="auto" w:sz="4" w:space="0"/>
              <w:right w:val="single" w:color="auto" w:sz="4" w:space="0"/>
            </w:tcBorders>
            <w:vAlign w:val="center"/>
          </w:tcPr>
          <w:p w14:paraId="2457D791">
            <w:pPr>
              <w:widowControl/>
              <w:jc w:val="left"/>
              <w:rPr>
                <w:rFonts w:hint="default"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19A7F2E7">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跟踪督促及发现问题整改情况</w:t>
            </w:r>
          </w:p>
        </w:tc>
        <w:tc>
          <w:tcPr>
            <w:tcW w:w="536" w:type="dxa"/>
            <w:tcBorders>
              <w:top w:val="nil"/>
              <w:left w:val="nil"/>
              <w:bottom w:val="single" w:color="auto" w:sz="4" w:space="0"/>
              <w:right w:val="single" w:color="auto" w:sz="4" w:space="0"/>
            </w:tcBorders>
            <w:shd w:val="clear" w:color="auto" w:fill="auto"/>
            <w:noWrap/>
            <w:vAlign w:val="center"/>
          </w:tcPr>
          <w:p w14:paraId="3CFDF64D">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8</w:t>
            </w:r>
          </w:p>
        </w:tc>
        <w:tc>
          <w:tcPr>
            <w:tcW w:w="2762" w:type="dxa"/>
            <w:tcBorders>
              <w:top w:val="nil"/>
              <w:left w:val="nil"/>
              <w:bottom w:val="single" w:color="auto" w:sz="4" w:space="0"/>
              <w:right w:val="single" w:color="auto" w:sz="4" w:space="0"/>
            </w:tcBorders>
            <w:shd w:val="clear" w:color="auto" w:fill="auto"/>
            <w:vAlign w:val="center"/>
          </w:tcPr>
          <w:p w14:paraId="49413F10">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评价定期开展监督检查情况、发现问题整改情况。根据未处理问题比例扣减。根据抽</w:t>
            </w:r>
            <w:r>
              <w:rPr>
                <w:rFonts w:hint="default" w:ascii="Arial Narrow" w:hAnsi="Arial Narrow" w:eastAsia="仿宋_GB2312" w:cs="Arial Narrow"/>
                <w:kern w:val="0"/>
                <w:sz w:val="16"/>
                <w:szCs w:val="16"/>
                <w:lang w:eastAsia="zh-CN"/>
              </w:rPr>
              <w:t>查</w:t>
            </w:r>
            <w:r>
              <w:rPr>
                <w:rFonts w:hint="default" w:ascii="Arial Narrow" w:hAnsi="Arial Narrow" w:eastAsia="仿宋_GB2312" w:cs="Arial Narrow"/>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34104D2E">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1.定期开展项目实施和资金支出进度等跟踪督促情况，落实到位的得2分，未完全落实到位的酌情扣分；</w:t>
            </w:r>
          </w:p>
          <w:p w14:paraId="6A0C795D">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2.跟踪督促及各类检查发现问题整改到位情况，满分5分，根据未整改问题比例扣减；</w:t>
            </w:r>
          </w:p>
          <w:p w14:paraId="3DDEAFC0">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3.全国12317防止返贫监测和乡村振兴咨询服务平台（简称12317平台）反馈问题处理情况，满分1分。</w:t>
            </w:r>
          </w:p>
        </w:tc>
      </w:tr>
      <w:tr w14:paraId="6770E929">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CE2CBCA">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8</w:t>
            </w:r>
          </w:p>
        </w:tc>
        <w:tc>
          <w:tcPr>
            <w:tcW w:w="1017" w:type="dxa"/>
            <w:vMerge w:val="continue"/>
            <w:tcBorders>
              <w:top w:val="nil"/>
              <w:left w:val="single" w:color="auto" w:sz="4" w:space="0"/>
              <w:bottom w:val="single" w:color="auto" w:sz="4" w:space="0"/>
              <w:right w:val="single" w:color="auto" w:sz="4" w:space="0"/>
            </w:tcBorders>
            <w:vAlign w:val="center"/>
          </w:tcPr>
          <w:p w14:paraId="5C2ED65C">
            <w:pPr>
              <w:widowControl/>
              <w:jc w:val="left"/>
              <w:rPr>
                <w:rFonts w:hint="default"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0B41684C">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账务处理及档案管理等情况</w:t>
            </w:r>
          </w:p>
        </w:tc>
        <w:tc>
          <w:tcPr>
            <w:tcW w:w="536" w:type="dxa"/>
            <w:tcBorders>
              <w:top w:val="nil"/>
              <w:left w:val="nil"/>
              <w:bottom w:val="single" w:color="auto" w:sz="4" w:space="0"/>
              <w:right w:val="single" w:color="auto" w:sz="4" w:space="0"/>
            </w:tcBorders>
            <w:shd w:val="clear" w:color="auto" w:fill="auto"/>
            <w:noWrap/>
            <w:vAlign w:val="center"/>
          </w:tcPr>
          <w:p w14:paraId="54996519">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44A5CE2F">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评价账务处理，资产转固，收益管理、档案管理等情况。根据抽</w:t>
            </w:r>
            <w:r>
              <w:rPr>
                <w:rFonts w:hint="default" w:ascii="Arial Narrow" w:hAnsi="Arial Narrow" w:eastAsia="仿宋_GB2312" w:cs="Arial Narrow"/>
                <w:kern w:val="0"/>
                <w:sz w:val="16"/>
                <w:szCs w:val="16"/>
                <w:lang w:eastAsia="zh-CN"/>
              </w:rPr>
              <w:t>查</w:t>
            </w:r>
            <w:r>
              <w:rPr>
                <w:rFonts w:hint="default" w:ascii="Arial Narrow" w:hAnsi="Arial Narrow" w:eastAsia="仿宋_GB2312" w:cs="Arial Narrow"/>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22BF8FEF">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1.财务处理是否规范，原始凭证是否齐全，建成资产是否及时转固、收益管理是否合规；（4分）</w:t>
            </w:r>
          </w:p>
          <w:p w14:paraId="054D91A9">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2.档案管理是否完整、合规、真实。（1分）</w:t>
            </w:r>
          </w:p>
        </w:tc>
      </w:tr>
      <w:tr w14:paraId="6155C6E7">
        <w:tblPrEx>
          <w:tblCellMar>
            <w:top w:w="0" w:type="dxa"/>
            <w:left w:w="108" w:type="dxa"/>
            <w:bottom w:w="0" w:type="dxa"/>
            <w:right w:w="108" w:type="dxa"/>
          </w:tblCellMar>
        </w:tblPrEx>
        <w:trPr>
          <w:cantSplit/>
          <w:trHeight w:val="18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E89105D">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9</w:t>
            </w:r>
          </w:p>
        </w:tc>
        <w:tc>
          <w:tcPr>
            <w:tcW w:w="1017" w:type="dxa"/>
            <w:vMerge w:val="continue"/>
            <w:tcBorders>
              <w:top w:val="nil"/>
              <w:left w:val="single" w:color="auto" w:sz="4" w:space="0"/>
              <w:bottom w:val="single" w:color="auto" w:sz="4" w:space="0"/>
              <w:right w:val="single" w:color="auto" w:sz="4" w:space="0"/>
            </w:tcBorders>
            <w:vAlign w:val="center"/>
          </w:tcPr>
          <w:p w14:paraId="38E0F1AE">
            <w:pPr>
              <w:widowControl/>
              <w:jc w:val="left"/>
              <w:rPr>
                <w:rFonts w:hint="default"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302E2F95">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信息公开和公告公示制度落实情况</w:t>
            </w:r>
          </w:p>
        </w:tc>
        <w:tc>
          <w:tcPr>
            <w:tcW w:w="536" w:type="dxa"/>
            <w:tcBorders>
              <w:top w:val="nil"/>
              <w:left w:val="nil"/>
              <w:bottom w:val="single" w:color="auto" w:sz="4" w:space="0"/>
              <w:right w:val="single" w:color="auto" w:sz="4" w:space="0"/>
            </w:tcBorders>
            <w:shd w:val="clear" w:color="auto" w:fill="auto"/>
            <w:noWrap/>
            <w:vAlign w:val="center"/>
          </w:tcPr>
          <w:p w14:paraId="79311EE0">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9</w:t>
            </w:r>
          </w:p>
        </w:tc>
        <w:tc>
          <w:tcPr>
            <w:tcW w:w="2762" w:type="dxa"/>
            <w:tcBorders>
              <w:top w:val="nil"/>
              <w:left w:val="nil"/>
              <w:bottom w:val="single" w:color="auto" w:sz="4" w:space="0"/>
              <w:right w:val="single" w:color="auto" w:sz="4" w:space="0"/>
            </w:tcBorders>
            <w:shd w:val="clear" w:color="auto" w:fill="auto"/>
            <w:vAlign w:val="center"/>
          </w:tcPr>
          <w:p w14:paraId="63B71577">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评价区级、镇级、村级落实《铜梁区财政衔接推进乡村振兴补助资金项目公告公示实施办法》（铜委农办〔2021〕19号）文件要求情况。根据抽</w:t>
            </w:r>
            <w:r>
              <w:rPr>
                <w:rFonts w:hint="default" w:ascii="Arial Narrow" w:hAnsi="Arial Narrow" w:eastAsia="仿宋_GB2312" w:cs="Arial Narrow"/>
                <w:kern w:val="0"/>
                <w:sz w:val="16"/>
                <w:szCs w:val="16"/>
                <w:lang w:eastAsia="zh-CN"/>
              </w:rPr>
              <w:t>查</w:t>
            </w:r>
            <w:r>
              <w:rPr>
                <w:rFonts w:hint="default" w:ascii="Arial Narrow" w:hAnsi="Arial Narrow" w:eastAsia="仿宋_GB2312" w:cs="Arial Narrow"/>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417DF158">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分区级、镇级、村级进行评价。</w:t>
            </w:r>
          </w:p>
          <w:p w14:paraId="3E940941">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1.抽查区级公示公开情况，满分3分，未完整公开酌情扣分；</w:t>
            </w:r>
          </w:p>
          <w:p w14:paraId="0B3D4372">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2.抽查镇级公示公开情况，满分3分，未完整公开酌情扣分；</w:t>
            </w:r>
          </w:p>
          <w:p w14:paraId="57F805A6">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3.抽查村级公示公开情况，满分3分，未完整公开酌情扣分。</w:t>
            </w:r>
          </w:p>
        </w:tc>
      </w:tr>
      <w:tr w14:paraId="34E7BC29">
        <w:tblPrEx>
          <w:tblCellMar>
            <w:top w:w="0" w:type="dxa"/>
            <w:left w:w="108" w:type="dxa"/>
            <w:bottom w:w="0" w:type="dxa"/>
            <w:right w:w="108" w:type="dxa"/>
          </w:tblCellMar>
        </w:tblPrEx>
        <w:trPr>
          <w:cantSplit/>
          <w:trHeight w:val="269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45758E4">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10</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23293FF4">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使用成效及通报情况（40分）</w:t>
            </w:r>
          </w:p>
        </w:tc>
        <w:tc>
          <w:tcPr>
            <w:tcW w:w="1049" w:type="dxa"/>
            <w:tcBorders>
              <w:top w:val="nil"/>
              <w:left w:val="nil"/>
              <w:bottom w:val="single" w:color="auto" w:sz="4" w:space="0"/>
              <w:right w:val="single" w:color="auto" w:sz="4" w:space="0"/>
            </w:tcBorders>
            <w:shd w:val="clear" w:color="auto" w:fill="auto"/>
            <w:vAlign w:val="center"/>
          </w:tcPr>
          <w:p w14:paraId="67306B65">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资金使用效益</w:t>
            </w:r>
          </w:p>
        </w:tc>
        <w:tc>
          <w:tcPr>
            <w:tcW w:w="536" w:type="dxa"/>
            <w:tcBorders>
              <w:top w:val="nil"/>
              <w:left w:val="nil"/>
              <w:bottom w:val="single" w:color="auto" w:sz="4" w:space="0"/>
              <w:right w:val="single" w:color="auto" w:sz="4" w:space="0"/>
            </w:tcBorders>
            <w:shd w:val="clear" w:color="auto" w:fill="auto"/>
            <w:noWrap/>
            <w:vAlign w:val="center"/>
          </w:tcPr>
          <w:p w14:paraId="1F9753B0">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35</w:t>
            </w:r>
          </w:p>
        </w:tc>
        <w:tc>
          <w:tcPr>
            <w:tcW w:w="2762" w:type="dxa"/>
            <w:tcBorders>
              <w:top w:val="nil"/>
              <w:left w:val="nil"/>
              <w:bottom w:val="single" w:color="auto" w:sz="4" w:space="0"/>
              <w:right w:val="single" w:color="auto" w:sz="4" w:space="0"/>
            </w:tcBorders>
            <w:shd w:val="clear" w:color="auto" w:fill="auto"/>
            <w:vAlign w:val="center"/>
          </w:tcPr>
          <w:p w14:paraId="0F0E0C5B">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评价项目是否达到预期成效，后续管护是否存在问题等。根据抽</w:t>
            </w:r>
            <w:r>
              <w:rPr>
                <w:rFonts w:hint="default" w:ascii="Arial Narrow" w:hAnsi="Arial Narrow" w:eastAsia="仿宋_GB2312" w:cs="Arial Narrow"/>
                <w:kern w:val="0"/>
                <w:sz w:val="16"/>
                <w:szCs w:val="16"/>
                <w:lang w:eastAsia="zh-CN"/>
              </w:rPr>
              <w:t>查</w:t>
            </w:r>
            <w:r>
              <w:rPr>
                <w:rFonts w:hint="default" w:ascii="Arial Narrow" w:hAnsi="Arial Narrow" w:eastAsia="仿宋_GB2312" w:cs="Arial Narrow"/>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460C9D21">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w:t>
            </w:r>
          </w:p>
          <w:p w14:paraId="186F3119">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满分35分，根据抽</w:t>
            </w:r>
            <w:r>
              <w:rPr>
                <w:rFonts w:hint="default" w:ascii="Arial Narrow" w:hAnsi="Arial Narrow" w:eastAsia="仿宋_GB2312" w:cs="Arial Narrow"/>
                <w:kern w:val="0"/>
                <w:sz w:val="16"/>
                <w:szCs w:val="16"/>
                <w:lang w:eastAsia="zh-CN"/>
              </w:rPr>
              <w:t>查</w:t>
            </w:r>
            <w:r>
              <w:rPr>
                <w:rFonts w:hint="default" w:ascii="Arial Narrow" w:hAnsi="Arial Narrow" w:eastAsia="仿宋_GB2312" w:cs="Arial Narrow"/>
                <w:kern w:val="0"/>
                <w:sz w:val="16"/>
                <w:szCs w:val="16"/>
              </w:rPr>
              <w:t>项目情况赋分。项目管理各环节，每存在一例不符合相关规定的，扣0.5分，扣完为止。</w:t>
            </w:r>
          </w:p>
        </w:tc>
      </w:tr>
      <w:tr w14:paraId="119349A6">
        <w:tblPrEx>
          <w:tblCellMar>
            <w:top w:w="0" w:type="dxa"/>
            <w:left w:w="108" w:type="dxa"/>
            <w:bottom w:w="0" w:type="dxa"/>
            <w:right w:w="108" w:type="dxa"/>
          </w:tblCellMar>
        </w:tblPrEx>
        <w:trPr>
          <w:cantSplit/>
          <w:trHeight w:val="1032"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BDB46B9">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11</w:t>
            </w:r>
          </w:p>
        </w:tc>
        <w:tc>
          <w:tcPr>
            <w:tcW w:w="1017" w:type="dxa"/>
            <w:vMerge w:val="continue"/>
            <w:tcBorders>
              <w:top w:val="nil"/>
              <w:left w:val="single" w:color="auto" w:sz="4" w:space="0"/>
              <w:bottom w:val="single" w:color="auto" w:sz="4" w:space="0"/>
              <w:right w:val="single" w:color="auto" w:sz="4" w:space="0"/>
            </w:tcBorders>
            <w:vAlign w:val="center"/>
          </w:tcPr>
          <w:p w14:paraId="19269327">
            <w:pPr>
              <w:widowControl/>
              <w:jc w:val="left"/>
              <w:rPr>
                <w:rFonts w:hint="default"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6FCDE0E0">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通报情况</w:t>
            </w:r>
          </w:p>
        </w:tc>
        <w:tc>
          <w:tcPr>
            <w:tcW w:w="536" w:type="dxa"/>
            <w:tcBorders>
              <w:top w:val="nil"/>
              <w:left w:val="nil"/>
              <w:bottom w:val="single" w:color="auto" w:sz="4" w:space="0"/>
              <w:right w:val="single" w:color="auto" w:sz="4" w:space="0"/>
            </w:tcBorders>
            <w:shd w:val="clear" w:color="auto" w:fill="auto"/>
            <w:vAlign w:val="center"/>
          </w:tcPr>
          <w:p w14:paraId="674BF51C">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35D3EE6D">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评价日常表现情况。</w:t>
            </w:r>
          </w:p>
        </w:tc>
        <w:tc>
          <w:tcPr>
            <w:tcW w:w="3591" w:type="dxa"/>
            <w:tcBorders>
              <w:top w:val="nil"/>
              <w:left w:val="nil"/>
              <w:bottom w:val="single" w:color="auto" w:sz="4" w:space="0"/>
              <w:right w:val="single" w:color="auto" w:sz="4" w:space="0"/>
            </w:tcBorders>
            <w:shd w:val="clear" w:color="auto" w:fill="auto"/>
            <w:vAlign w:val="center"/>
          </w:tcPr>
          <w:p w14:paraId="7A3D9B21">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108F61AA">
        <w:tblPrEx>
          <w:tblCellMar>
            <w:top w:w="0" w:type="dxa"/>
            <w:left w:w="108" w:type="dxa"/>
            <w:bottom w:w="0" w:type="dxa"/>
            <w:right w:w="108" w:type="dxa"/>
          </w:tblCellMar>
        </w:tblPrEx>
        <w:trPr>
          <w:cantSplit/>
          <w:trHeight w:val="134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A326D69">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12</w:t>
            </w:r>
          </w:p>
        </w:tc>
        <w:tc>
          <w:tcPr>
            <w:tcW w:w="1017" w:type="dxa"/>
            <w:vMerge w:val="restart"/>
            <w:tcBorders>
              <w:top w:val="nil"/>
              <w:left w:val="single" w:color="auto" w:sz="4" w:space="0"/>
              <w:bottom w:val="single" w:color="000000" w:sz="4" w:space="0"/>
              <w:right w:val="single" w:color="auto" w:sz="4" w:space="0"/>
            </w:tcBorders>
            <w:shd w:val="clear" w:color="auto" w:fill="auto"/>
            <w:vAlign w:val="center"/>
          </w:tcPr>
          <w:p w14:paraId="251081FD">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加减分指标</w:t>
            </w:r>
          </w:p>
        </w:tc>
        <w:tc>
          <w:tcPr>
            <w:tcW w:w="1049" w:type="dxa"/>
            <w:tcBorders>
              <w:top w:val="nil"/>
              <w:left w:val="nil"/>
              <w:bottom w:val="single" w:color="auto" w:sz="4" w:space="0"/>
              <w:right w:val="single" w:color="auto" w:sz="4" w:space="0"/>
            </w:tcBorders>
            <w:shd w:val="clear" w:color="auto" w:fill="auto"/>
            <w:vAlign w:val="center"/>
          </w:tcPr>
          <w:p w14:paraId="4085F947">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加分项</w:t>
            </w:r>
          </w:p>
        </w:tc>
        <w:tc>
          <w:tcPr>
            <w:tcW w:w="536" w:type="dxa"/>
            <w:tcBorders>
              <w:top w:val="nil"/>
              <w:left w:val="nil"/>
              <w:bottom w:val="single" w:color="auto" w:sz="4" w:space="0"/>
              <w:right w:val="single" w:color="auto" w:sz="4" w:space="0"/>
            </w:tcBorders>
            <w:shd w:val="clear" w:color="auto" w:fill="auto"/>
            <w:vAlign w:val="center"/>
          </w:tcPr>
          <w:p w14:paraId="5F609BF0">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3434422A">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评价机制创新情况。最高加5分。</w:t>
            </w:r>
          </w:p>
        </w:tc>
        <w:tc>
          <w:tcPr>
            <w:tcW w:w="3591" w:type="dxa"/>
            <w:tcBorders>
              <w:top w:val="nil"/>
              <w:left w:val="nil"/>
              <w:bottom w:val="single" w:color="auto" w:sz="4" w:space="0"/>
              <w:right w:val="single" w:color="auto" w:sz="4" w:space="0"/>
            </w:tcBorders>
            <w:shd w:val="clear" w:color="auto" w:fill="auto"/>
            <w:vAlign w:val="center"/>
          </w:tcPr>
          <w:p w14:paraId="7BE1B86A">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1.在财政衔接资金分配、使用、监管等方面存在机制创新；（2分）</w:t>
            </w:r>
          </w:p>
          <w:p w14:paraId="6309E7F9">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2.国家、市级对我区财政衔接资金绩效评价中，被财政部、国家乡村振兴局及其第三方总结经验做法，并调研推广的。（3分）</w:t>
            </w:r>
          </w:p>
        </w:tc>
      </w:tr>
      <w:tr w14:paraId="7552CEA4">
        <w:tblPrEx>
          <w:tblCellMar>
            <w:top w:w="0" w:type="dxa"/>
            <w:left w:w="108" w:type="dxa"/>
            <w:bottom w:w="0" w:type="dxa"/>
            <w:right w:w="108" w:type="dxa"/>
          </w:tblCellMar>
        </w:tblPrEx>
        <w:trPr>
          <w:cantSplit/>
          <w:trHeight w:val="81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F6FDFC4">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13</w:t>
            </w:r>
          </w:p>
        </w:tc>
        <w:tc>
          <w:tcPr>
            <w:tcW w:w="1017" w:type="dxa"/>
            <w:vMerge w:val="continue"/>
            <w:tcBorders>
              <w:top w:val="nil"/>
              <w:left w:val="single" w:color="auto" w:sz="4" w:space="0"/>
              <w:bottom w:val="single" w:color="000000" w:sz="4" w:space="0"/>
              <w:right w:val="single" w:color="auto" w:sz="4" w:space="0"/>
            </w:tcBorders>
            <w:vAlign w:val="center"/>
          </w:tcPr>
          <w:p w14:paraId="5950F53E">
            <w:pPr>
              <w:widowControl/>
              <w:jc w:val="left"/>
              <w:rPr>
                <w:rFonts w:hint="default"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3880DC52">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扣分项</w:t>
            </w:r>
          </w:p>
        </w:tc>
        <w:tc>
          <w:tcPr>
            <w:tcW w:w="536" w:type="dxa"/>
            <w:tcBorders>
              <w:top w:val="nil"/>
              <w:left w:val="nil"/>
              <w:bottom w:val="single" w:color="auto" w:sz="4" w:space="0"/>
              <w:right w:val="single" w:color="auto" w:sz="4" w:space="0"/>
            </w:tcBorders>
            <w:shd w:val="clear" w:color="auto" w:fill="auto"/>
            <w:vAlign w:val="center"/>
          </w:tcPr>
          <w:p w14:paraId="3CE43865">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10</w:t>
            </w:r>
          </w:p>
        </w:tc>
        <w:tc>
          <w:tcPr>
            <w:tcW w:w="2762" w:type="dxa"/>
            <w:tcBorders>
              <w:top w:val="nil"/>
              <w:left w:val="nil"/>
              <w:bottom w:val="single" w:color="auto" w:sz="4" w:space="0"/>
              <w:right w:val="single" w:color="auto" w:sz="4" w:space="0"/>
            </w:tcBorders>
            <w:shd w:val="clear" w:color="auto" w:fill="auto"/>
            <w:vAlign w:val="center"/>
          </w:tcPr>
          <w:p w14:paraId="1DC4A400">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反映提供材料的真实性，有效性以及相关工作合法合规情况。（用于负面清单事项）</w:t>
            </w:r>
          </w:p>
        </w:tc>
        <w:tc>
          <w:tcPr>
            <w:tcW w:w="3591" w:type="dxa"/>
            <w:tcBorders>
              <w:top w:val="nil"/>
              <w:left w:val="nil"/>
              <w:bottom w:val="single" w:color="auto" w:sz="4" w:space="0"/>
              <w:right w:val="single" w:color="auto" w:sz="4" w:space="0"/>
            </w:tcBorders>
            <w:shd w:val="clear" w:color="auto" w:fill="auto"/>
            <w:vAlign w:val="center"/>
          </w:tcPr>
          <w:p w14:paraId="5DAE8298">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考核材料、数据中存在虚假信息的，或经有关部门监督检查发现问题的，视情节严重程度扣1-10分。</w:t>
            </w:r>
          </w:p>
        </w:tc>
      </w:tr>
    </w:tbl>
    <w:p w14:paraId="02D7FAA8">
      <w:pPr>
        <w:spacing w:before="120" w:beforeLines="50" w:line="360" w:lineRule="auto"/>
        <w:ind w:firstLine="482" w:firstLineChars="200"/>
        <w:jc w:val="left"/>
        <w:outlineLvl w:val="0"/>
        <w:rPr>
          <w:rFonts w:hint="default" w:ascii="Arial Narrow" w:hAnsi="Arial Narrow" w:eastAsia="仿宋_GB2312" w:cs="Arial Narrow"/>
          <w:b/>
          <w:sz w:val="24"/>
        </w:rPr>
      </w:pPr>
      <w:bookmarkStart w:id="15" w:name="_Toc9776"/>
      <w:r>
        <w:rPr>
          <w:rFonts w:hint="default" w:ascii="Arial Narrow" w:hAnsi="Arial Narrow" w:eastAsia="仿宋_GB2312" w:cs="Arial Narrow"/>
          <w:b/>
          <w:sz w:val="24"/>
        </w:rPr>
        <w:t>（五）绩效评价标准和评价方法</w:t>
      </w:r>
      <w:bookmarkEnd w:id="15"/>
    </w:p>
    <w:p w14:paraId="1026B031">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1.绩效评价标准</w:t>
      </w:r>
    </w:p>
    <w:p w14:paraId="6B51143D">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绩效评价标准采用定量评分，满分为100分。指标分值我们是根据确定的指标内容及项目实施的具体情况综合分析确定的，详见附件。</w:t>
      </w:r>
    </w:p>
    <w:p w14:paraId="263D54A8">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绩效评价结果分为优（得分</w:t>
      </w:r>
      <w:bookmarkStart w:id="16" w:name="_Hlk162596803"/>
      <w:r>
        <w:rPr>
          <w:rFonts w:hint="default" w:ascii="Arial Narrow" w:hAnsi="Arial Narrow" w:eastAsia="仿宋_GB2312" w:cs="Arial Narrow"/>
          <w:color w:val="auto"/>
        </w:rPr>
        <w:t>≥90</w:t>
      </w:r>
      <w:bookmarkEnd w:id="16"/>
      <w:r>
        <w:rPr>
          <w:rFonts w:hint="default" w:ascii="Arial Narrow" w:hAnsi="Arial Narrow" w:eastAsia="仿宋_GB2312" w:cs="Arial Narrow"/>
          <w:color w:val="auto"/>
        </w:rPr>
        <w:t>）、良</w:t>
      </w:r>
      <w:bookmarkStart w:id="17" w:name="_Hlk168473502"/>
      <w:r>
        <w:rPr>
          <w:rFonts w:hint="default" w:ascii="Arial Narrow" w:hAnsi="Arial Narrow" w:eastAsia="仿宋_GB2312" w:cs="Arial Narrow"/>
          <w:color w:val="auto"/>
        </w:rPr>
        <w:t>（90＞得分≥80）</w:t>
      </w:r>
      <w:bookmarkEnd w:id="17"/>
      <w:r>
        <w:rPr>
          <w:rFonts w:hint="default" w:ascii="Arial Narrow" w:hAnsi="Arial Narrow" w:eastAsia="仿宋_GB2312" w:cs="Arial Narrow"/>
          <w:color w:val="auto"/>
        </w:rPr>
        <w:t>、中（80＞得分≥60）、差（得分＜60）四个等级，按百分制综合得分高低按分值划段确定。</w:t>
      </w:r>
    </w:p>
    <w:p w14:paraId="790E2A8F">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2.绩效评价方法</w:t>
      </w:r>
    </w:p>
    <w:p w14:paraId="73273C25">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绩效评价技术方法主要有成本效益分析法、比较法、因素分析法、最低成本法、公众评判法等。</w:t>
      </w:r>
    </w:p>
    <w:p w14:paraId="1A9DA0BD">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成本效益分析法。是指将一定时期内的支出与效益进行对比分析，以评价绩效目标的实现程度。</w:t>
      </w:r>
    </w:p>
    <w:p w14:paraId="28354E04">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比较法。是指通过对绩效目标与实施效果、历史与当期情况、不同部门和地区同类支出的比较，综合分析绩效目标实现程度。</w:t>
      </w:r>
    </w:p>
    <w:p w14:paraId="618F7646">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因素分析法。是指通过综合分析影响绩效目标实现、实施效果的内外因素，评价绩效目标实现程度。</w:t>
      </w:r>
    </w:p>
    <w:p w14:paraId="628FA7F7">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最低成本法。是指对效益确定却不易计量的多个同类对象的实施成本进行比较，评价绩效目标实现程度。</w:t>
      </w:r>
    </w:p>
    <w:p w14:paraId="7AD486B6">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公众评判法。是指通过专家评估、公众问卷及抽样调查等对预算支出效果进行评判，评价绩效目标实现程度。</w:t>
      </w:r>
    </w:p>
    <w:p w14:paraId="7C4074CB">
      <w:pPr>
        <w:spacing w:line="360" w:lineRule="auto"/>
        <w:ind w:firstLine="482" w:firstLineChars="200"/>
        <w:jc w:val="left"/>
        <w:outlineLvl w:val="0"/>
        <w:rPr>
          <w:rFonts w:hint="default" w:ascii="Arial Narrow" w:hAnsi="Arial Narrow" w:eastAsia="仿宋_GB2312" w:cs="Arial Narrow"/>
          <w:b/>
          <w:sz w:val="24"/>
        </w:rPr>
      </w:pPr>
      <w:bookmarkStart w:id="18" w:name="_Toc437528932"/>
      <w:bookmarkStart w:id="19" w:name="_Toc9092"/>
      <w:r>
        <w:rPr>
          <w:rFonts w:hint="default" w:ascii="Arial Narrow" w:hAnsi="Arial Narrow" w:eastAsia="仿宋_GB2312" w:cs="Arial Narrow"/>
          <w:b/>
          <w:sz w:val="24"/>
        </w:rPr>
        <w:t>（六）绩效评价</w:t>
      </w:r>
      <w:bookmarkEnd w:id="18"/>
      <w:r>
        <w:rPr>
          <w:rFonts w:hint="default" w:ascii="Arial Narrow" w:hAnsi="Arial Narrow" w:eastAsia="仿宋_GB2312" w:cs="Arial Narrow"/>
          <w:b/>
          <w:sz w:val="24"/>
        </w:rPr>
        <w:t>工作过程</w:t>
      </w:r>
      <w:bookmarkEnd w:id="19"/>
    </w:p>
    <w:p w14:paraId="343B452C">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1.经铜梁区财政局确定为</w:t>
      </w:r>
      <w:r>
        <w:rPr>
          <w:rFonts w:hint="eastAsia" w:ascii="Arial Narrow" w:hAnsi="Arial Narrow" w:eastAsia="仿宋_GB2312" w:cs="Arial Narrow"/>
          <w:color w:val="auto"/>
          <w:lang w:eastAsia="zh-CN"/>
        </w:rPr>
        <w:t>“</w:t>
      </w:r>
      <w:r>
        <w:rPr>
          <w:rFonts w:hint="default" w:ascii="Arial Narrow" w:hAnsi="Arial Narrow" w:eastAsia="仿宋_GB2312" w:cs="Arial Narrow"/>
          <w:color w:val="auto"/>
        </w:rPr>
        <w:t>2023年财政专项衔接资金项目</w:t>
      </w:r>
      <w:r>
        <w:rPr>
          <w:rFonts w:hint="eastAsia" w:ascii="Arial Narrow" w:hAnsi="Arial Narrow" w:eastAsia="仿宋_GB2312" w:cs="Arial Narrow"/>
          <w:color w:val="auto"/>
          <w:lang w:eastAsia="zh-CN"/>
        </w:rPr>
        <w:t>”</w:t>
      </w:r>
      <w:r>
        <w:rPr>
          <w:rFonts w:hint="default" w:ascii="Arial Narrow" w:hAnsi="Arial Narrow" w:eastAsia="仿宋_GB2312" w:cs="Arial Narrow"/>
          <w:color w:val="auto"/>
        </w:rPr>
        <w:t>项目绩效评价服务单位后我所成立了绩效评价工作小组。</w:t>
      </w:r>
    </w:p>
    <w:p w14:paraId="2C5D05AC">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2.根据项目实际情况收集项目基础资料及数据深入了解项目整体情况。</w:t>
      </w:r>
    </w:p>
    <w:p w14:paraId="4D453D89">
      <w:pPr>
        <w:pStyle w:val="13"/>
        <w:spacing w:line="360" w:lineRule="auto"/>
        <w:ind w:firstLine="480" w:firstLineChars="200"/>
        <w:rPr>
          <w:rFonts w:hint="default" w:ascii="Arial Narrow" w:hAnsi="Arial Narrow" w:eastAsia="仿宋_GB2312" w:cs="Arial Narrow"/>
          <w:color w:val="auto"/>
          <w:lang w:eastAsia="zh-CN"/>
        </w:rPr>
      </w:pPr>
      <w:r>
        <w:rPr>
          <w:rFonts w:hint="default" w:ascii="Arial Narrow" w:hAnsi="Arial Narrow" w:eastAsia="仿宋_GB2312" w:cs="Arial Narrow"/>
          <w:color w:val="auto"/>
        </w:rPr>
        <w:t>3.组织实施现场调查、检查、走访等具体工作</w:t>
      </w:r>
      <w:r>
        <w:rPr>
          <w:rFonts w:hint="default" w:ascii="Arial Narrow" w:hAnsi="Arial Narrow" w:eastAsia="仿宋_GB2312" w:cs="Arial Narrow"/>
          <w:color w:val="auto"/>
          <w:lang w:eastAsia="zh-CN"/>
        </w:rPr>
        <w:t>。</w:t>
      </w:r>
    </w:p>
    <w:p w14:paraId="7C03F5F3">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4.依据收集到的项目相关资料和数据，比照经贵单位审定的评价指标体系的评分标准，分别对项目评价打分，汇总后加权平均形成综合评价得分，并对该项目的绩效评价等级进行确认。</w:t>
      </w:r>
    </w:p>
    <w:p w14:paraId="6C41D7C8">
      <w:pPr>
        <w:spacing w:line="360" w:lineRule="auto"/>
        <w:ind w:firstLine="482" w:firstLineChars="200"/>
        <w:jc w:val="left"/>
        <w:outlineLvl w:val="0"/>
        <w:rPr>
          <w:rFonts w:hint="default" w:ascii="Arial Narrow" w:hAnsi="Arial Narrow" w:eastAsia="仿宋_GB2312" w:cs="Arial Narrow"/>
          <w:b/>
          <w:sz w:val="24"/>
        </w:rPr>
      </w:pPr>
      <w:bookmarkStart w:id="20" w:name="_Toc437528933"/>
      <w:bookmarkStart w:id="21" w:name="_Toc12176"/>
      <w:r>
        <w:rPr>
          <w:rFonts w:hint="default" w:ascii="Arial Narrow" w:hAnsi="Arial Narrow" w:eastAsia="仿宋_GB2312" w:cs="Arial Narrow"/>
          <w:b/>
          <w:sz w:val="24"/>
        </w:rPr>
        <w:t>三、项目评价</w:t>
      </w:r>
      <w:bookmarkEnd w:id="20"/>
      <w:r>
        <w:rPr>
          <w:rFonts w:hint="default" w:ascii="Arial Narrow" w:hAnsi="Arial Narrow" w:eastAsia="仿宋_GB2312" w:cs="Arial Narrow"/>
          <w:b/>
          <w:sz w:val="24"/>
        </w:rPr>
        <w:t>结论</w:t>
      </w:r>
      <w:bookmarkEnd w:id="21"/>
    </w:p>
    <w:p w14:paraId="6FC223FB">
      <w:pPr>
        <w:spacing w:line="360" w:lineRule="auto"/>
        <w:ind w:firstLine="480" w:firstLineChars="200"/>
        <w:jc w:val="left"/>
        <w:rPr>
          <w:rFonts w:hint="default" w:ascii="Arial Narrow" w:hAnsi="Arial Narrow" w:eastAsia="仿宋_GB2312" w:cs="Arial Narrow"/>
          <w:b/>
          <w:bCs/>
          <w:sz w:val="28"/>
          <w:szCs w:val="28"/>
        </w:rPr>
      </w:pPr>
      <w:r>
        <w:rPr>
          <w:rFonts w:hint="default" w:ascii="Arial Narrow" w:hAnsi="Arial Narrow" w:eastAsia="仿宋_GB2312" w:cs="Arial Narrow"/>
          <w:sz w:val="24"/>
        </w:rPr>
        <w:t>重庆市铜梁区2023年巴川街道玉皇村农机购置项目绩效评价得分100.00分，绩效评价等级为：优。</w:t>
      </w:r>
    </w:p>
    <w:p w14:paraId="6F22F38C">
      <w:pPr>
        <w:spacing w:line="360" w:lineRule="auto"/>
        <w:ind w:firstLine="482" w:firstLineChars="200"/>
        <w:outlineLvl w:val="0"/>
        <w:rPr>
          <w:rFonts w:hint="default" w:ascii="Arial Narrow" w:hAnsi="Arial Narrow" w:eastAsia="仿宋_GB2312" w:cs="Arial Narrow"/>
          <w:b/>
          <w:sz w:val="24"/>
        </w:rPr>
      </w:pPr>
      <w:bookmarkStart w:id="22" w:name="_Toc13378"/>
      <w:r>
        <w:rPr>
          <w:rFonts w:hint="default" w:ascii="Arial Narrow" w:hAnsi="Arial Narrow" w:eastAsia="仿宋_GB2312" w:cs="Arial Narrow"/>
          <w:b/>
          <w:sz w:val="24"/>
        </w:rPr>
        <w:t>四、综合评价情况</w:t>
      </w:r>
      <w:bookmarkEnd w:id="22"/>
    </w:p>
    <w:p w14:paraId="7452AC8F">
      <w:pPr>
        <w:spacing w:line="360" w:lineRule="auto"/>
        <w:ind w:firstLine="482" w:firstLineChars="200"/>
        <w:jc w:val="left"/>
        <w:outlineLvl w:val="0"/>
        <w:rPr>
          <w:rFonts w:hint="default" w:ascii="Arial Narrow" w:hAnsi="Arial Narrow" w:eastAsia="仿宋_GB2312" w:cs="Arial Narrow"/>
          <w:b/>
          <w:sz w:val="24"/>
        </w:rPr>
      </w:pPr>
      <w:bookmarkStart w:id="23" w:name="_Toc19673"/>
      <w:r>
        <w:rPr>
          <w:rFonts w:hint="default" w:ascii="Arial Narrow" w:hAnsi="Arial Narrow" w:eastAsia="仿宋_GB2312" w:cs="Arial Narrow"/>
          <w:b/>
          <w:sz w:val="24"/>
        </w:rPr>
        <w:t>（一）资金管理</w:t>
      </w:r>
      <w:bookmarkEnd w:id="23"/>
    </w:p>
    <w:p w14:paraId="1C8F6E1C">
      <w:pPr>
        <w:adjustRightInd w:val="0"/>
        <w:snapToGrid w:val="0"/>
        <w:spacing w:line="360" w:lineRule="auto"/>
        <w:ind w:firstLine="480" w:firstLineChars="200"/>
        <w:rPr>
          <w:rStyle w:val="10"/>
          <w:rFonts w:hint="default" w:ascii="Arial Narrow" w:hAnsi="Arial Narrow" w:eastAsia="仿宋_GB2312" w:cs="Arial Narrow"/>
          <w:color w:val="auto"/>
          <w:sz w:val="24"/>
          <w:u w:val="none"/>
        </w:rPr>
      </w:pPr>
      <w:r>
        <w:rPr>
          <w:rStyle w:val="10"/>
          <w:rFonts w:hint="default" w:ascii="Arial Narrow" w:hAnsi="Arial Narrow" w:eastAsia="仿宋_GB2312" w:cs="Arial Narrow"/>
          <w:color w:val="auto"/>
          <w:sz w:val="24"/>
          <w:u w:val="none"/>
        </w:rPr>
        <w:t>1.财政衔接资金安排情况</w:t>
      </w:r>
    </w:p>
    <w:p w14:paraId="4FAF648F">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项目按照《重庆市财政局关于提前下达2023年市财政衔接推进乡村振兴补助资金预算的通知》</w:t>
      </w:r>
      <w:r>
        <w:rPr>
          <w:rFonts w:hint="default" w:ascii="Arial Narrow" w:hAnsi="Arial Narrow" w:eastAsia="仿宋_GB2312" w:cs="Arial Narrow"/>
          <w:sz w:val="24"/>
          <w:lang w:eastAsia="zh-CN"/>
        </w:rPr>
        <w:t>（</w:t>
      </w:r>
      <w:r>
        <w:rPr>
          <w:rFonts w:hint="default" w:ascii="Arial Narrow" w:hAnsi="Arial Narrow" w:eastAsia="仿宋_GB2312" w:cs="Arial Narrow"/>
          <w:sz w:val="24"/>
        </w:rPr>
        <w:t>渝财农〔2022〕146</w:t>
      </w:r>
      <w:r>
        <w:rPr>
          <w:rFonts w:hint="default" w:ascii="Arial Narrow" w:hAnsi="Arial Narrow" w:eastAsia="仿宋_GB2312" w:cs="Arial Narrow"/>
          <w:sz w:val="24"/>
          <w:lang w:eastAsia="zh-CN"/>
        </w:rPr>
        <w:t>）</w:t>
      </w:r>
      <w:r>
        <w:rPr>
          <w:rFonts w:hint="default" w:ascii="Arial Narrow" w:hAnsi="Arial Narrow" w:eastAsia="仿宋_GB2312" w:cs="Arial Narrow"/>
          <w:sz w:val="24"/>
        </w:rPr>
        <w:t>、《关于下达2023年提前批市级财政衔接推进乡村振兴补助资金项目安排计划的通知》</w:t>
      </w:r>
      <w:r>
        <w:rPr>
          <w:rFonts w:hint="default" w:ascii="Arial Narrow" w:hAnsi="Arial Narrow" w:eastAsia="仿宋_GB2312" w:cs="Arial Narrow"/>
          <w:sz w:val="24"/>
          <w:lang w:eastAsia="zh-CN"/>
        </w:rPr>
        <w:t>（</w:t>
      </w:r>
      <w:r>
        <w:rPr>
          <w:rFonts w:hint="default" w:ascii="Arial Narrow" w:hAnsi="Arial Narrow" w:eastAsia="仿宋_GB2312" w:cs="Arial Narrow"/>
          <w:sz w:val="24"/>
        </w:rPr>
        <w:t>铜委农办〔2022〕24号</w:t>
      </w:r>
      <w:r>
        <w:rPr>
          <w:rFonts w:hint="default" w:ascii="Arial Narrow" w:hAnsi="Arial Narrow" w:eastAsia="仿宋_GB2312" w:cs="Arial Narrow"/>
          <w:sz w:val="24"/>
          <w:lang w:eastAsia="zh-CN"/>
        </w:rPr>
        <w:t>）</w:t>
      </w:r>
      <w:r>
        <w:rPr>
          <w:rFonts w:hint="default" w:ascii="Arial Narrow" w:hAnsi="Arial Narrow" w:eastAsia="仿宋_GB2312" w:cs="Arial Narrow"/>
          <w:sz w:val="24"/>
        </w:rPr>
        <w:t>、《关于调整2023年小额信贷贴息等5个财政衔接资金项目资金使用计划的通知》</w:t>
      </w:r>
      <w:r>
        <w:rPr>
          <w:rFonts w:hint="default" w:ascii="Arial Narrow" w:hAnsi="Arial Narrow" w:eastAsia="仿宋_GB2312" w:cs="Arial Narrow"/>
          <w:sz w:val="24"/>
          <w:lang w:eastAsia="zh-CN"/>
        </w:rPr>
        <w:t>（</w:t>
      </w:r>
      <w:r>
        <w:rPr>
          <w:rFonts w:hint="default" w:ascii="Arial Narrow" w:hAnsi="Arial Narrow" w:eastAsia="仿宋_GB2312" w:cs="Arial Narrow"/>
          <w:sz w:val="24"/>
        </w:rPr>
        <w:t>铜乡振〔2023〕20号</w:t>
      </w:r>
      <w:r>
        <w:rPr>
          <w:rFonts w:hint="default" w:ascii="Arial Narrow" w:hAnsi="Arial Narrow" w:eastAsia="仿宋_GB2312" w:cs="Arial Narrow"/>
          <w:sz w:val="24"/>
          <w:lang w:eastAsia="zh-CN"/>
        </w:rPr>
        <w:t>）</w:t>
      </w:r>
      <w:r>
        <w:rPr>
          <w:rFonts w:hint="default" w:ascii="Arial Narrow" w:hAnsi="Arial Narrow" w:eastAsia="仿宋_GB2312" w:cs="Arial Narrow"/>
          <w:sz w:val="24"/>
        </w:rPr>
        <w:t>等相关政策性文件规定落实衔接资金。</w:t>
      </w:r>
    </w:p>
    <w:p w14:paraId="56257B39">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2.资金分解下达进度</w:t>
      </w:r>
    </w:p>
    <w:p w14:paraId="0E71AE48">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项目资金从区财政局下达资金文件时间到区级业务主管部门下达项目及资金计划文件时间间隔小于30天。</w:t>
      </w:r>
    </w:p>
    <w:p w14:paraId="19719A54">
      <w:pPr>
        <w:spacing w:line="360" w:lineRule="auto"/>
        <w:ind w:firstLine="482" w:firstLineChars="200"/>
        <w:jc w:val="left"/>
        <w:outlineLvl w:val="0"/>
        <w:rPr>
          <w:rFonts w:hint="default" w:ascii="Arial Narrow" w:hAnsi="Arial Narrow" w:eastAsia="仿宋_GB2312" w:cs="Arial Narrow"/>
          <w:b/>
          <w:sz w:val="24"/>
        </w:rPr>
      </w:pPr>
      <w:bookmarkStart w:id="24" w:name="_Toc27518"/>
      <w:r>
        <w:rPr>
          <w:rFonts w:hint="default" w:ascii="Arial Narrow" w:hAnsi="Arial Narrow" w:eastAsia="仿宋_GB2312" w:cs="Arial Narrow"/>
          <w:b/>
          <w:sz w:val="24"/>
        </w:rPr>
        <w:t>（二）项目管理</w:t>
      </w:r>
      <w:bookmarkEnd w:id="24"/>
    </w:p>
    <w:p w14:paraId="355C3792">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1.项目库建设管理情况</w:t>
      </w:r>
    </w:p>
    <w:p w14:paraId="204DFF2B">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项目入库及时充分、程序规范、内容完整，制定和切合实际的实施方案，具备实施条件，衔接资金未用于项目库之外的项目。</w:t>
      </w:r>
    </w:p>
    <w:p w14:paraId="3261A8AD">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2.项目绩效管理情况</w:t>
      </w:r>
    </w:p>
    <w:p w14:paraId="1AEF1149">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及时制定了明确的绩效目标，实施过程中对绩效目标进行监控，对绩效目标偏离项目采取纠偏措施。在项目实施完毕后开展了绩效自评，并形成</w:t>
      </w:r>
      <w:r>
        <w:rPr>
          <w:rFonts w:hint="default" w:ascii="Arial Narrow" w:hAnsi="Arial Narrow" w:eastAsia="仿宋_GB2312" w:cs="Arial Narrow"/>
          <w:sz w:val="24"/>
          <w:lang w:eastAsia="zh-CN"/>
        </w:rPr>
        <w:t>绩效</w:t>
      </w:r>
      <w:r>
        <w:rPr>
          <w:rFonts w:hint="default" w:ascii="Arial Narrow" w:hAnsi="Arial Narrow" w:eastAsia="仿宋_GB2312" w:cs="Arial Narrow"/>
          <w:sz w:val="24"/>
        </w:rPr>
        <w:t>自评表，项目绩效基本达到预期。项目实施完毕后未及时形成自评报告。</w:t>
      </w:r>
    </w:p>
    <w:p w14:paraId="572D1C6D">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3.项目建设管理情况</w:t>
      </w:r>
    </w:p>
    <w:p w14:paraId="33F1C217">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项目实施方案不存在变更情况，</w:t>
      </w:r>
      <w:r>
        <w:rPr>
          <w:rFonts w:hint="default" w:ascii="Arial Narrow" w:hAnsi="Arial Narrow" w:eastAsia="仿宋_GB2312" w:cs="Arial Narrow"/>
          <w:sz w:val="24"/>
          <w:lang w:eastAsia="zh-CN"/>
        </w:rPr>
        <w:t>实施过程</w:t>
      </w:r>
      <w:r>
        <w:rPr>
          <w:rFonts w:hint="default" w:ascii="Arial Narrow" w:hAnsi="Arial Narrow" w:eastAsia="仿宋_GB2312" w:cs="Arial Narrow"/>
          <w:sz w:val="24"/>
        </w:rPr>
        <w:t>中由铜梁区财政局进行监督检查，检查中未发现重大问题，项目按照实施节点按时提交项目报账资料，项目资料归档整理及时。</w:t>
      </w:r>
    </w:p>
    <w:p w14:paraId="6F5E6B19">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4.预算执行率情况</w:t>
      </w:r>
    </w:p>
    <w:p w14:paraId="2B042289">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项目于9月底验收完毕，款项已全部支付完毕，资金预算执行率达到100%。</w:t>
      </w:r>
    </w:p>
    <w:p w14:paraId="0DC7730F">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5.跟踪督促及发现问题整改情况</w:t>
      </w:r>
    </w:p>
    <w:p w14:paraId="4AD00490">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通过实施单位提供的监控表、自评表等资料显示，本项目实施单位定期开展项目实施和资金支出进度等跟踪督促，跟踪督促及各类检查发现问题整改到位。</w:t>
      </w:r>
    </w:p>
    <w:p w14:paraId="03845775">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6.账务处理及档案管理等情况</w:t>
      </w:r>
    </w:p>
    <w:p w14:paraId="60A4C5A2">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本项目实施单位对该项目账务处理规范，档案管理完整。</w:t>
      </w:r>
    </w:p>
    <w:p w14:paraId="5A15F9B3">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7.信息公开和公告公示制度落实情况</w:t>
      </w:r>
    </w:p>
    <w:p w14:paraId="74825444">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铜梁区衔接资金涉及村镇按照《铜梁区财政衔接推进乡村振兴补助资金项目公告公示实施办法》（铜委农办〔2021〕19号）对年度资金计划完成情况及实施情况进行公示。</w:t>
      </w:r>
    </w:p>
    <w:p w14:paraId="5FE2E77B">
      <w:pPr>
        <w:spacing w:line="360" w:lineRule="auto"/>
        <w:ind w:firstLine="482" w:firstLineChars="200"/>
        <w:jc w:val="left"/>
        <w:outlineLvl w:val="0"/>
        <w:rPr>
          <w:rFonts w:hint="default" w:ascii="Arial Narrow" w:hAnsi="Arial Narrow" w:eastAsia="仿宋_GB2312" w:cs="Arial Narrow"/>
          <w:b/>
          <w:sz w:val="24"/>
        </w:rPr>
      </w:pPr>
      <w:bookmarkStart w:id="25" w:name="_Toc255"/>
      <w:r>
        <w:rPr>
          <w:rFonts w:hint="default" w:ascii="Arial Narrow" w:hAnsi="Arial Narrow" w:eastAsia="仿宋_GB2312" w:cs="Arial Narrow"/>
          <w:b/>
          <w:sz w:val="24"/>
        </w:rPr>
        <w:t>（三）使用成效及通报情况</w:t>
      </w:r>
      <w:bookmarkEnd w:id="25"/>
    </w:p>
    <w:p w14:paraId="1A329D1A">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1.资金使用效益</w:t>
      </w:r>
    </w:p>
    <w:p w14:paraId="12AC7096">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项目总体资金均专款专用，项目完成进度和及时性达到计划预期目的。完成项目的质量能够达标，完成进行了自评、项目资金完整。</w:t>
      </w:r>
    </w:p>
    <w:p w14:paraId="3B166B0F">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2.通报情况</w:t>
      </w:r>
    </w:p>
    <w:p w14:paraId="2ADAC8D8">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项目实施管理日常表现良好，未被通报和问题反馈情况。</w:t>
      </w:r>
    </w:p>
    <w:p w14:paraId="49FF05FA">
      <w:pPr>
        <w:spacing w:line="360" w:lineRule="auto"/>
        <w:ind w:firstLine="482" w:firstLineChars="200"/>
        <w:outlineLvl w:val="0"/>
        <w:rPr>
          <w:rFonts w:hint="default" w:ascii="Arial Narrow" w:hAnsi="Arial Narrow" w:eastAsia="仿宋_GB2312" w:cs="Arial Narrow"/>
          <w:b/>
          <w:sz w:val="24"/>
        </w:rPr>
      </w:pPr>
      <w:bookmarkStart w:id="26" w:name="_Toc11294"/>
      <w:r>
        <w:rPr>
          <w:rFonts w:hint="default" w:ascii="Arial Narrow" w:hAnsi="Arial Narrow" w:eastAsia="仿宋_GB2312" w:cs="Arial Narrow"/>
          <w:b/>
          <w:sz w:val="24"/>
        </w:rPr>
        <w:t>五、存在的问题和建议</w:t>
      </w:r>
      <w:bookmarkEnd w:id="26"/>
    </w:p>
    <w:p w14:paraId="3B9AB6D8">
      <w:pPr>
        <w:spacing w:line="360" w:lineRule="auto"/>
        <w:ind w:firstLine="482" w:firstLineChars="200"/>
        <w:jc w:val="left"/>
        <w:outlineLvl w:val="0"/>
        <w:rPr>
          <w:rFonts w:hint="default" w:ascii="Arial Narrow" w:hAnsi="Arial Narrow" w:eastAsia="仿宋_GB2312" w:cs="Arial Narrow"/>
          <w:b/>
          <w:sz w:val="24"/>
        </w:rPr>
      </w:pPr>
      <w:bookmarkStart w:id="27" w:name="_Toc26634"/>
      <w:r>
        <w:rPr>
          <w:rFonts w:hint="default" w:ascii="Arial Narrow" w:hAnsi="Arial Narrow" w:eastAsia="仿宋_GB2312" w:cs="Arial Narrow"/>
          <w:b/>
          <w:sz w:val="24"/>
        </w:rPr>
        <w:t>（一）存在问题</w:t>
      </w:r>
      <w:bookmarkEnd w:id="27"/>
    </w:p>
    <w:p w14:paraId="5B03EE79">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无</w:t>
      </w:r>
    </w:p>
    <w:p w14:paraId="111A7CD1">
      <w:pPr>
        <w:spacing w:line="360" w:lineRule="auto"/>
        <w:ind w:firstLine="482" w:firstLineChars="200"/>
        <w:jc w:val="left"/>
        <w:outlineLvl w:val="0"/>
        <w:rPr>
          <w:rFonts w:hint="default" w:ascii="Arial Narrow" w:hAnsi="Arial Narrow" w:eastAsia="仿宋_GB2312" w:cs="Arial Narrow"/>
          <w:b/>
          <w:sz w:val="24"/>
        </w:rPr>
      </w:pPr>
      <w:bookmarkStart w:id="28" w:name="_Toc15324"/>
      <w:r>
        <w:rPr>
          <w:rFonts w:hint="default" w:ascii="Arial Narrow" w:hAnsi="Arial Narrow" w:eastAsia="仿宋_GB2312" w:cs="Arial Narrow"/>
          <w:b/>
          <w:sz w:val="24"/>
        </w:rPr>
        <w:t>（二）建议</w:t>
      </w:r>
      <w:bookmarkEnd w:id="28"/>
    </w:p>
    <w:p w14:paraId="06A4EB74">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无</w:t>
      </w:r>
    </w:p>
    <w:p w14:paraId="12035758">
      <w:pPr>
        <w:adjustRightInd w:val="0"/>
        <w:snapToGrid w:val="0"/>
        <w:spacing w:line="360" w:lineRule="auto"/>
        <w:rPr>
          <w:rStyle w:val="10"/>
          <w:rFonts w:hint="default" w:ascii="Arial Narrow" w:hAnsi="Arial Narrow" w:eastAsia="仿宋_GB2312" w:cs="Arial Narrow"/>
          <w:color w:val="auto"/>
          <w:sz w:val="24"/>
          <w:u w:val="none"/>
        </w:rPr>
      </w:pPr>
    </w:p>
    <w:p w14:paraId="5333B293">
      <w:pPr>
        <w:adjustRightInd w:val="0"/>
        <w:snapToGrid w:val="0"/>
        <w:spacing w:line="360" w:lineRule="auto"/>
        <w:rPr>
          <w:rStyle w:val="10"/>
          <w:rFonts w:hint="default" w:ascii="Arial Narrow" w:hAnsi="Arial Narrow" w:eastAsia="仿宋_GB2312" w:cs="Arial Narrow"/>
          <w:color w:val="auto"/>
          <w:sz w:val="24"/>
          <w:u w:val="none"/>
        </w:rPr>
      </w:pPr>
    </w:p>
    <w:p w14:paraId="5DD8B8E0">
      <w:pPr>
        <w:adjustRightInd w:val="0"/>
        <w:snapToGrid w:val="0"/>
        <w:spacing w:line="360" w:lineRule="auto"/>
        <w:rPr>
          <w:rStyle w:val="10"/>
          <w:rFonts w:hint="default" w:ascii="Arial Narrow" w:hAnsi="Arial Narrow" w:eastAsia="仿宋_GB2312" w:cs="Arial Narrow"/>
          <w:color w:val="auto"/>
          <w:sz w:val="24"/>
          <w:u w:val="none"/>
        </w:rPr>
      </w:pPr>
    </w:p>
    <w:p w14:paraId="7FCAFBBE">
      <w:pPr>
        <w:adjustRightInd w:val="0"/>
        <w:snapToGrid w:val="0"/>
        <w:spacing w:line="360" w:lineRule="auto"/>
        <w:rPr>
          <w:rStyle w:val="10"/>
          <w:rFonts w:hint="default" w:ascii="Arial Narrow" w:hAnsi="Arial Narrow" w:eastAsia="仿宋_GB2312" w:cs="Arial Narrow"/>
          <w:color w:val="auto"/>
          <w:sz w:val="24"/>
          <w:u w:val="none"/>
        </w:rPr>
      </w:pPr>
    </w:p>
    <w:p w14:paraId="6CD5835C">
      <w:pPr>
        <w:adjustRightInd w:val="0"/>
        <w:snapToGrid w:val="0"/>
        <w:spacing w:line="360" w:lineRule="auto"/>
        <w:rPr>
          <w:rStyle w:val="10"/>
          <w:rFonts w:hint="default" w:ascii="Arial Narrow" w:hAnsi="Arial Narrow" w:eastAsia="仿宋_GB2312" w:cs="Arial Narrow"/>
          <w:color w:val="auto"/>
          <w:sz w:val="24"/>
          <w:u w:val="none"/>
        </w:rPr>
      </w:pPr>
    </w:p>
    <w:p w14:paraId="14435217">
      <w:pPr>
        <w:adjustRightInd w:val="0"/>
        <w:snapToGrid w:val="0"/>
        <w:spacing w:line="360" w:lineRule="auto"/>
        <w:rPr>
          <w:rStyle w:val="10"/>
          <w:rFonts w:hint="default" w:ascii="Arial Narrow" w:hAnsi="Arial Narrow" w:eastAsia="仿宋_GB2312" w:cs="Arial Narrow"/>
          <w:color w:val="auto"/>
          <w:sz w:val="24"/>
          <w:u w:val="none"/>
        </w:rPr>
      </w:pPr>
    </w:p>
    <w:p w14:paraId="29C055A3">
      <w:pPr>
        <w:adjustRightInd w:val="0"/>
        <w:snapToGrid w:val="0"/>
        <w:spacing w:line="360" w:lineRule="auto"/>
        <w:rPr>
          <w:rStyle w:val="10"/>
          <w:rFonts w:hint="default" w:ascii="Arial Narrow" w:hAnsi="Arial Narrow" w:eastAsia="仿宋_GB2312" w:cs="Arial Narrow"/>
          <w:color w:val="auto"/>
          <w:sz w:val="24"/>
          <w:u w:val="none"/>
        </w:rPr>
      </w:pPr>
    </w:p>
    <w:p w14:paraId="7B7BE908">
      <w:pPr>
        <w:adjustRightInd w:val="0"/>
        <w:snapToGrid w:val="0"/>
        <w:spacing w:line="360" w:lineRule="auto"/>
        <w:ind w:firstLine="480" w:firstLineChars="200"/>
        <w:rPr>
          <w:rStyle w:val="10"/>
          <w:rFonts w:hint="default" w:ascii="Arial Narrow" w:hAnsi="Arial Narrow" w:eastAsia="仿宋_GB2312" w:cs="Arial Narrow"/>
          <w:color w:val="auto"/>
          <w:sz w:val="24"/>
          <w:u w:val="none"/>
        </w:rPr>
      </w:pPr>
      <w:r>
        <w:rPr>
          <w:rStyle w:val="10"/>
          <w:rFonts w:hint="default" w:ascii="Arial Narrow" w:hAnsi="Arial Narrow" w:eastAsia="仿宋_GB2312" w:cs="Arial Narrow"/>
          <w:color w:val="auto"/>
          <w:sz w:val="24"/>
          <w:u w:val="none"/>
        </w:rPr>
        <w:t>附件：1</w:t>
      </w:r>
      <w:r>
        <w:rPr>
          <w:rStyle w:val="10"/>
          <w:rFonts w:hint="default" w:ascii="Arial Narrow" w:hAnsi="Arial Narrow" w:eastAsia="仿宋_GB2312" w:cs="Arial Narrow"/>
          <w:color w:val="auto"/>
          <w:sz w:val="24"/>
          <w:u w:val="none"/>
          <w:lang w:val="en-US" w:eastAsia="zh-CN"/>
        </w:rPr>
        <w:t>.</w:t>
      </w:r>
      <w:r>
        <w:rPr>
          <w:rStyle w:val="10"/>
          <w:rFonts w:hint="default" w:ascii="Arial Narrow" w:hAnsi="Arial Narrow" w:eastAsia="仿宋_GB2312" w:cs="Arial Narrow"/>
          <w:color w:val="auto"/>
          <w:sz w:val="24"/>
          <w:u w:val="none"/>
        </w:rPr>
        <w:t>绩效评价指标体系及评分结果表；</w:t>
      </w:r>
    </w:p>
    <w:p w14:paraId="4F2211D6">
      <w:pPr>
        <w:adjustRightInd w:val="0"/>
        <w:snapToGrid w:val="0"/>
        <w:spacing w:line="360" w:lineRule="auto"/>
        <w:ind w:firstLine="1200" w:firstLineChars="500"/>
        <w:rPr>
          <w:rStyle w:val="10"/>
          <w:rFonts w:hint="default" w:ascii="Arial Narrow" w:hAnsi="Arial Narrow" w:eastAsia="仿宋_GB2312" w:cs="Arial Narrow"/>
          <w:color w:val="auto"/>
          <w:sz w:val="24"/>
          <w:u w:val="none"/>
        </w:rPr>
      </w:pPr>
      <w:r>
        <w:rPr>
          <w:rStyle w:val="10"/>
          <w:rFonts w:hint="default" w:ascii="Arial Narrow" w:hAnsi="Arial Narrow" w:eastAsia="仿宋_GB2312" w:cs="Arial Narrow"/>
          <w:color w:val="auto"/>
          <w:sz w:val="24"/>
          <w:u w:val="none"/>
        </w:rPr>
        <w:t>2</w:t>
      </w:r>
      <w:r>
        <w:rPr>
          <w:rStyle w:val="10"/>
          <w:rFonts w:hint="default" w:ascii="Arial Narrow" w:hAnsi="Arial Narrow" w:eastAsia="仿宋_GB2312" w:cs="Arial Narrow"/>
          <w:color w:val="auto"/>
          <w:sz w:val="24"/>
          <w:u w:val="none"/>
          <w:lang w:val="en-US" w:eastAsia="zh-CN"/>
        </w:rPr>
        <w:t>.</w:t>
      </w:r>
      <w:r>
        <w:rPr>
          <w:rStyle w:val="10"/>
          <w:rFonts w:hint="default" w:ascii="Arial Narrow" w:hAnsi="Arial Narrow" w:eastAsia="仿宋_GB2312" w:cs="Arial Narrow"/>
          <w:color w:val="auto"/>
          <w:sz w:val="24"/>
          <w:u w:val="none"/>
        </w:rPr>
        <w:t>会计师事务所营业执照和资质复印件。</w:t>
      </w:r>
    </w:p>
    <w:p w14:paraId="5D1ACC94">
      <w:pPr>
        <w:adjustRightInd w:val="0"/>
        <w:snapToGrid w:val="0"/>
        <w:spacing w:line="360" w:lineRule="auto"/>
        <w:ind w:firstLine="720" w:firstLineChars="300"/>
        <w:rPr>
          <w:rStyle w:val="10"/>
          <w:rFonts w:hint="default" w:ascii="Arial Narrow" w:hAnsi="Arial Narrow" w:eastAsia="仿宋_GB2312" w:cs="Arial Narrow"/>
          <w:color w:val="auto"/>
          <w:sz w:val="24"/>
          <w:u w:val="none"/>
        </w:rPr>
      </w:pPr>
    </w:p>
    <w:p w14:paraId="386ED129">
      <w:pPr>
        <w:adjustRightInd w:val="0"/>
        <w:snapToGrid w:val="0"/>
        <w:spacing w:line="360" w:lineRule="auto"/>
        <w:ind w:firstLine="720" w:firstLineChars="300"/>
        <w:rPr>
          <w:rStyle w:val="10"/>
          <w:rFonts w:hint="default" w:ascii="Arial Narrow" w:hAnsi="Arial Narrow" w:eastAsia="仿宋_GB2312" w:cs="Arial Narrow"/>
          <w:color w:val="auto"/>
          <w:sz w:val="24"/>
          <w:u w:val="none"/>
        </w:rPr>
      </w:pPr>
    </w:p>
    <w:p w14:paraId="4541B642">
      <w:pPr>
        <w:adjustRightInd w:val="0"/>
        <w:snapToGrid w:val="0"/>
        <w:spacing w:line="360" w:lineRule="auto"/>
        <w:ind w:firstLine="720" w:firstLineChars="300"/>
        <w:rPr>
          <w:rStyle w:val="10"/>
          <w:rFonts w:hint="default" w:ascii="Arial Narrow" w:hAnsi="Arial Narrow" w:eastAsia="仿宋_GB2312" w:cs="Arial Narrow"/>
          <w:color w:val="auto"/>
          <w:sz w:val="24"/>
          <w:u w:val="none"/>
        </w:rPr>
      </w:pPr>
    </w:p>
    <w:p w14:paraId="5B334564">
      <w:pPr>
        <w:adjustRightInd w:val="0"/>
        <w:snapToGrid w:val="0"/>
        <w:spacing w:line="360" w:lineRule="auto"/>
        <w:ind w:firstLine="720" w:firstLineChars="300"/>
        <w:rPr>
          <w:rStyle w:val="10"/>
          <w:rFonts w:hint="default" w:ascii="Arial Narrow" w:hAnsi="Arial Narrow" w:eastAsia="仿宋_GB2312" w:cs="Arial Narrow"/>
          <w:color w:val="auto"/>
          <w:sz w:val="24"/>
          <w:u w:val="none"/>
        </w:rPr>
      </w:pPr>
    </w:p>
    <w:p w14:paraId="18EF2B05">
      <w:pPr>
        <w:adjustRightInd w:val="0"/>
        <w:snapToGrid w:val="0"/>
        <w:spacing w:line="360" w:lineRule="auto"/>
        <w:ind w:firstLine="720" w:firstLineChars="300"/>
        <w:rPr>
          <w:rStyle w:val="10"/>
          <w:rFonts w:hint="default" w:ascii="Arial Narrow" w:hAnsi="Arial Narrow" w:eastAsia="仿宋_GB2312" w:cs="Arial Narrow"/>
          <w:color w:val="auto"/>
          <w:sz w:val="24"/>
          <w:u w:val="none"/>
        </w:rPr>
      </w:pPr>
    </w:p>
    <w:p w14:paraId="0AF7B7E7">
      <w:pPr>
        <w:adjustRightInd w:val="0"/>
        <w:snapToGrid w:val="0"/>
        <w:spacing w:line="360" w:lineRule="auto"/>
        <w:jc w:val="right"/>
        <w:rPr>
          <w:rStyle w:val="10"/>
          <w:rFonts w:hint="default" w:ascii="Arial Narrow" w:hAnsi="Arial Narrow" w:eastAsia="仿宋_GB2312" w:cs="Arial Narrow"/>
          <w:color w:val="auto"/>
          <w:sz w:val="24"/>
          <w:u w:val="none"/>
        </w:rPr>
      </w:pPr>
      <w:r>
        <w:rPr>
          <w:rStyle w:val="10"/>
          <w:rFonts w:hint="default" w:ascii="Arial Narrow" w:hAnsi="Arial Narrow" w:eastAsia="仿宋_GB2312" w:cs="Arial Narrow"/>
          <w:color w:val="auto"/>
          <w:sz w:val="24"/>
          <w:u w:val="none"/>
        </w:rPr>
        <w:t xml:space="preserve"> 重庆铭鸿金全会计师事务所有限责任公司</w:t>
      </w:r>
    </w:p>
    <w:p w14:paraId="6EABF600">
      <w:pPr>
        <w:adjustRightInd w:val="0"/>
        <w:snapToGrid w:val="0"/>
        <w:spacing w:line="360" w:lineRule="auto"/>
        <w:ind w:right="960" w:firstLine="4800" w:firstLineChars="2000"/>
        <w:jc w:val="right"/>
        <w:rPr>
          <w:rStyle w:val="10"/>
          <w:rFonts w:hint="default" w:ascii="Arial Narrow" w:hAnsi="Arial Narrow" w:eastAsia="仿宋_GB2312" w:cs="Arial Narrow"/>
          <w:color w:val="auto"/>
          <w:sz w:val="24"/>
          <w:u w:val="none"/>
        </w:rPr>
      </w:pPr>
      <w:r>
        <w:rPr>
          <w:rStyle w:val="10"/>
          <w:rFonts w:hint="default" w:ascii="Arial Narrow" w:hAnsi="Arial Narrow" w:eastAsia="仿宋_GB2312" w:cs="Arial Narrow"/>
          <w:color w:val="auto"/>
          <w:sz w:val="24"/>
          <w:u w:val="none"/>
        </w:rPr>
        <w:t>二</w:t>
      </w:r>
      <w:r>
        <w:rPr>
          <w:rStyle w:val="10"/>
          <w:rFonts w:hint="eastAsia" w:ascii="Arial Narrow" w:hAnsi="Arial Narrow" w:eastAsia="仿宋_GB2312" w:cs="Arial Narrow"/>
          <w:color w:val="auto"/>
          <w:sz w:val="24"/>
          <w:u w:val="none"/>
          <w:lang w:val="en-US" w:eastAsia="zh-CN"/>
        </w:rPr>
        <w:t>〇</w:t>
      </w:r>
      <w:bookmarkStart w:id="29" w:name="_GoBack"/>
      <w:bookmarkEnd w:id="29"/>
      <w:r>
        <w:rPr>
          <w:rStyle w:val="10"/>
          <w:rFonts w:hint="default" w:ascii="Arial Narrow" w:hAnsi="Arial Narrow" w:eastAsia="仿宋_GB2312" w:cs="Arial Narrow"/>
          <w:color w:val="auto"/>
          <w:sz w:val="24"/>
          <w:u w:val="none"/>
        </w:rPr>
        <w:t>二四年六月三十日</w:t>
      </w:r>
    </w:p>
    <w:sectPr>
      <w:headerReference r:id="rId4" w:type="default"/>
      <w:footerReference r:id="rId5" w:type="default"/>
      <w:pgSz w:w="11907" w:h="16840" w:orient="landscape"/>
      <w:pgMar w:top="1418" w:right="1418" w:bottom="1134" w:left="1134" w:header="851" w:footer="851"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panose1 w:val="020B0606020202030204"/>
    <w:charset w:val="00"/>
    <w:family w:val="swiss"/>
    <w:pitch w:val="default"/>
    <w:sig w:usb0="00000287" w:usb1="00000800" w:usb2="00000000" w:usb3="00000000" w:csb0="2000009F" w:csb1="DFD70000"/>
    <w:embedRegular r:id="rId1" w:fontKey="{0D979114-298D-44F6-93A9-89DC70A67A17}"/>
  </w:font>
  <w:font w:name="仿宋_GB2312">
    <w:panose1 w:val="02010609030101010101"/>
    <w:charset w:val="86"/>
    <w:family w:val="modern"/>
    <w:pitch w:val="default"/>
    <w:sig w:usb0="00000001" w:usb1="080E0000" w:usb2="00000000" w:usb3="00000000" w:csb0="00040000" w:csb1="00000000"/>
    <w:embedRegular r:id="rId2" w:fontKey="{0217AD5A-71B3-4208-825B-EE76689E734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9BCED">
    <w:pPr>
      <w:pStyle w:val="4"/>
      <w:jc w:val="center"/>
      <w:rPr>
        <w:rFonts w:hint="eastAsia"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DCDED">
    <w:pPr>
      <w:pStyle w:val="4"/>
      <w:jc w:val="center"/>
      <w:rPr>
        <w:rFonts w:hint="eastAsia"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E8BCC">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54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769EE"/>
    <w:rsid w:val="00086644"/>
    <w:rsid w:val="0010003E"/>
    <w:rsid w:val="00104568"/>
    <w:rsid w:val="00143A99"/>
    <w:rsid w:val="00164C87"/>
    <w:rsid w:val="001A42EB"/>
    <w:rsid w:val="001C14B0"/>
    <w:rsid w:val="001E0132"/>
    <w:rsid w:val="001F3624"/>
    <w:rsid w:val="001F43AE"/>
    <w:rsid w:val="00216472"/>
    <w:rsid w:val="00226E7E"/>
    <w:rsid w:val="00276D1C"/>
    <w:rsid w:val="00282997"/>
    <w:rsid w:val="002A5E96"/>
    <w:rsid w:val="002C36AE"/>
    <w:rsid w:val="002C5020"/>
    <w:rsid w:val="002C7EFA"/>
    <w:rsid w:val="00324E2F"/>
    <w:rsid w:val="0037066E"/>
    <w:rsid w:val="003B42BF"/>
    <w:rsid w:val="00414A58"/>
    <w:rsid w:val="004200C2"/>
    <w:rsid w:val="00420AA7"/>
    <w:rsid w:val="00421C71"/>
    <w:rsid w:val="004C38B4"/>
    <w:rsid w:val="004D2A6E"/>
    <w:rsid w:val="00501A64"/>
    <w:rsid w:val="005123B9"/>
    <w:rsid w:val="00531287"/>
    <w:rsid w:val="00572DD6"/>
    <w:rsid w:val="005F01BA"/>
    <w:rsid w:val="0061417A"/>
    <w:rsid w:val="0069678B"/>
    <w:rsid w:val="006E75D6"/>
    <w:rsid w:val="0073019B"/>
    <w:rsid w:val="00740E9D"/>
    <w:rsid w:val="00741402"/>
    <w:rsid w:val="007A6BE6"/>
    <w:rsid w:val="007B7FF7"/>
    <w:rsid w:val="00842151"/>
    <w:rsid w:val="00856815"/>
    <w:rsid w:val="00894F1A"/>
    <w:rsid w:val="008952B1"/>
    <w:rsid w:val="008D4F7C"/>
    <w:rsid w:val="008E609D"/>
    <w:rsid w:val="00983CB7"/>
    <w:rsid w:val="009957B8"/>
    <w:rsid w:val="00A352D4"/>
    <w:rsid w:val="00A92FB5"/>
    <w:rsid w:val="00A95CA5"/>
    <w:rsid w:val="00AD497D"/>
    <w:rsid w:val="00AE470F"/>
    <w:rsid w:val="00AF58DD"/>
    <w:rsid w:val="00B134A6"/>
    <w:rsid w:val="00BB3674"/>
    <w:rsid w:val="00BC7BED"/>
    <w:rsid w:val="00C107C7"/>
    <w:rsid w:val="00C12443"/>
    <w:rsid w:val="00C35442"/>
    <w:rsid w:val="00C60A62"/>
    <w:rsid w:val="00CB54FB"/>
    <w:rsid w:val="00CE787B"/>
    <w:rsid w:val="00D254D3"/>
    <w:rsid w:val="00D26E16"/>
    <w:rsid w:val="00D415D5"/>
    <w:rsid w:val="00DB55F0"/>
    <w:rsid w:val="00E23D6E"/>
    <w:rsid w:val="00E27A95"/>
    <w:rsid w:val="00E80BDA"/>
    <w:rsid w:val="00F54C3F"/>
    <w:rsid w:val="00F61D28"/>
    <w:rsid w:val="00F64D50"/>
    <w:rsid w:val="00F6551E"/>
    <w:rsid w:val="00FD1A79"/>
    <w:rsid w:val="00FE1E65"/>
    <w:rsid w:val="00FF5AA5"/>
    <w:rsid w:val="01E96692"/>
    <w:rsid w:val="02717C9D"/>
    <w:rsid w:val="04EC5521"/>
    <w:rsid w:val="0C432548"/>
    <w:rsid w:val="0C955D75"/>
    <w:rsid w:val="10FD0312"/>
    <w:rsid w:val="120E6874"/>
    <w:rsid w:val="187A43F4"/>
    <w:rsid w:val="1E542510"/>
    <w:rsid w:val="1EDE0516"/>
    <w:rsid w:val="270731DD"/>
    <w:rsid w:val="29041717"/>
    <w:rsid w:val="2B883C2C"/>
    <w:rsid w:val="357129F4"/>
    <w:rsid w:val="371050B8"/>
    <w:rsid w:val="45947F31"/>
    <w:rsid w:val="4DF1278B"/>
    <w:rsid w:val="52385DFC"/>
    <w:rsid w:val="55E372AA"/>
    <w:rsid w:val="58560DDA"/>
    <w:rsid w:val="5BC7720C"/>
    <w:rsid w:val="5D8B6610"/>
    <w:rsid w:val="60087B46"/>
    <w:rsid w:val="629B4EDD"/>
    <w:rsid w:val="64503960"/>
    <w:rsid w:val="6BA87C11"/>
    <w:rsid w:val="6C0B491D"/>
    <w:rsid w:val="6C193137"/>
    <w:rsid w:val="6E0948CB"/>
    <w:rsid w:val="75666471"/>
    <w:rsid w:val="7F0665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footer"/>
    <w:basedOn w:val="1"/>
    <w:qFormat/>
    <w:uiPriority w:val="99"/>
    <w:pPr>
      <w:tabs>
        <w:tab w:val="center" w:pos="4153"/>
        <w:tab w:val="right" w:pos="8306"/>
      </w:tabs>
      <w:snapToGrid w:val="0"/>
      <w:jc w:val="left"/>
    </w:pPr>
    <w:rPr>
      <w:sz w:val="18"/>
      <w:szCs w:val="18"/>
      <w:lang w:val="zh-CN"/>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6">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7">
    <w:name w:val="annotation subject"/>
    <w:basedOn w:val="3"/>
    <w:next w:val="3"/>
    <w:link w:val="15"/>
    <w:qFormat/>
    <w:uiPriority w:val="0"/>
    <w:rPr>
      <w:b/>
      <w:bCs/>
    </w:rPr>
  </w:style>
  <w:style w:type="character" w:styleId="10">
    <w:name w:val="Hyperlink"/>
    <w:qFormat/>
    <w:uiPriority w:val="99"/>
    <w:rPr>
      <w:color w:val="0000FF"/>
      <w:u w:val="single"/>
    </w:rPr>
  </w:style>
  <w:style w:type="character" w:styleId="11">
    <w:name w:val="annotation reference"/>
    <w:basedOn w:val="9"/>
    <w:qFormat/>
    <w:uiPriority w:val="0"/>
    <w:rPr>
      <w:sz w:val="21"/>
      <w:szCs w:val="21"/>
    </w:rPr>
  </w:style>
  <w:style w:type="paragraph" w:customStyle="1" w:styleId="12">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4">
    <w:name w:val="批注文字 字符"/>
    <w:basedOn w:val="9"/>
    <w:link w:val="3"/>
    <w:qFormat/>
    <w:uiPriority w:val="0"/>
    <w:rPr>
      <w:kern w:val="2"/>
      <w:sz w:val="21"/>
      <w:szCs w:val="24"/>
    </w:rPr>
  </w:style>
  <w:style w:type="character" w:customStyle="1" w:styleId="15">
    <w:name w:val="批注主题 字符"/>
    <w:basedOn w:val="14"/>
    <w:link w:val="7"/>
    <w:qFormat/>
    <w:uiPriority w:val="0"/>
    <w:rPr>
      <w:b/>
      <w:bCs/>
      <w:kern w:val="2"/>
      <w:sz w:val="21"/>
      <w:szCs w:val="24"/>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00616-A4DC-48FD-B5E0-08469EFDF224}">
  <ds:schemaRefs/>
</ds:datastoreItem>
</file>

<file path=docProps/app.xml><?xml version="1.0" encoding="utf-8"?>
<Properties xmlns="http://schemas.openxmlformats.org/officeDocument/2006/extended-properties" xmlns:vt="http://schemas.openxmlformats.org/officeDocument/2006/docPropsVTypes">
  <Template>Normal</Template>
  <Pages>9</Pages>
  <Words>5298</Words>
  <Characters>5622</Characters>
  <Lines>49</Lines>
  <Paragraphs>13</Paragraphs>
  <TotalTime>14</TotalTime>
  <ScaleCrop>false</ScaleCrop>
  <LinksUpToDate>false</LinksUpToDate>
  <CharactersWithSpaces>5650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2024-06-07T06:02:00Z</cp:lastPrinted>
  <dcterms:modified xsi:type="dcterms:W3CDTF">2024-11-20T01:12:26Z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0DEEC9CE015C4E0B9A5BDD2CC641473F_12</vt:lpwstr>
  </property>
</Properties>
</file>