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85BE0">
      <w:pPr>
        <w:spacing w:line="360" w:lineRule="auto"/>
        <w:jc w:val="center"/>
        <w:rPr>
          <w:rFonts w:ascii="Arial Narrow" w:hAnsi="Arial Narrow"/>
          <w:b/>
          <w:bCs/>
          <w:sz w:val="36"/>
          <w:szCs w:val="36"/>
        </w:rPr>
      </w:pPr>
    </w:p>
    <w:p w14:paraId="68379BF0">
      <w:pPr>
        <w:spacing w:line="360" w:lineRule="auto"/>
        <w:jc w:val="center"/>
        <w:rPr>
          <w:rFonts w:ascii="Arial Narrow" w:hAnsi="Arial Narrow"/>
          <w:b/>
          <w:bCs/>
          <w:sz w:val="36"/>
          <w:szCs w:val="36"/>
        </w:rPr>
      </w:pPr>
    </w:p>
    <w:p w14:paraId="335B3A94">
      <w:pPr>
        <w:spacing w:line="360" w:lineRule="auto"/>
        <w:jc w:val="center"/>
        <w:rPr>
          <w:rFonts w:ascii="Arial Narrow" w:hAnsi="Arial Narrow"/>
          <w:b/>
          <w:bCs/>
          <w:sz w:val="36"/>
          <w:szCs w:val="36"/>
        </w:rPr>
      </w:pPr>
    </w:p>
    <w:p w14:paraId="298E7846">
      <w:pPr>
        <w:spacing w:line="360" w:lineRule="auto"/>
        <w:jc w:val="center"/>
        <w:rPr>
          <w:rFonts w:ascii="Arial Narrow" w:hAnsi="Arial Narrow"/>
          <w:b/>
          <w:bCs/>
          <w:sz w:val="36"/>
          <w:szCs w:val="36"/>
        </w:rPr>
      </w:pPr>
    </w:p>
    <w:p w14:paraId="0A7339DB">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重庆市铜梁区商务委员会消费帮扶项目</w:t>
      </w:r>
    </w:p>
    <w:p w14:paraId="1F930A4C">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43F257EB">
      <w:pPr>
        <w:adjustRightInd w:val="0"/>
        <w:snapToGrid w:val="0"/>
        <w:spacing w:line="360" w:lineRule="auto"/>
        <w:jc w:val="center"/>
        <w:rPr>
          <w:rFonts w:ascii="Arial Narrow" w:hAnsi="Arial Narrow"/>
          <w:b/>
          <w:sz w:val="36"/>
          <w:szCs w:val="36"/>
        </w:rPr>
      </w:pPr>
    </w:p>
    <w:p w14:paraId="110F15DC">
      <w:pPr>
        <w:adjustRightInd w:val="0"/>
        <w:snapToGrid w:val="0"/>
        <w:spacing w:line="360" w:lineRule="auto"/>
        <w:jc w:val="center"/>
        <w:rPr>
          <w:rFonts w:ascii="Arial Narrow" w:hAnsi="Arial Narrow"/>
          <w:b/>
          <w:spacing w:val="100"/>
          <w:sz w:val="32"/>
          <w:szCs w:val="32"/>
        </w:rPr>
      </w:pPr>
    </w:p>
    <w:p w14:paraId="55CA4009">
      <w:pPr>
        <w:adjustRightInd w:val="0"/>
        <w:snapToGrid w:val="0"/>
        <w:spacing w:line="360" w:lineRule="auto"/>
        <w:jc w:val="center"/>
        <w:rPr>
          <w:rFonts w:ascii="Arial Narrow" w:hAnsi="Arial Narrow"/>
          <w:b/>
          <w:spacing w:val="100"/>
          <w:sz w:val="32"/>
          <w:szCs w:val="32"/>
        </w:rPr>
      </w:pPr>
    </w:p>
    <w:p w14:paraId="138EAD4D">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7902FB51">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057</w:t>
      </w:r>
      <w:r>
        <w:rPr>
          <w:rFonts w:ascii="Arial Narrow" w:hAnsi="Arial Narrow" w:eastAsia="仿宋"/>
          <w:bCs/>
          <w:sz w:val="32"/>
          <w:szCs w:val="32"/>
        </w:rPr>
        <w:t>号</w:t>
      </w:r>
    </w:p>
    <w:p w14:paraId="555D59A5">
      <w:pPr>
        <w:adjustRightInd w:val="0"/>
        <w:snapToGrid w:val="0"/>
        <w:spacing w:line="360" w:lineRule="auto"/>
        <w:jc w:val="center"/>
        <w:rPr>
          <w:rFonts w:ascii="Arial Narrow" w:hAnsi="Arial Narrow"/>
          <w:b/>
          <w:spacing w:val="100"/>
          <w:sz w:val="32"/>
          <w:szCs w:val="32"/>
        </w:rPr>
      </w:pPr>
    </w:p>
    <w:p w14:paraId="25292162">
      <w:pPr>
        <w:adjustRightInd w:val="0"/>
        <w:snapToGrid w:val="0"/>
        <w:spacing w:line="360" w:lineRule="auto"/>
        <w:jc w:val="center"/>
        <w:rPr>
          <w:rFonts w:ascii="Arial Narrow" w:hAnsi="Arial Narrow"/>
          <w:b/>
          <w:spacing w:val="100"/>
          <w:sz w:val="32"/>
          <w:szCs w:val="32"/>
        </w:rPr>
      </w:pPr>
    </w:p>
    <w:p w14:paraId="1CFBCC3F">
      <w:pPr>
        <w:adjustRightInd w:val="0"/>
        <w:snapToGrid w:val="0"/>
        <w:spacing w:line="360" w:lineRule="auto"/>
        <w:jc w:val="center"/>
        <w:rPr>
          <w:rFonts w:ascii="Arial Narrow" w:hAnsi="Arial Narrow"/>
          <w:b/>
          <w:spacing w:val="100"/>
          <w:sz w:val="32"/>
          <w:szCs w:val="32"/>
        </w:rPr>
      </w:pPr>
    </w:p>
    <w:p w14:paraId="5BA9AFD8">
      <w:pPr>
        <w:adjustRightInd w:val="0"/>
        <w:snapToGrid w:val="0"/>
        <w:spacing w:line="360" w:lineRule="auto"/>
        <w:jc w:val="center"/>
        <w:rPr>
          <w:rFonts w:ascii="Arial Narrow" w:hAnsi="Arial Narrow"/>
          <w:b/>
          <w:spacing w:val="100"/>
          <w:sz w:val="32"/>
          <w:szCs w:val="32"/>
        </w:rPr>
      </w:pPr>
    </w:p>
    <w:p w14:paraId="4407FFA0">
      <w:pPr>
        <w:adjustRightInd w:val="0"/>
        <w:snapToGrid w:val="0"/>
        <w:spacing w:line="360" w:lineRule="auto"/>
        <w:jc w:val="center"/>
        <w:rPr>
          <w:rFonts w:ascii="Arial Narrow" w:hAnsi="Arial Narrow"/>
          <w:b/>
          <w:spacing w:val="100"/>
          <w:sz w:val="32"/>
          <w:szCs w:val="32"/>
        </w:rPr>
      </w:pPr>
    </w:p>
    <w:p w14:paraId="5EAADB9C">
      <w:pPr>
        <w:adjustRightInd w:val="0"/>
        <w:snapToGrid w:val="0"/>
        <w:spacing w:line="360" w:lineRule="auto"/>
        <w:jc w:val="center"/>
        <w:rPr>
          <w:rFonts w:ascii="Arial Narrow" w:hAnsi="Arial Narrow"/>
          <w:b/>
          <w:spacing w:val="100"/>
          <w:sz w:val="32"/>
          <w:szCs w:val="32"/>
        </w:rPr>
      </w:pPr>
    </w:p>
    <w:p w14:paraId="5CBBC908">
      <w:pPr>
        <w:adjustRightInd w:val="0"/>
        <w:snapToGrid w:val="0"/>
        <w:spacing w:line="360" w:lineRule="auto"/>
        <w:jc w:val="center"/>
        <w:rPr>
          <w:rFonts w:ascii="Arial Narrow" w:hAnsi="Arial Narrow"/>
          <w:b/>
          <w:spacing w:val="100"/>
          <w:sz w:val="32"/>
          <w:szCs w:val="32"/>
        </w:rPr>
      </w:pPr>
    </w:p>
    <w:p w14:paraId="06E6D54E">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7DB02F02">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目录</w:t>
      </w:r>
    </w:p>
    <w:p w14:paraId="73AC2EE8">
      <w:pPr>
        <w:spacing w:line="360" w:lineRule="auto"/>
        <w:jc w:val="center"/>
        <w:rPr>
          <w:rFonts w:ascii="Arial Narrow" w:hAnsi="Arial Narrow"/>
          <w:sz w:val="24"/>
        </w:rPr>
      </w:pPr>
    </w:p>
    <w:p w14:paraId="52153407">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_Toc6575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_Toc6575 \h </w:instrText>
      </w:r>
      <w:r>
        <w:fldChar w:fldCharType="separate"/>
      </w:r>
      <w:r>
        <w:t>1</w:t>
      </w:r>
      <w:r>
        <w:fldChar w:fldCharType="end"/>
      </w:r>
      <w:r>
        <w:rPr>
          <w:rFonts w:ascii="仿宋" w:hAnsi="仿宋" w:eastAsia="仿宋"/>
          <w:bCs w:val="0"/>
          <w:color w:val="auto"/>
          <w:szCs w:val="21"/>
          <w:u w:val="none"/>
        </w:rPr>
        <w:fldChar w:fldCharType="end"/>
      </w:r>
    </w:p>
    <w:p w14:paraId="43F11C5D">
      <w:pPr>
        <w:pStyle w:val="6"/>
        <w:tabs>
          <w:tab w:val="right" w:leader="dot" w:pos="8788"/>
          <w:tab w:val="clear" w:pos="8778"/>
        </w:tabs>
      </w:pPr>
      <w:r>
        <w:rPr>
          <w:color w:val="auto"/>
          <w:szCs w:val="21"/>
          <w:u w:val="none"/>
        </w:rPr>
        <w:fldChar w:fldCharType="begin"/>
      </w:r>
      <w:r>
        <w:rPr>
          <w:szCs w:val="21"/>
        </w:rPr>
        <w:instrText xml:space="preserve"> HYPERLINK \l _Toc9908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_Toc9908 \h </w:instrText>
      </w:r>
      <w:r>
        <w:fldChar w:fldCharType="separate"/>
      </w:r>
      <w:r>
        <w:t>1</w:t>
      </w:r>
      <w:r>
        <w:fldChar w:fldCharType="end"/>
      </w:r>
      <w:r>
        <w:rPr>
          <w:color w:val="auto"/>
          <w:szCs w:val="21"/>
          <w:u w:val="none"/>
        </w:rPr>
        <w:fldChar w:fldCharType="end"/>
      </w:r>
    </w:p>
    <w:p w14:paraId="21B736CE">
      <w:pPr>
        <w:pStyle w:val="6"/>
        <w:tabs>
          <w:tab w:val="right" w:leader="dot" w:pos="8788"/>
          <w:tab w:val="clear" w:pos="8778"/>
        </w:tabs>
      </w:pPr>
      <w:r>
        <w:rPr>
          <w:color w:val="auto"/>
          <w:szCs w:val="21"/>
          <w:u w:val="none"/>
        </w:rPr>
        <w:fldChar w:fldCharType="begin"/>
      </w:r>
      <w:r>
        <w:rPr>
          <w:szCs w:val="21"/>
        </w:rPr>
        <w:instrText xml:space="preserve"> HYPERLINK \l _Toc29030 </w:instrText>
      </w:r>
      <w:r>
        <w:rPr>
          <w:szCs w:val="21"/>
        </w:rPr>
        <w:fldChar w:fldCharType="separate"/>
      </w:r>
      <w:r>
        <w:rPr>
          <w:rFonts w:ascii="Arial Narrow" w:hAnsi="Arial Narrow" w:eastAsia="仿宋_GB2312"/>
        </w:rPr>
        <w:t>二、绩效评价工作情况</w:t>
      </w:r>
      <w:r>
        <w:tab/>
      </w:r>
      <w:r>
        <w:fldChar w:fldCharType="begin"/>
      </w:r>
      <w:r>
        <w:instrText xml:space="preserve"> PAGEREF _Toc29030 \h </w:instrText>
      </w:r>
      <w:r>
        <w:fldChar w:fldCharType="separate"/>
      </w:r>
      <w:r>
        <w:t>1</w:t>
      </w:r>
      <w:r>
        <w:fldChar w:fldCharType="end"/>
      </w:r>
      <w:r>
        <w:rPr>
          <w:color w:val="auto"/>
          <w:szCs w:val="21"/>
          <w:u w:val="none"/>
        </w:rPr>
        <w:fldChar w:fldCharType="end"/>
      </w:r>
    </w:p>
    <w:p w14:paraId="2A7A88F1">
      <w:pPr>
        <w:pStyle w:val="6"/>
        <w:tabs>
          <w:tab w:val="right" w:leader="dot" w:pos="8788"/>
          <w:tab w:val="clear" w:pos="8778"/>
        </w:tabs>
      </w:pPr>
      <w:r>
        <w:rPr>
          <w:color w:val="auto"/>
          <w:szCs w:val="21"/>
          <w:u w:val="none"/>
        </w:rPr>
        <w:fldChar w:fldCharType="begin"/>
      </w:r>
      <w:r>
        <w:rPr>
          <w:szCs w:val="21"/>
        </w:rPr>
        <w:instrText xml:space="preserve"> HYPERLINK \l _Toc8003 </w:instrText>
      </w:r>
      <w:r>
        <w:rPr>
          <w:szCs w:val="21"/>
        </w:rPr>
        <w:fldChar w:fldCharType="separate"/>
      </w:r>
      <w:r>
        <w:rPr>
          <w:rFonts w:ascii="Arial Narrow" w:hAnsi="Arial Narrow" w:eastAsia="仿宋_GB2312"/>
        </w:rPr>
        <w:t>（一）绩效评价目的</w:t>
      </w:r>
      <w:r>
        <w:tab/>
      </w:r>
      <w:r>
        <w:fldChar w:fldCharType="begin"/>
      </w:r>
      <w:r>
        <w:instrText xml:space="preserve"> PAGEREF _Toc8003 \h </w:instrText>
      </w:r>
      <w:r>
        <w:fldChar w:fldCharType="separate"/>
      </w:r>
      <w:r>
        <w:t>1</w:t>
      </w:r>
      <w:r>
        <w:fldChar w:fldCharType="end"/>
      </w:r>
      <w:r>
        <w:rPr>
          <w:color w:val="auto"/>
          <w:szCs w:val="21"/>
          <w:u w:val="none"/>
        </w:rPr>
        <w:fldChar w:fldCharType="end"/>
      </w:r>
    </w:p>
    <w:p w14:paraId="32C4B3C1">
      <w:pPr>
        <w:pStyle w:val="6"/>
        <w:tabs>
          <w:tab w:val="right" w:leader="dot" w:pos="8788"/>
          <w:tab w:val="clear" w:pos="8778"/>
        </w:tabs>
      </w:pPr>
      <w:r>
        <w:rPr>
          <w:color w:val="auto"/>
          <w:szCs w:val="21"/>
          <w:u w:val="none"/>
        </w:rPr>
        <w:fldChar w:fldCharType="begin"/>
      </w:r>
      <w:r>
        <w:rPr>
          <w:szCs w:val="21"/>
        </w:rPr>
        <w:instrText xml:space="preserve"> HYPERLINK \l _Toc578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_Toc578 \h </w:instrText>
      </w:r>
      <w:r>
        <w:fldChar w:fldCharType="separate"/>
      </w:r>
      <w:r>
        <w:t>2</w:t>
      </w:r>
      <w:r>
        <w:fldChar w:fldCharType="end"/>
      </w:r>
      <w:r>
        <w:rPr>
          <w:color w:val="auto"/>
          <w:szCs w:val="21"/>
          <w:u w:val="none"/>
        </w:rPr>
        <w:fldChar w:fldCharType="end"/>
      </w:r>
    </w:p>
    <w:p w14:paraId="2049AAAA">
      <w:pPr>
        <w:pStyle w:val="6"/>
        <w:tabs>
          <w:tab w:val="right" w:leader="dot" w:pos="8788"/>
          <w:tab w:val="clear" w:pos="8778"/>
        </w:tabs>
      </w:pPr>
      <w:r>
        <w:rPr>
          <w:color w:val="auto"/>
          <w:szCs w:val="21"/>
          <w:u w:val="none"/>
        </w:rPr>
        <w:fldChar w:fldCharType="begin"/>
      </w:r>
      <w:r>
        <w:rPr>
          <w:szCs w:val="21"/>
        </w:rPr>
        <w:instrText xml:space="preserve"> HYPERLINK \l _Toc4143 </w:instrText>
      </w:r>
      <w:r>
        <w:rPr>
          <w:szCs w:val="21"/>
        </w:rPr>
        <w:fldChar w:fldCharType="separate"/>
      </w:r>
      <w:r>
        <w:rPr>
          <w:rFonts w:ascii="Arial Narrow" w:hAnsi="Arial Narrow" w:eastAsia="仿宋_GB2312"/>
        </w:rPr>
        <w:t>（三）绩效评价依据</w:t>
      </w:r>
      <w:r>
        <w:tab/>
      </w:r>
      <w:r>
        <w:fldChar w:fldCharType="begin"/>
      </w:r>
      <w:r>
        <w:instrText xml:space="preserve"> PAGEREF _Toc4143 \h </w:instrText>
      </w:r>
      <w:r>
        <w:fldChar w:fldCharType="separate"/>
      </w:r>
      <w:r>
        <w:t>2</w:t>
      </w:r>
      <w:r>
        <w:fldChar w:fldCharType="end"/>
      </w:r>
      <w:r>
        <w:rPr>
          <w:color w:val="auto"/>
          <w:szCs w:val="21"/>
          <w:u w:val="none"/>
        </w:rPr>
        <w:fldChar w:fldCharType="end"/>
      </w:r>
    </w:p>
    <w:p w14:paraId="7F0268D3">
      <w:pPr>
        <w:pStyle w:val="6"/>
        <w:tabs>
          <w:tab w:val="right" w:leader="dot" w:pos="8788"/>
          <w:tab w:val="clear" w:pos="8778"/>
        </w:tabs>
      </w:pPr>
      <w:r>
        <w:rPr>
          <w:color w:val="auto"/>
          <w:szCs w:val="21"/>
          <w:u w:val="none"/>
        </w:rPr>
        <w:fldChar w:fldCharType="begin"/>
      </w:r>
      <w:r>
        <w:rPr>
          <w:szCs w:val="21"/>
        </w:rPr>
        <w:instrText xml:space="preserve"> HYPERLINK \l _Toc2970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_Toc2970 \h </w:instrText>
      </w:r>
      <w:r>
        <w:fldChar w:fldCharType="separate"/>
      </w:r>
      <w:r>
        <w:t>2</w:t>
      </w:r>
      <w:r>
        <w:fldChar w:fldCharType="end"/>
      </w:r>
      <w:r>
        <w:rPr>
          <w:color w:val="auto"/>
          <w:szCs w:val="21"/>
          <w:u w:val="none"/>
        </w:rPr>
        <w:fldChar w:fldCharType="end"/>
      </w:r>
    </w:p>
    <w:p w14:paraId="734BEFE9">
      <w:pPr>
        <w:pStyle w:val="6"/>
        <w:tabs>
          <w:tab w:val="right" w:leader="dot" w:pos="8788"/>
          <w:tab w:val="clear" w:pos="8778"/>
        </w:tabs>
      </w:pPr>
      <w:r>
        <w:rPr>
          <w:color w:val="auto"/>
          <w:szCs w:val="21"/>
          <w:u w:val="none"/>
        </w:rPr>
        <w:fldChar w:fldCharType="begin"/>
      </w:r>
      <w:r>
        <w:rPr>
          <w:szCs w:val="21"/>
        </w:rPr>
        <w:instrText xml:space="preserve"> HYPERLINK \l _Toc3056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_Toc3056 \h </w:instrText>
      </w:r>
      <w:r>
        <w:fldChar w:fldCharType="separate"/>
      </w:r>
      <w:r>
        <w:t>5</w:t>
      </w:r>
      <w:r>
        <w:fldChar w:fldCharType="end"/>
      </w:r>
      <w:r>
        <w:rPr>
          <w:color w:val="auto"/>
          <w:szCs w:val="21"/>
          <w:u w:val="none"/>
        </w:rPr>
        <w:fldChar w:fldCharType="end"/>
      </w:r>
    </w:p>
    <w:p w14:paraId="4BD55E19">
      <w:pPr>
        <w:pStyle w:val="6"/>
        <w:tabs>
          <w:tab w:val="right" w:leader="dot" w:pos="8788"/>
          <w:tab w:val="clear" w:pos="8778"/>
        </w:tabs>
      </w:pPr>
      <w:r>
        <w:rPr>
          <w:color w:val="auto"/>
          <w:szCs w:val="21"/>
          <w:u w:val="none"/>
        </w:rPr>
        <w:fldChar w:fldCharType="begin"/>
      </w:r>
      <w:r>
        <w:rPr>
          <w:szCs w:val="21"/>
        </w:rPr>
        <w:instrText xml:space="preserve"> HYPERLINK \l _Toc19607 </w:instrText>
      </w:r>
      <w:r>
        <w:rPr>
          <w:szCs w:val="21"/>
        </w:rPr>
        <w:fldChar w:fldCharType="separate"/>
      </w:r>
      <w:r>
        <w:rPr>
          <w:rFonts w:ascii="Arial Narrow" w:hAnsi="Arial Narrow" w:eastAsia="仿宋_GB2312"/>
        </w:rPr>
        <w:t>（六）绩效评价工作过程</w:t>
      </w:r>
      <w:r>
        <w:tab/>
      </w:r>
      <w:r>
        <w:fldChar w:fldCharType="begin"/>
      </w:r>
      <w:r>
        <w:instrText xml:space="preserve"> PAGEREF _Toc19607 \h </w:instrText>
      </w:r>
      <w:r>
        <w:fldChar w:fldCharType="separate"/>
      </w:r>
      <w:r>
        <w:t>5</w:t>
      </w:r>
      <w:r>
        <w:fldChar w:fldCharType="end"/>
      </w:r>
      <w:r>
        <w:rPr>
          <w:color w:val="auto"/>
          <w:szCs w:val="21"/>
          <w:u w:val="none"/>
        </w:rPr>
        <w:fldChar w:fldCharType="end"/>
      </w:r>
    </w:p>
    <w:p w14:paraId="7513F4EF">
      <w:pPr>
        <w:pStyle w:val="6"/>
        <w:tabs>
          <w:tab w:val="right" w:leader="dot" w:pos="8788"/>
          <w:tab w:val="clear" w:pos="8778"/>
        </w:tabs>
      </w:pPr>
      <w:r>
        <w:rPr>
          <w:color w:val="auto"/>
          <w:szCs w:val="21"/>
          <w:u w:val="none"/>
        </w:rPr>
        <w:fldChar w:fldCharType="begin"/>
      </w:r>
      <w:r>
        <w:rPr>
          <w:szCs w:val="21"/>
        </w:rPr>
        <w:instrText xml:space="preserve"> HYPERLINK \l _Toc14679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_Toc14679 \h </w:instrText>
      </w:r>
      <w:r>
        <w:fldChar w:fldCharType="separate"/>
      </w:r>
      <w:r>
        <w:t>6</w:t>
      </w:r>
      <w:r>
        <w:fldChar w:fldCharType="end"/>
      </w:r>
      <w:r>
        <w:rPr>
          <w:color w:val="auto"/>
          <w:szCs w:val="21"/>
          <w:u w:val="none"/>
        </w:rPr>
        <w:fldChar w:fldCharType="end"/>
      </w:r>
    </w:p>
    <w:p w14:paraId="41AF5602">
      <w:pPr>
        <w:pStyle w:val="6"/>
        <w:tabs>
          <w:tab w:val="right" w:leader="dot" w:pos="8788"/>
          <w:tab w:val="clear" w:pos="8778"/>
        </w:tabs>
      </w:pPr>
      <w:r>
        <w:rPr>
          <w:color w:val="auto"/>
          <w:szCs w:val="21"/>
          <w:u w:val="none"/>
        </w:rPr>
        <w:fldChar w:fldCharType="begin"/>
      </w:r>
      <w:r>
        <w:rPr>
          <w:szCs w:val="21"/>
        </w:rPr>
        <w:instrText xml:space="preserve"> HYPERLINK \l _Toc19434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_Toc19434 \h </w:instrText>
      </w:r>
      <w:r>
        <w:fldChar w:fldCharType="separate"/>
      </w:r>
      <w:r>
        <w:t>6</w:t>
      </w:r>
      <w:r>
        <w:fldChar w:fldCharType="end"/>
      </w:r>
      <w:r>
        <w:rPr>
          <w:color w:val="auto"/>
          <w:szCs w:val="21"/>
          <w:u w:val="none"/>
        </w:rPr>
        <w:fldChar w:fldCharType="end"/>
      </w:r>
    </w:p>
    <w:p w14:paraId="763DBA27">
      <w:pPr>
        <w:pStyle w:val="6"/>
        <w:tabs>
          <w:tab w:val="right" w:leader="dot" w:pos="8788"/>
          <w:tab w:val="clear" w:pos="8778"/>
        </w:tabs>
      </w:pPr>
      <w:r>
        <w:rPr>
          <w:color w:val="auto"/>
          <w:szCs w:val="21"/>
          <w:u w:val="none"/>
        </w:rPr>
        <w:fldChar w:fldCharType="begin"/>
      </w:r>
      <w:r>
        <w:rPr>
          <w:szCs w:val="21"/>
        </w:rPr>
        <w:instrText xml:space="preserve"> HYPERLINK \l _Toc6891 </w:instrText>
      </w:r>
      <w:r>
        <w:rPr>
          <w:szCs w:val="21"/>
        </w:rPr>
        <w:fldChar w:fldCharType="separate"/>
      </w:r>
      <w:r>
        <w:rPr>
          <w:rFonts w:hint="eastAsia" w:ascii="仿宋_GB2312" w:eastAsia="仿宋_GB2312"/>
        </w:rPr>
        <w:t>（一）资金管理</w:t>
      </w:r>
      <w:r>
        <w:tab/>
      </w:r>
      <w:r>
        <w:fldChar w:fldCharType="begin"/>
      </w:r>
      <w:r>
        <w:instrText xml:space="preserve"> PAGEREF _Toc6891 \h </w:instrText>
      </w:r>
      <w:r>
        <w:fldChar w:fldCharType="separate"/>
      </w:r>
      <w:r>
        <w:t>6</w:t>
      </w:r>
      <w:r>
        <w:fldChar w:fldCharType="end"/>
      </w:r>
      <w:r>
        <w:rPr>
          <w:color w:val="auto"/>
          <w:szCs w:val="21"/>
          <w:u w:val="none"/>
        </w:rPr>
        <w:fldChar w:fldCharType="end"/>
      </w:r>
    </w:p>
    <w:p w14:paraId="7B03A46A">
      <w:pPr>
        <w:pStyle w:val="6"/>
        <w:tabs>
          <w:tab w:val="right" w:leader="dot" w:pos="8788"/>
          <w:tab w:val="clear" w:pos="8778"/>
        </w:tabs>
      </w:pPr>
      <w:r>
        <w:rPr>
          <w:color w:val="auto"/>
          <w:szCs w:val="21"/>
          <w:u w:val="none"/>
        </w:rPr>
        <w:fldChar w:fldCharType="begin"/>
      </w:r>
      <w:r>
        <w:rPr>
          <w:szCs w:val="21"/>
        </w:rPr>
        <w:instrText xml:space="preserve"> HYPERLINK \l _Toc9773 </w:instrText>
      </w:r>
      <w:r>
        <w:rPr>
          <w:szCs w:val="21"/>
        </w:rPr>
        <w:fldChar w:fldCharType="separate"/>
      </w:r>
      <w:r>
        <w:rPr>
          <w:rFonts w:hint="eastAsia" w:ascii="仿宋_GB2312" w:eastAsia="仿宋_GB2312"/>
        </w:rPr>
        <w:t>（二）项目管理</w:t>
      </w:r>
      <w:r>
        <w:tab/>
      </w:r>
      <w:r>
        <w:fldChar w:fldCharType="begin"/>
      </w:r>
      <w:r>
        <w:instrText xml:space="preserve"> PAGEREF _Toc9773 \h </w:instrText>
      </w:r>
      <w:r>
        <w:fldChar w:fldCharType="separate"/>
      </w:r>
      <w:r>
        <w:t>6</w:t>
      </w:r>
      <w:r>
        <w:fldChar w:fldCharType="end"/>
      </w:r>
      <w:r>
        <w:rPr>
          <w:color w:val="auto"/>
          <w:szCs w:val="21"/>
          <w:u w:val="none"/>
        </w:rPr>
        <w:fldChar w:fldCharType="end"/>
      </w:r>
    </w:p>
    <w:p w14:paraId="62E41B98">
      <w:pPr>
        <w:pStyle w:val="6"/>
        <w:tabs>
          <w:tab w:val="right" w:leader="dot" w:pos="8788"/>
          <w:tab w:val="clear" w:pos="8778"/>
        </w:tabs>
      </w:pPr>
      <w:r>
        <w:rPr>
          <w:color w:val="auto"/>
          <w:szCs w:val="21"/>
          <w:u w:val="none"/>
        </w:rPr>
        <w:fldChar w:fldCharType="begin"/>
      </w:r>
      <w:r>
        <w:rPr>
          <w:szCs w:val="21"/>
        </w:rPr>
        <w:instrText xml:space="preserve"> HYPERLINK \l _Toc13891 </w:instrText>
      </w:r>
      <w:r>
        <w:rPr>
          <w:szCs w:val="21"/>
        </w:rPr>
        <w:fldChar w:fldCharType="separate"/>
      </w:r>
      <w:r>
        <w:rPr>
          <w:rFonts w:hint="eastAsia" w:ascii="仿宋_GB2312" w:eastAsia="仿宋_GB2312"/>
        </w:rPr>
        <w:t>（三）使用成效及通报情况</w:t>
      </w:r>
      <w:r>
        <w:tab/>
      </w:r>
      <w:r>
        <w:fldChar w:fldCharType="begin"/>
      </w:r>
      <w:r>
        <w:instrText xml:space="preserve"> PAGEREF _Toc13891 \h </w:instrText>
      </w:r>
      <w:r>
        <w:fldChar w:fldCharType="separate"/>
      </w:r>
      <w:r>
        <w:t>7</w:t>
      </w:r>
      <w:r>
        <w:fldChar w:fldCharType="end"/>
      </w:r>
      <w:r>
        <w:rPr>
          <w:color w:val="auto"/>
          <w:szCs w:val="21"/>
          <w:u w:val="none"/>
        </w:rPr>
        <w:fldChar w:fldCharType="end"/>
      </w:r>
    </w:p>
    <w:p w14:paraId="305123A0">
      <w:pPr>
        <w:pStyle w:val="6"/>
        <w:tabs>
          <w:tab w:val="right" w:leader="dot" w:pos="8788"/>
          <w:tab w:val="clear" w:pos="8778"/>
        </w:tabs>
      </w:pPr>
      <w:r>
        <w:rPr>
          <w:color w:val="auto"/>
          <w:szCs w:val="21"/>
          <w:u w:val="none"/>
        </w:rPr>
        <w:fldChar w:fldCharType="begin"/>
      </w:r>
      <w:r>
        <w:rPr>
          <w:szCs w:val="21"/>
        </w:rPr>
        <w:instrText xml:space="preserve"> HYPERLINK \l _Toc24672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_Toc24672 \h </w:instrText>
      </w:r>
      <w:r>
        <w:fldChar w:fldCharType="separate"/>
      </w:r>
      <w:r>
        <w:t>7</w:t>
      </w:r>
      <w:r>
        <w:fldChar w:fldCharType="end"/>
      </w:r>
      <w:r>
        <w:rPr>
          <w:color w:val="auto"/>
          <w:szCs w:val="21"/>
          <w:u w:val="none"/>
        </w:rPr>
        <w:fldChar w:fldCharType="end"/>
      </w:r>
    </w:p>
    <w:p w14:paraId="47E4580D">
      <w:pPr>
        <w:pStyle w:val="6"/>
        <w:tabs>
          <w:tab w:val="right" w:leader="dot" w:pos="8788"/>
          <w:tab w:val="clear" w:pos="8778"/>
        </w:tabs>
      </w:pPr>
      <w:r>
        <w:rPr>
          <w:color w:val="auto"/>
          <w:szCs w:val="21"/>
          <w:u w:val="none"/>
        </w:rPr>
        <w:fldChar w:fldCharType="begin"/>
      </w:r>
      <w:r>
        <w:rPr>
          <w:szCs w:val="21"/>
        </w:rPr>
        <w:instrText xml:space="preserve"> HYPERLINK \l _Toc17180 </w:instrText>
      </w:r>
      <w:r>
        <w:rPr>
          <w:szCs w:val="21"/>
        </w:rPr>
        <w:fldChar w:fldCharType="separate"/>
      </w:r>
      <w:r>
        <w:rPr>
          <w:rFonts w:hint="eastAsia" w:ascii="仿宋_GB2312" w:eastAsia="仿宋_GB2312"/>
        </w:rPr>
        <w:t>（一）存在问题</w:t>
      </w:r>
      <w:r>
        <w:tab/>
      </w:r>
      <w:r>
        <w:fldChar w:fldCharType="begin"/>
      </w:r>
      <w:r>
        <w:instrText xml:space="preserve"> PAGEREF _Toc17180 \h </w:instrText>
      </w:r>
      <w:r>
        <w:fldChar w:fldCharType="separate"/>
      </w:r>
      <w:r>
        <w:t>7</w:t>
      </w:r>
      <w:r>
        <w:fldChar w:fldCharType="end"/>
      </w:r>
      <w:r>
        <w:rPr>
          <w:color w:val="auto"/>
          <w:szCs w:val="21"/>
          <w:u w:val="none"/>
        </w:rPr>
        <w:fldChar w:fldCharType="end"/>
      </w:r>
    </w:p>
    <w:p w14:paraId="4F5DF950">
      <w:pPr>
        <w:pStyle w:val="6"/>
        <w:tabs>
          <w:tab w:val="right" w:leader="dot" w:pos="8788"/>
          <w:tab w:val="clear" w:pos="8778"/>
        </w:tabs>
      </w:pPr>
      <w:r>
        <w:rPr>
          <w:color w:val="auto"/>
          <w:szCs w:val="21"/>
          <w:u w:val="none"/>
        </w:rPr>
        <w:fldChar w:fldCharType="begin"/>
      </w:r>
      <w:r>
        <w:rPr>
          <w:szCs w:val="21"/>
        </w:rPr>
        <w:instrText xml:space="preserve"> HYPERLINK \l _Toc26393 </w:instrText>
      </w:r>
      <w:r>
        <w:rPr>
          <w:szCs w:val="21"/>
        </w:rPr>
        <w:fldChar w:fldCharType="separate"/>
      </w:r>
      <w:r>
        <w:rPr>
          <w:rFonts w:hint="eastAsia" w:ascii="仿宋_GB2312" w:eastAsia="仿宋_GB2312"/>
        </w:rPr>
        <w:t>（二）建议</w:t>
      </w:r>
      <w:r>
        <w:tab/>
      </w:r>
      <w:r>
        <w:fldChar w:fldCharType="begin"/>
      </w:r>
      <w:r>
        <w:instrText xml:space="preserve"> PAGEREF _Toc26393 \h </w:instrText>
      </w:r>
      <w:r>
        <w:fldChar w:fldCharType="separate"/>
      </w:r>
      <w:r>
        <w:t>7</w:t>
      </w:r>
      <w:r>
        <w:fldChar w:fldCharType="end"/>
      </w:r>
      <w:r>
        <w:rPr>
          <w:color w:val="auto"/>
          <w:szCs w:val="21"/>
          <w:u w:val="none"/>
        </w:rPr>
        <w:fldChar w:fldCharType="end"/>
      </w:r>
    </w:p>
    <w:p w14:paraId="1752BC46">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25DD74FF">
      <w:pPr>
        <w:spacing w:line="360" w:lineRule="auto"/>
        <w:jc w:val="right"/>
        <w:rPr>
          <w:rFonts w:ascii="Arial Narrow" w:hAnsi="Arial Narrow"/>
          <w:bCs/>
          <w:w w:val="80"/>
          <w:sz w:val="28"/>
          <w:szCs w:val="28"/>
        </w:rPr>
      </w:pPr>
    </w:p>
    <w:p w14:paraId="401F6ABD">
      <w:pPr>
        <w:spacing w:line="360" w:lineRule="auto"/>
        <w:jc w:val="right"/>
        <w:rPr>
          <w:rFonts w:ascii="Arial Narrow" w:hAnsi="Arial Narrow"/>
          <w:bCs/>
          <w:w w:val="80"/>
          <w:sz w:val="28"/>
          <w:szCs w:val="28"/>
        </w:rPr>
      </w:pPr>
    </w:p>
    <w:p w14:paraId="243FD874">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4E90AD4E">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Chongqing</w:t>
      </w:r>
      <w:r>
        <w:rPr>
          <w:rFonts w:ascii="MS Mincho" w:hAnsi="MS Mincho" w:eastAsia="MS Mincho"/>
          <w:b/>
          <w:kern w:val="0"/>
          <w:sz w:val="32"/>
          <w:szCs w:val="20"/>
        </w:rPr>
        <w:t>MingHongJinQuan</w:t>
      </w:r>
      <w:r>
        <w:rPr>
          <w:rFonts w:ascii="MS Mincho" w:hAnsi="MS Mincho" w:eastAsia="MS Mincho"/>
          <w:b/>
          <w:kern w:val="0"/>
          <w:sz w:val="32"/>
          <w:szCs w:val="20"/>
          <w:lang w:eastAsia="zh-TW"/>
        </w:rPr>
        <w:t>CertifiedPublicAccountants</w:t>
      </w:r>
    </w:p>
    <w:p w14:paraId="3A76970A">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057</w:t>
      </w:r>
      <w:r>
        <w:rPr>
          <w:rFonts w:hint="eastAsia" w:ascii="Arial Narrow" w:hAnsi="Arial Narrow" w:eastAsia="仿宋_GB2312"/>
          <w:sz w:val="28"/>
          <w:szCs w:val="28"/>
        </w:rPr>
        <w:t>号</w:t>
      </w:r>
    </w:p>
    <w:p w14:paraId="0E7EDF6C">
      <w:pPr>
        <w:spacing w:line="360" w:lineRule="auto"/>
        <w:jc w:val="distribute"/>
        <w:rPr>
          <w:rFonts w:ascii="Arial Narrow" w:hAnsi="Arial Narrow"/>
          <w:w w:val="94"/>
        </w:rPr>
      </w:pPr>
      <w:r>
        <w:rPr>
          <w:rFonts w:hint="eastAsia" w:ascii="宋体" w:hAnsi="宋体" w:cs="宋体"/>
          <w:b/>
          <w:bCs/>
          <w:w w:val="94"/>
          <w:sz w:val="36"/>
          <w:szCs w:val="36"/>
        </w:rPr>
        <w:t>━━━━━━━━━━━━</w:t>
      </w:r>
      <w:r>
        <w:rPr>
          <w:rFonts w:ascii="Segoe UI Symbol" w:hAnsi="Segoe UI Symbol" w:cs="Segoe UI Symbol"/>
          <w:b/>
          <w:bCs/>
          <w:w w:val="94"/>
          <w:sz w:val="36"/>
          <w:szCs w:val="36"/>
        </w:rPr>
        <w:t>★</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62575263">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重庆市铜梁区商务委员会消费帮扶项目</w:t>
      </w:r>
    </w:p>
    <w:p w14:paraId="0D848926">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5EC9CB01">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重庆市铜梁区商务委员会（以下简称</w:t>
      </w:r>
      <w:r>
        <w:rPr>
          <w:rFonts w:hint="eastAsia" w:ascii="Arial Narrow" w:hAnsi="Arial Narrow" w:eastAsia="仿宋_GB2312"/>
          <w:color w:val="auto"/>
          <w:lang w:eastAsia="zh-CN"/>
        </w:rPr>
        <w:t>“</w:t>
      </w:r>
      <w:r>
        <w:rPr>
          <w:rFonts w:hint="eastAsia" w:ascii="Arial Narrow" w:hAnsi="Arial Narrow" w:eastAsia="仿宋_GB2312"/>
          <w:color w:val="auto"/>
        </w:rPr>
        <w:t>区商务委</w:t>
      </w:r>
      <w:r>
        <w:rPr>
          <w:rFonts w:hint="eastAsia" w:ascii="Arial Narrow" w:hAnsi="Arial Narrow" w:eastAsia="仿宋_GB2312"/>
          <w:color w:val="auto"/>
          <w:lang w:eastAsia="zh-CN"/>
        </w:rPr>
        <w:t>”</w:t>
      </w:r>
      <w:r>
        <w:rPr>
          <w:rFonts w:hint="eastAsia" w:ascii="Arial Narrow" w:hAnsi="Arial Narrow" w:eastAsia="仿宋_GB2312"/>
          <w:color w:val="auto"/>
        </w:rPr>
        <w:t>）</w:t>
      </w:r>
      <w:r>
        <w:rPr>
          <w:rFonts w:hint="eastAsia" w:ascii="Arial Narrow" w:hAnsi="Arial Narrow" w:eastAsia="仿宋_GB2312"/>
          <w:color w:val="auto"/>
          <w:lang w:eastAsia="zh-CN"/>
        </w:rPr>
        <w:t>“</w:t>
      </w:r>
      <w:r>
        <w:rPr>
          <w:rFonts w:hint="eastAsia" w:ascii="Arial Narrow" w:hAnsi="Arial Narrow" w:eastAsia="仿宋_GB2312"/>
          <w:color w:val="auto"/>
        </w:rPr>
        <w:t>消费帮扶项目财政专项衔接资金</w:t>
      </w:r>
      <w:r>
        <w:rPr>
          <w:rFonts w:hint="eastAsia" w:ascii="Arial Narrow" w:hAnsi="Arial Narrow" w:eastAsia="仿宋_GB2312"/>
          <w:color w:val="auto"/>
          <w:lang w:eastAsia="zh-CN"/>
        </w:rPr>
        <w:t>”</w:t>
      </w:r>
      <w:r>
        <w:rPr>
          <w:rFonts w:ascii="Arial Narrow" w:hAnsi="Arial Narrow" w:eastAsia="仿宋_GB2312"/>
          <w:color w:val="auto"/>
        </w:rPr>
        <w:t>进行绩效评价，现将评价情况报告如下：</w:t>
      </w:r>
    </w:p>
    <w:p w14:paraId="7B1CE41F">
      <w:pPr>
        <w:spacing w:before="240" w:beforeLines="100" w:line="360" w:lineRule="auto"/>
        <w:ind w:firstLine="482" w:firstLineChars="200"/>
        <w:jc w:val="left"/>
        <w:outlineLvl w:val="0"/>
        <w:rPr>
          <w:rFonts w:ascii="Arial Narrow" w:hAnsi="Arial Narrow" w:eastAsia="仿宋_GB2312"/>
          <w:b/>
          <w:sz w:val="24"/>
        </w:rPr>
      </w:pPr>
      <w:bookmarkStart w:id="3" w:name="_Toc6575"/>
      <w:r>
        <w:rPr>
          <w:rFonts w:ascii="Arial Narrow" w:hAnsi="Arial Narrow" w:eastAsia="仿宋_GB2312"/>
          <w:b/>
          <w:sz w:val="24"/>
        </w:rPr>
        <w:t>一、基本情况</w:t>
      </w:r>
      <w:bookmarkEnd w:id="3"/>
    </w:p>
    <w:p w14:paraId="54BE1D3B">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9908"/>
      <w:r>
        <w:rPr>
          <w:rFonts w:hint="eastAsia" w:ascii="Arial Narrow" w:hAnsi="Arial Narrow" w:eastAsia="仿宋" w:cs="宋体"/>
          <w:b/>
          <w:bCs/>
          <w:kern w:val="0"/>
          <w:sz w:val="24"/>
        </w:rPr>
        <w:t>（一）项目情况</w:t>
      </w:r>
      <w:bookmarkEnd w:id="4"/>
    </w:p>
    <w:p w14:paraId="044BF1D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项目名称：消费帮扶</w:t>
      </w:r>
    </w:p>
    <w:p w14:paraId="4239535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实施单位：重庆市铜梁区商务委员会</w:t>
      </w:r>
    </w:p>
    <w:p w14:paraId="3B66949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主要用于中国西部消费协作中心铜梁馆运营和开展消费帮扶周活动。组织我区特色产品及扶贫产品入驻进行展示和宣传。根据全区农民丰收节总体方案，成功举办2023年农民丰收节铜梁·巫山消费帮扶周暨成渝双城经济圈特色商品购物节，邀请都江堰、遂宁、安岳、巫山和我区特色农产品和特色食品参展，进一步拉动市场消费，助推乡村振兴。</w:t>
      </w:r>
    </w:p>
    <w:p w14:paraId="26881D24">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项目资金安排情况：该项目2023年计划投入43.00万元，实际投入43.00万元，均为上级补助资金。</w:t>
      </w:r>
    </w:p>
    <w:p w14:paraId="65E93FC3">
      <w:pPr>
        <w:spacing w:line="360" w:lineRule="auto"/>
        <w:ind w:firstLine="482" w:firstLineChars="200"/>
        <w:jc w:val="left"/>
        <w:outlineLvl w:val="0"/>
        <w:rPr>
          <w:rFonts w:ascii="Arial Narrow" w:hAnsi="Arial Narrow" w:eastAsia="仿宋_GB2312"/>
          <w:b/>
          <w:sz w:val="24"/>
        </w:rPr>
      </w:pPr>
      <w:bookmarkStart w:id="5" w:name="_Toc29030"/>
      <w:r>
        <w:rPr>
          <w:rFonts w:ascii="Arial Narrow" w:hAnsi="Arial Narrow" w:eastAsia="仿宋_GB2312"/>
          <w:b/>
          <w:sz w:val="24"/>
        </w:rPr>
        <w:t>二、绩效评价工作情况</w:t>
      </w:r>
      <w:bookmarkEnd w:id="5"/>
    </w:p>
    <w:p w14:paraId="463BB734">
      <w:pPr>
        <w:spacing w:line="360" w:lineRule="auto"/>
        <w:ind w:firstLine="482" w:firstLineChars="200"/>
        <w:jc w:val="left"/>
        <w:outlineLvl w:val="0"/>
        <w:rPr>
          <w:rFonts w:ascii="Arial Narrow" w:hAnsi="Arial Narrow" w:eastAsia="仿宋_GB2312"/>
          <w:b/>
          <w:sz w:val="24"/>
        </w:rPr>
      </w:pPr>
      <w:bookmarkStart w:id="6" w:name="_Toc8003"/>
      <w:bookmarkStart w:id="7" w:name="_Toc513775099"/>
      <w:r>
        <w:rPr>
          <w:rFonts w:ascii="Arial Narrow" w:hAnsi="Arial Narrow" w:eastAsia="仿宋_GB2312"/>
          <w:b/>
          <w:sz w:val="24"/>
        </w:rPr>
        <w:t>（一）绩效评价目的</w:t>
      </w:r>
      <w:bookmarkEnd w:id="6"/>
      <w:bookmarkEnd w:id="7"/>
    </w:p>
    <w:p w14:paraId="16009C6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2BCFF1C2">
      <w:pPr>
        <w:spacing w:line="360" w:lineRule="auto"/>
        <w:ind w:firstLine="482" w:firstLineChars="200"/>
        <w:jc w:val="left"/>
        <w:outlineLvl w:val="0"/>
        <w:rPr>
          <w:rFonts w:ascii="Arial Narrow" w:hAnsi="Arial Narrow" w:eastAsia="仿宋_GB2312"/>
          <w:b/>
          <w:sz w:val="24"/>
        </w:rPr>
      </w:pPr>
      <w:bookmarkStart w:id="8" w:name="_Toc578"/>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7B02F6AB">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5034640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45E1995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12B126A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1880A2B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0E609442">
      <w:pPr>
        <w:spacing w:line="360" w:lineRule="auto"/>
        <w:ind w:firstLine="482" w:firstLineChars="200"/>
        <w:jc w:val="left"/>
        <w:outlineLvl w:val="0"/>
        <w:rPr>
          <w:rFonts w:ascii="Arial Narrow" w:hAnsi="Arial Narrow" w:eastAsia="仿宋_GB2312"/>
          <w:b/>
          <w:sz w:val="24"/>
        </w:rPr>
      </w:pPr>
      <w:bookmarkStart w:id="11" w:name="_Toc4143"/>
      <w:r>
        <w:rPr>
          <w:rFonts w:ascii="Arial Narrow" w:hAnsi="Arial Narrow" w:eastAsia="仿宋_GB2312"/>
          <w:b/>
          <w:sz w:val="24"/>
        </w:rPr>
        <w:t>（三）绩效评价依据</w:t>
      </w:r>
      <w:bookmarkEnd w:id="9"/>
      <w:bookmarkEnd w:id="10"/>
      <w:bookmarkEnd w:id="11"/>
      <w:bookmarkStart w:id="12" w:name="_Toc335040595"/>
    </w:p>
    <w:bookmarkEnd w:id="12"/>
    <w:p w14:paraId="466C51B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5B8EF95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03233424">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p>
    <w:p w14:paraId="45FE742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1D95997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18BD553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AD9385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6993181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05E4D0E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76877B6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3ED4949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37C07253">
      <w:pPr>
        <w:spacing w:line="360" w:lineRule="auto"/>
        <w:ind w:firstLine="482" w:firstLineChars="200"/>
        <w:jc w:val="left"/>
        <w:outlineLvl w:val="0"/>
        <w:rPr>
          <w:rFonts w:ascii="Arial Narrow" w:hAnsi="Arial Narrow" w:eastAsia="仿宋_GB2312"/>
          <w:b/>
          <w:sz w:val="24"/>
        </w:rPr>
      </w:pPr>
      <w:bookmarkStart w:id="14" w:name="_Toc2970"/>
      <w:r>
        <w:rPr>
          <w:rFonts w:ascii="Arial Narrow" w:hAnsi="Arial Narrow" w:eastAsia="仿宋_GB2312"/>
          <w:b/>
          <w:sz w:val="24"/>
        </w:rPr>
        <w:t>（四）绩效评价原则和指标体系</w:t>
      </w:r>
      <w:bookmarkEnd w:id="14"/>
    </w:p>
    <w:p w14:paraId="46772C3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3B0FDA3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（1）相关性原则。应当与绩效目标有直接的联系，能够恰当反映目标的实现程度。</w:t>
      </w:r>
    </w:p>
    <w:p w14:paraId="2D74DA85">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（2）重要性原则。应优先使用最具评价对象代表性、最能反映评价要求</w:t>
      </w:r>
      <w:r>
        <w:rPr>
          <w:rFonts w:hint="eastAsia" w:ascii="Arial Narrow" w:hAnsi="Arial Narrow" w:eastAsia="仿宋_GB2312"/>
          <w:color w:val="auto"/>
        </w:rPr>
        <w:t>的</w:t>
      </w:r>
      <w:r>
        <w:rPr>
          <w:rFonts w:ascii="Arial Narrow" w:hAnsi="Arial Narrow" w:eastAsia="仿宋_GB2312"/>
          <w:color w:val="auto"/>
        </w:rPr>
        <w:t>核心指标。</w:t>
      </w:r>
    </w:p>
    <w:p w14:paraId="5DC938F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2B1D598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2E28CFA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2BA44FC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0A424715">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4F6BBA71">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8"/>
        <w:gridCol w:w="536"/>
        <w:gridCol w:w="2758"/>
        <w:gridCol w:w="3596"/>
      </w:tblGrid>
      <w:tr w14:paraId="06727599">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0A364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61EF57F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7E35CAD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B7ACB8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分值</w:t>
            </w:r>
          </w:p>
        </w:tc>
        <w:tc>
          <w:tcPr>
            <w:tcW w:w="2758" w:type="dxa"/>
            <w:tcBorders>
              <w:top w:val="single" w:color="auto" w:sz="4" w:space="0"/>
              <w:left w:val="nil"/>
              <w:bottom w:val="single" w:color="auto" w:sz="4" w:space="0"/>
              <w:right w:val="single" w:color="auto" w:sz="4" w:space="0"/>
            </w:tcBorders>
            <w:shd w:val="clear" w:color="auto" w:fill="auto"/>
            <w:noWrap/>
            <w:vAlign w:val="center"/>
          </w:tcPr>
          <w:p w14:paraId="072897B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36F5352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评价标准</w:t>
            </w:r>
          </w:p>
        </w:tc>
      </w:tr>
      <w:tr w14:paraId="31FE4A7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AAEBF0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9D79E9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30C7C61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3FB6754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2758" w:type="dxa"/>
            <w:tcBorders>
              <w:top w:val="nil"/>
              <w:left w:val="nil"/>
              <w:bottom w:val="single" w:color="auto" w:sz="4" w:space="0"/>
              <w:right w:val="single" w:color="auto" w:sz="4" w:space="0"/>
            </w:tcBorders>
            <w:shd w:val="clear" w:color="auto" w:fill="auto"/>
            <w:vAlign w:val="center"/>
          </w:tcPr>
          <w:p w14:paraId="139408A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1EFE5B4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资金使用方向符合文件规定（2分）。</w:t>
            </w:r>
          </w:p>
        </w:tc>
      </w:tr>
      <w:tr w14:paraId="4899CBB7">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4F41BF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190D133">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C34D77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3DBD363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2758" w:type="dxa"/>
            <w:tcBorders>
              <w:top w:val="nil"/>
              <w:left w:val="nil"/>
              <w:bottom w:val="single" w:color="auto" w:sz="4" w:space="0"/>
              <w:right w:val="single" w:color="auto" w:sz="4" w:space="0"/>
            </w:tcBorders>
            <w:shd w:val="clear" w:color="auto" w:fill="auto"/>
            <w:vAlign w:val="center"/>
          </w:tcPr>
          <w:p w14:paraId="36A93D4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576EFF9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区财政局下达资金文件时间到区级业务主管部门下达项目及资金计划文件时间间隔≤30日（3分）。</w:t>
            </w:r>
          </w:p>
        </w:tc>
      </w:tr>
      <w:tr w14:paraId="3D3D02E1">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FB0E20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16286A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4FA7870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7CEF018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nil"/>
              <w:right w:val="nil"/>
            </w:tcBorders>
            <w:shd w:val="clear" w:color="auto" w:fill="auto"/>
            <w:vAlign w:val="center"/>
          </w:tcPr>
          <w:p w14:paraId="13256E7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评价落实《铜梁区巩固拓展脱贫攻坚成果和衔接乡村振兴项目库建设管理实施细则》（铜乡振〔2021〕7号）落实情况。根据抽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4F4DDF0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1.项目入库及时充分、程序规范、内容完整（3分）；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2.入库项目具备实施条件（2分）；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3.衔接资金用于项目库之外的项目（-5分）。</w:t>
            </w:r>
          </w:p>
        </w:tc>
      </w:tr>
      <w:tr w14:paraId="678163C9">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74D142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7D6DC5DA">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06135C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5F0268A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23EA2B9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评价具体项目实施方案明确绩效目标情况、开展跟踪监督绩效监控情况、事后评价情况等。根据抽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124B4D5">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1.及时制定绩效目标、审核绩效目标（2分）；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2.开展绩效监控不少于1次（2分）；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3.对绩效目标偏离项目采取纠偏措施（2分）；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4.项目实施完毕后立即开展绩效自评，并形成绩效自评报告及绩效自评表。（2分）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5.项目绩效是否达到预期。（2分）</w:t>
            </w:r>
          </w:p>
        </w:tc>
      </w:tr>
      <w:tr w14:paraId="05B90BA5">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3A4291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6FF67D60">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9A9DD9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74075F2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2758" w:type="dxa"/>
            <w:tcBorders>
              <w:top w:val="nil"/>
              <w:left w:val="nil"/>
              <w:bottom w:val="single" w:color="auto" w:sz="4" w:space="0"/>
              <w:right w:val="single" w:color="auto" w:sz="4" w:space="0"/>
            </w:tcBorders>
            <w:shd w:val="clear" w:color="auto" w:fill="auto"/>
            <w:vAlign w:val="center"/>
          </w:tcPr>
          <w:p w14:paraId="746A411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评价有序推进项目前期工作、组织实施、项目验收、资料报送等情况。根据抽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E3376A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1.项目实施方法存在变更是否按规定报批；（1分）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2.是否定期对项目实施情况进行监督检查，对检查中发现的问题进行整改；（2分）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3.是否按照项目实施节点按时提交项目报账资料；（1分）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4.日常管理资料是否及时归档整理；（1分）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5.项目完工后是否在规定时间内进行验收。（1分）</w:t>
            </w:r>
          </w:p>
        </w:tc>
      </w:tr>
      <w:tr w14:paraId="173736E4">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C8E574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737138FA">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33A7FE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424D78B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2758" w:type="dxa"/>
            <w:tcBorders>
              <w:top w:val="nil"/>
              <w:left w:val="nil"/>
              <w:bottom w:val="single" w:color="auto" w:sz="4" w:space="0"/>
              <w:right w:val="single" w:color="auto" w:sz="4" w:space="0"/>
            </w:tcBorders>
            <w:shd w:val="clear" w:color="auto" w:fill="auto"/>
            <w:vAlign w:val="center"/>
          </w:tcPr>
          <w:p w14:paraId="6C13BE3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评价有序推进项目工作和资金支付情况。根据抽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AEBA25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主要通过支出进度评价有序推进项目工作和资金支付情况，于7月末、10月中旬定期调度。</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1</w:t>
            </w:r>
            <w:r>
              <w:rPr>
                <w:rFonts w:hint="eastAsia" w:ascii="仿宋_GB2312" w:hAnsi="仿宋_GB2312" w:eastAsia="仿宋_GB2312" w:cs="仿宋_GB2312"/>
                <w:kern w:val="0"/>
                <w:sz w:val="16"/>
                <w:szCs w:val="16"/>
              </w:rPr>
              <w:t>.7月末支出进度评分4分。资金支出进度达到全区平均进度或者序时进度的，得满分；未达到的按照与序时进度的比例扣分；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2</w:t>
            </w:r>
            <w:r>
              <w:rPr>
                <w:rFonts w:hint="eastAsia" w:ascii="仿宋_GB2312" w:hAnsi="仿宋_GB2312" w:eastAsia="仿宋_GB2312" w:cs="仿宋_GB2312"/>
                <w:kern w:val="0"/>
                <w:sz w:val="16"/>
                <w:szCs w:val="16"/>
              </w:rPr>
              <w:t>.10月中旬支出进度评分4分。资金支出进度达到全区平均进度或者序时进度的，得满分；未达到的按照与序时进度的比例扣分；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lang w:val="en-US" w:eastAsia="zh-CN"/>
              </w:rPr>
              <w:t>3</w:t>
            </w:r>
            <w:r>
              <w:rPr>
                <w:rFonts w:hint="eastAsia" w:ascii="仿宋_GB2312" w:hAnsi="仿宋_GB2312" w:eastAsia="仿宋_GB2312" w:cs="仿宋_GB2312"/>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56465BF3">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94515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2CFCB877">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79B9CE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3D78A05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2758" w:type="dxa"/>
            <w:tcBorders>
              <w:top w:val="nil"/>
              <w:left w:val="nil"/>
              <w:bottom w:val="single" w:color="auto" w:sz="4" w:space="0"/>
              <w:right w:val="single" w:color="auto" w:sz="4" w:space="0"/>
            </w:tcBorders>
            <w:shd w:val="clear" w:color="auto" w:fill="auto"/>
            <w:vAlign w:val="center"/>
          </w:tcPr>
          <w:p w14:paraId="042996A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评价定期开展监督检查情况、发现问题整改情况。根据未处理问题比例扣减。根据抽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9CCD61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1.定期开展项目实施和资金支出进度等跟踪督促情况，落实到位的得2分，未完全落实到位的酌情扣分；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2.跟踪督促及各类检查发现问题整改到位情况，满分5分，根据未整改问题比例扣减；</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3.全国12317防止返贫监测和乡村振兴咨询服务平台（简称12317平台）反馈问题处理情况，满分1分。</w:t>
            </w:r>
          </w:p>
        </w:tc>
      </w:tr>
      <w:tr w14:paraId="601FEB2D">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3BD7F5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554FCA62">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1D7D6A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68BB430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0F3227E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评价账务处理，资产转固，收益管理、档案管理等情况。根据抽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A6AB3E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1.财务处理是否规范，原始凭证是否齐全，建成资产是否及时转固、收益管理是否合规；（4分）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2.档案管理是否完整、合规、真实。（1分）</w:t>
            </w:r>
          </w:p>
        </w:tc>
      </w:tr>
      <w:tr w14:paraId="4D363E8C">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92ACCB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31F6F0B4">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C47F75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7186B17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2758" w:type="dxa"/>
            <w:tcBorders>
              <w:top w:val="nil"/>
              <w:left w:val="nil"/>
              <w:bottom w:val="single" w:color="auto" w:sz="4" w:space="0"/>
              <w:right w:val="single" w:color="auto" w:sz="4" w:space="0"/>
            </w:tcBorders>
            <w:shd w:val="clear" w:color="auto" w:fill="auto"/>
            <w:vAlign w:val="center"/>
          </w:tcPr>
          <w:p w14:paraId="3401BBC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评价区级、镇级、村级落实《铜梁区财政衔接推进乡村振兴补助资金项目公告公示实施办法》（铜委农办〔2021〕19号）文件要求情况。根据抽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5DF8D1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分区级、镇级、村级进行评价。</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1.抽查区级公示公开情况，满分3分，未完整公开酌情扣分；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2.抽查镇级公示公开情况，满分3分，未完整公开酌情扣分；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3.抽查村级公示公开情况，满分3分，未完整公开酌情扣分。</w:t>
            </w:r>
          </w:p>
        </w:tc>
      </w:tr>
      <w:tr w14:paraId="1344A245">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4768E2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A313C4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677D30D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A84FF8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35</w:t>
            </w:r>
          </w:p>
        </w:tc>
        <w:tc>
          <w:tcPr>
            <w:tcW w:w="2758" w:type="dxa"/>
            <w:tcBorders>
              <w:top w:val="nil"/>
              <w:left w:val="nil"/>
              <w:bottom w:val="single" w:color="auto" w:sz="4" w:space="0"/>
              <w:right w:val="single" w:color="auto" w:sz="4" w:space="0"/>
            </w:tcBorders>
            <w:shd w:val="clear" w:color="auto" w:fill="auto"/>
            <w:vAlign w:val="center"/>
          </w:tcPr>
          <w:p w14:paraId="7E16B34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评价项目是否达到预期成效，后续管护是否存在问题等。根据抽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4D0104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两不愁三保障</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和饮水安全、兜底保障等成果巩固情况；其他项目是否实现预期目标。</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满分35分，根据抽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项目情况赋分。项目管理各环节，每存在一例不符合相关规定的，扣0.5分，扣完为止。</w:t>
            </w:r>
          </w:p>
        </w:tc>
      </w:tr>
      <w:tr w14:paraId="2EC76813">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324F47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9B7BF81">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8AF812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645B855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0E0AFE5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2899332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335B65DF">
        <w:tblPrEx>
          <w:tblCellMar>
            <w:top w:w="0" w:type="dxa"/>
            <w:left w:w="108" w:type="dxa"/>
            <w:bottom w:w="0" w:type="dxa"/>
            <w:right w:w="108" w:type="dxa"/>
          </w:tblCellMar>
        </w:tblPrEx>
        <w:trPr>
          <w:cantSplit/>
          <w:trHeight w:val="134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1F40EB1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0D036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加减分指标</w:t>
            </w:r>
          </w:p>
        </w:tc>
        <w:tc>
          <w:tcPr>
            <w:tcW w:w="1048" w:type="dxa"/>
            <w:tcBorders>
              <w:top w:val="single" w:color="auto" w:sz="4" w:space="0"/>
              <w:left w:val="nil"/>
              <w:bottom w:val="single" w:color="auto" w:sz="4" w:space="0"/>
              <w:right w:val="single" w:color="auto" w:sz="4" w:space="0"/>
            </w:tcBorders>
            <w:shd w:val="clear" w:color="auto" w:fill="auto"/>
            <w:vAlign w:val="center"/>
          </w:tcPr>
          <w:p w14:paraId="10C56B0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37433D6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single" w:color="auto" w:sz="4" w:space="0"/>
              <w:left w:val="nil"/>
              <w:bottom w:val="single" w:color="auto" w:sz="4" w:space="0"/>
              <w:right w:val="single" w:color="auto" w:sz="4" w:space="0"/>
            </w:tcBorders>
            <w:shd w:val="clear" w:color="auto" w:fill="auto"/>
            <w:vAlign w:val="center"/>
          </w:tcPr>
          <w:p w14:paraId="27CA81D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评价机制创新情况。最高加5分。</w:t>
            </w:r>
          </w:p>
        </w:tc>
        <w:tc>
          <w:tcPr>
            <w:tcW w:w="3596" w:type="dxa"/>
            <w:tcBorders>
              <w:top w:val="single" w:color="auto" w:sz="4" w:space="0"/>
              <w:left w:val="nil"/>
              <w:bottom w:val="single" w:color="auto" w:sz="4" w:space="0"/>
              <w:right w:val="single" w:color="auto" w:sz="4" w:space="0"/>
            </w:tcBorders>
            <w:shd w:val="clear" w:color="auto" w:fill="auto"/>
            <w:vAlign w:val="center"/>
          </w:tcPr>
          <w:p w14:paraId="28C54FA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1.在财政衔接资金分配、使用、监管等方面存在机制创新；（2分）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2.国家、市级对我区财政衔接资金绩效评价中，被财政部、国家乡村振兴局及其第三方总结经验做法，并调研推广的。（3分）</w:t>
            </w:r>
          </w:p>
        </w:tc>
      </w:tr>
      <w:tr w14:paraId="70F851E3">
        <w:tblPrEx>
          <w:tblCellMar>
            <w:top w:w="0" w:type="dxa"/>
            <w:left w:w="108" w:type="dxa"/>
            <w:bottom w:w="0" w:type="dxa"/>
            <w:right w:w="108" w:type="dxa"/>
          </w:tblCellMar>
        </w:tblPrEx>
        <w:trPr>
          <w:cantSplit/>
          <w:trHeight w:val="81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7D4D1ED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13</w:t>
            </w:r>
          </w:p>
        </w:tc>
        <w:tc>
          <w:tcPr>
            <w:tcW w:w="1017" w:type="dxa"/>
            <w:vMerge w:val="continue"/>
            <w:tcBorders>
              <w:top w:val="single" w:color="auto" w:sz="4" w:space="0"/>
              <w:left w:val="single" w:color="auto" w:sz="4" w:space="0"/>
              <w:bottom w:val="single" w:color="000000" w:sz="4" w:space="0"/>
              <w:right w:val="single" w:color="auto" w:sz="4" w:space="0"/>
            </w:tcBorders>
            <w:vAlign w:val="center"/>
          </w:tcPr>
          <w:p w14:paraId="5D16D97D">
            <w:pPr>
              <w:widowControl/>
              <w:jc w:val="left"/>
              <w:rPr>
                <w:rFonts w:hint="eastAsia" w:ascii="仿宋_GB2312" w:hAnsi="仿宋_GB2312" w:eastAsia="仿宋_GB2312" w:cs="仿宋_GB2312"/>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4934C4D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扣分项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1E42D74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1146145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反映提供材料的真实性，有效性以及相关工作合法合规情况。（用于负面清单事项）</w:t>
            </w:r>
          </w:p>
        </w:tc>
        <w:tc>
          <w:tcPr>
            <w:tcW w:w="3596" w:type="dxa"/>
            <w:tcBorders>
              <w:top w:val="single" w:color="auto" w:sz="4" w:space="0"/>
              <w:left w:val="nil"/>
              <w:bottom w:val="single" w:color="auto" w:sz="4" w:space="0"/>
              <w:right w:val="single" w:color="auto" w:sz="4" w:space="0"/>
            </w:tcBorders>
            <w:shd w:val="clear" w:color="auto" w:fill="auto"/>
            <w:vAlign w:val="center"/>
          </w:tcPr>
          <w:p w14:paraId="31BBD71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考核材料、数据中存在虚假信息的，或经有关部门监督检查发现问题的，视情节严重程度扣1-10分。</w:t>
            </w:r>
          </w:p>
        </w:tc>
      </w:tr>
    </w:tbl>
    <w:p w14:paraId="3DDC0354">
      <w:pPr>
        <w:spacing w:before="120" w:beforeLines="50" w:line="360" w:lineRule="auto"/>
        <w:ind w:firstLine="482" w:firstLineChars="200"/>
        <w:jc w:val="left"/>
        <w:outlineLvl w:val="0"/>
        <w:rPr>
          <w:rFonts w:ascii="Arial Narrow" w:hAnsi="Arial Narrow" w:eastAsia="仿宋_GB2312"/>
          <w:b/>
          <w:sz w:val="24"/>
        </w:rPr>
      </w:pPr>
      <w:bookmarkStart w:id="15" w:name="_Toc3056"/>
      <w:r>
        <w:rPr>
          <w:rFonts w:ascii="Arial Narrow" w:hAnsi="Arial Narrow" w:eastAsia="仿宋_GB2312"/>
          <w:b/>
          <w:sz w:val="24"/>
        </w:rPr>
        <w:t>（五）绩效评价标准和评价方法</w:t>
      </w:r>
      <w:bookmarkEnd w:id="15"/>
    </w:p>
    <w:p w14:paraId="4E560BA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68A6333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149F415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7092D64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3DA3EE3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70E92A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1BB1C3C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35AA1F7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001456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7BD7705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7BF87207">
      <w:pPr>
        <w:spacing w:line="360" w:lineRule="auto"/>
        <w:ind w:firstLine="482" w:firstLineChars="200"/>
        <w:jc w:val="left"/>
        <w:outlineLvl w:val="0"/>
        <w:rPr>
          <w:rFonts w:ascii="Arial Narrow" w:hAnsi="Arial Narrow" w:eastAsia="仿宋_GB2312"/>
          <w:b/>
          <w:sz w:val="24"/>
        </w:rPr>
      </w:pPr>
      <w:bookmarkStart w:id="18" w:name="_Toc437528932"/>
      <w:bookmarkStart w:id="19" w:name="_Toc19607"/>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1B3C8B3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w:t>
      </w:r>
      <w:r>
        <w:rPr>
          <w:rFonts w:hint="eastAsia" w:ascii="Arial Narrow" w:hAnsi="Arial Narrow" w:eastAsia="仿宋_GB2312"/>
          <w:color w:val="auto"/>
          <w:lang w:eastAsia="zh-CN"/>
        </w:rPr>
        <w:t>“</w:t>
      </w:r>
      <w:r>
        <w:rPr>
          <w:rFonts w:hint="eastAsia" w:ascii="Arial Narrow" w:hAnsi="Arial Narrow" w:eastAsia="仿宋_GB2312"/>
          <w:color w:val="auto"/>
        </w:rPr>
        <w:t>2023年财政专项衔接资金项目</w:t>
      </w:r>
      <w:r>
        <w:rPr>
          <w:rFonts w:hint="eastAsia" w:ascii="Arial Narrow" w:hAnsi="Arial Narrow" w:eastAsia="仿宋_GB2312"/>
          <w:color w:val="auto"/>
          <w:lang w:eastAsia="zh-CN"/>
        </w:rPr>
        <w:t>”</w:t>
      </w:r>
      <w:r>
        <w:rPr>
          <w:rFonts w:hint="eastAsia" w:ascii="Arial Narrow" w:hAnsi="Arial Narrow" w:eastAsia="仿宋_GB2312"/>
          <w:color w:val="auto"/>
        </w:rPr>
        <w:t>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10DD8DF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7346A38E">
      <w:pPr>
        <w:pStyle w:val="13"/>
        <w:spacing w:line="360" w:lineRule="auto"/>
        <w:ind w:firstLine="480" w:firstLineChars="200"/>
        <w:rPr>
          <w:rFonts w:hint="eastAsia" w:ascii="Arial Narrow" w:hAnsi="Arial Narrow" w:eastAsia="仿宋_GB2312"/>
          <w:color w:val="auto"/>
          <w:lang w:val="en-US"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7462D2C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7BDCDAEA">
      <w:pPr>
        <w:spacing w:line="360" w:lineRule="auto"/>
        <w:ind w:firstLine="482" w:firstLineChars="200"/>
        <w:jc w:val="left"/>
        <w:outlineLvl w:val="0"/>
        <w:rPr>
          <w:rFonts w:ascii="Arial Narrow" w:hAnsi="Arial Narrow" w:eastAsia="仿宋_GB2312"/>
          <w:b/>
          <w:sz w:val="24"/>
        </w:rPr>
      </w:pPr>
      <w:bookmarkStart w:id="20" w:name="_Toc437528933"/>
      <w:bookmarkStart w:id="21" w:name="_Toc14679"/>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4CCC5159">
      <w:pPr>
        <w:spacing w:line="360" w:lineRule="auto"/>
        <w:ind w:firstLine="480" w:firstLineChars="200"/>
        <w:jc w:val="left"/>
        <w:rPr>
          <w:rFonts w:ascii="Arial Narrow" w:hAnsi="Arial Narrow" w:eastAsia="仿宋_GB2312"/>
          <w:b/>
          <w:bCs/>
          <w:sz w:val="28"/>
          <w:szCs w:val="28"/>
        </w:rPr>
      </w:pPr>
      <w:r>
        <w:rPr>
          <w:rFonts w:hint="eastAsia" w:ascii="Arial Narrow" w:hAnsi="Arial Narrow" w:eastAsia="仿宋_GB2312"/>
          <w:sz w:val="24"/>
        </w:rPr>
        <w:t>重庆市铜梁区商务委员会消费帮扶项目</w:t>
      </w:r>
      <w:r>
        <w:rPr>
          <w:rFonts w:ascii="Arial Narrow" w:hAnsi="Arial Narrow" w:eastAsia="仿宋_GB2312"/>
          <w:sz w:val="24"/>
        </w:rPr>
        <w:t>绩效评价得分</w:t>
      </w:r>
      <w:r>
        <w:rPr>
          <w:rFonts w:hint="eastAsia" w:ascii="Arial Narrow" w:hAnsi="Arial Narrow" w:eastAsia="仿宋_GB2312"/>
          <w:sz w:val="24"/>
        </w:rPr>
        <w:t>88.84</w:t>
      </w:r>
      <w:r>
        <w:rPr>
          <w:rFonts w:ascii="Arial Narrow" w:hAnsi="Arial Narrow" w:eastAsia="仿宋_GB2312"/>
          <w:sz w:val="24"/>
        </w:rPr>
        <w:t>分，绩效评价等级为：</w:t>
      </w:r>
      <w:r>
        <w:rPr>
          <w:rFonts w:hint="eastAsia" w:ascii="Arial Narrow" w:hAnsi="Arial Narrow" w:eastAsia="仿宋_GB2312"/>
          <w:sz w:val="24"/>
        </w:rPr>
        <w:t>良。</w:t>
      </w:r>
    </w:p>
    <w:p w14:paraId="5B17F2EE">
      <w:pPr>
        <w:spacing w:line="360" w:lineRule="auto"/>
        <w:ind w:firstLine="482" w:firstLineChars="200"/>
        <w:outlineLvl w:val="0"/>
        <w:rPr>
          <w:rFonts w:ascii="Arial Narrow" w:hAnsi="Arial Narrow" w:eastAsia="仿宋_GB2312"/>
          <w:b/>
          <w:sz w:val="24"/>
        </w:rPr>
      </w:pPr>
      <w:bookmarkStart w:id="22" w:name="_Toc19434"/>
      <w:r>
        <w:rPr>
          <w:rFonts w:hint="eastAsia" w:ascii="Arial Narrow" w:hAnsi="Arial Narrow" w:eastAsia="仿宋_GB2312"/>
          <w:b/>
          <w:sz w:val="24"/>
        </w:rPr>
        <w:t>四、</w:t>
      </w:r>
      <w:r>
        <w:rPr>
          <w:rFonts w:ascii="Arial Narrow" w:hAnsi="Arial Narrow" w:eastAsia="仿宋_GB2312"/>
          <w:b/>
          <w:sz w:val="24"/>
        </w:rPr>
        <w:t>综合评价情况</w:t>
      </w:r>
      <w:bookmarkEnd w:id="22"/>
    </w:p>
    <w:p w14:paraId="130298AF">
      <w:pPr>
        <w:spacing w:line="360" w:lineRule="auto"/>
        <w:ind w:firstLine="482" w:firstLineChars="200"/>
        <w:jc w:val="left"/>
        <w:outlineLvl w:val="0"/>
        <w:rPr>
          <w:rFonts w:ascii="仿宋_GB2312" w:eastAsia="仿宋_GB2312"/>
          <w:b/>
          <w:sz w:val="24"/>
        </w:rPr>
      </w:pPr>
      <w:bookmarkStart w:id="23" w:name="_Toc6891"/>
      <w:r>
        <w:rPr>
          <w:rFonts w:hint="eastAsia" w:ascii="仿宋_GB2312" w:eastAsia="仿宋_GB2312"/>
          <w:b/>
          <w:sz w:val="24"/>
        </w:rPr>
        <w:t>（一）资金管理</w:t>
      </w:r>
      <w:bookmarkEnd w:id="23"/>
    </w:p>
    <w:p w14:paraId="254CEB1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423E8A7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w:t>
      </w:r>
      <w:r>
        <w:rPr>
          <w:rFonts w:hint="eastAsia" w:ascii="Arial Narrow" w:hAnsi="Arial Narrow" w:eastAsia="仿宋_GB2312"/>
          <w:sz w:val="24"/>
          <w:lang w:val="en-US" w:eastAsia="zh-CN"/>
        </w:rPr>
        <w:t>号</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铜财〔2023〕46号</w:t>
      </w:r>
      <w:r>
        <w:rPr>
          <w:rFonts w:hint="eastAsia" w:ascii="Arial Narrow" w:hAnsi="Arial Narrow" w:eastAsia="仿宋_GB2312"/>
          <w:sz w:val="24"/>
          <w:lang w:eastAsia="zh-CN"/>
        </w:rPr>
        <w:t>）</w:t>
      </w:r>
      <w:r>
        <w:rPr>
          <w:rFonts w:hint="eastAsia" w:ascii="Arial Narrow" w:hAnsi="Arial Narrow" w:eastAsia="仿宋_GB2312"/>
          <w:sz w:val="24"/>
        </w:rPr>
        <w:t>等相关政策性文件规定落实衔接资金。</w:t>
      </w:r>
    </w:p>
    <w:p w14:paraId="2D676B4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53E090C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项目资金从区财政局下达资金文件时间到区级业务主管部门下达项目及资金计划文件时间间隔小于30天。</w:t>
      </w:r>
    </w:p>
    <w:p w14:paraId="7C294F2D">
      <w:pPr>
        <w:spacing w:line="360" w:lineRule="auto"/>
        <w:ind w:firstLine="482" w:firstLineChars="200"/>
        <w:jc w:val="left"/>
        <w:outlineLvl w:val="0"/>
        <w:rPr>
          <w:rFonts w:ascii="仿宋_GB2312" w:eastAsia="仿宋_GB2312"/>
          <w:b/>
          <w:sz w:val="24"/>
        </w:rPr>
      </w:pPr>
      <w:bookmarkStart w:id="24" w:name="_Toc9773"/>
      <w:r>
        <w:rPr>
          <w:rFonts w:hint="eastAsia" w:ascii="仿宋_GB2312" w:eastAsia="仿宋_GB2312"/>
          <w:b/>
          <w:sz w:val="24"/>
        </w:rPr>
        <w:t>（二）项目管理</w:t>
      </w:r>
      <w:bookmarkEnd w:id="24"/>
    </w:p>
    <w:p w14:paraId="1F90FA0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3A8D83B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7035BE0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6F367D2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及时制定了明确的绩效目标，实施过程中对绩效目标进行监控，对绩效目标偏离项目采取纠偏措施。在项目实施完毕后开展了绩效自评，并形成绩效自评表、自评报告，项目绩效基本达到预期。</w:t>
      </w:r>
    </w:p>
    <w:p w14:paraId="1A2F5AD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6C788CD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项目实施方案不存在变更情况，实施过程中由铜梁区商务委进行监督检查，检查中未发现重大问题，项目按照实施节点按时提交项目报账资料，项目资料归档整理及时。</w:t>
      </w:r>
    </w:p>
    <w:p w14:paraId="7701CD4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40C6C7B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项目最后一笔款项拨付于2023年12月04日，进度款拨付较晚。</w:t>
      </w:r>
    </w:p>
    <w:p w14:paraId="79BE8BA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1E2713D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443AE06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26EA38A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596F1A6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1ED9A4A0">
      <w:pPr>
        <w:adjustRightInd w:val="0"/>
        <w:snapToGrid w:val="0"/>
        <w:spacing w:line="360" w:lineRule="auto"/>
        <w:ind w:firstLine="480" w:firstLineChars="200"/>
        <w:rPr>
          <w:rFonts w:hint="eastAsia" w:ascii="Arial Narrow" w:hAnsi="Arial Narrow" w:eastAsia="仿宋_GB2312"/>
          <w:sz w:val="24"/>
          <w:lang w:eastAsia="zh-CN"/>
        </w:rPr>
      </w:pPr>
      <w:r>
        <w:rPr>
          <w:rFonts w:hint="eastAsia" w:ascii="Arial Narrow" w:hAnsi="Arial Narrow" w:eastAsia="仿宋_GB2312"/>
          <w:sz w:val="24"/>
        </w:rPr>
        <w:t>重庆市铜梁区商务委员会对项目资金计划、项目实施方案等进行了公示公告。</w:t>
      </w:r>
    </w:p>
    <w:p w14:paraId="432ED3EA">
      <w:pPr>
        <w:spacing w:line="360" w:lineRule="auto"/>
        <w:ind w:firstLine="482" w:firstLineChars="200"/>
        <w:jc w:val="left"/>
        <w:outlineLvl w:val="0"/>
        <w:rPr>
          <w:rFonts w:ascii="仿宋_GB2312" w:eastAsia="仿宋_GB2312"/>
          <w:b/>
          <w:sz w:val="24"/>
        </w:rPr>
      </w:pPr>
      <w:bookmarkStart w:id="25" w:name="_Toc13891"/>
      <w:r>
        <w:rPr>
          <w:rFonts w:hint="eastAsia" w:ascii="仿宋_GB2312" w:eastAsia="仿宋_GB2312"/>
          <w:b/>
          <w:sz w:val="24"/>
        </w:rPr>
        <w:t>（三）使用成效及通报情况</w:t>
      </w:r>
      <w:bookmarkEnd w:id="25"/>
    </w:p>
    <w:p w14:paraId="097A703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25A21CE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项目总体资金均专款专用，项目完成进度和及时性达到计划预期目的。完成项目的质量能够达标，完成进行了自评，项目资料完整。</w:t>
      </w:r>
    </w:p>
    <w:p w14:paraId="28D8DB9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77CBDCB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消费帮扶项目于2023年8月29日、2023年11月14日因支出进度滞后被重庆市铜梁区财政局通报两次。</w:t>
      </w:r>
    </w:p>
    <w:p w14:paraId="2E82203A">
      <w:pPr>
        <w:spacing w:line="360" w:lineRule="auto"/>
        <w:ind w:firstLine="482" w:firstLineChars="200"/>
        <w:outlineLvl w:val="0"/>
        <w:rPr>
          <w:rFonts w:hint="eastAsia" w:ascii="Arial Narrow" w:hAnsi="Arial Narrow" w:eastAsia="仿宋_GB2312"/>
          <w:b/>
          <w:sz w:val="24"/>
        </w:rPr>
      </w:pPr>
      <w:bookmarkStart w:id="26" w:name="_Toc24672"/>
      <w:r>
        <w:rPr>
          <w:rFonts w:hint="eastAsia" w:ascii="Arial Narrow" w:hAnsi="Arial Narrow" w:eastAsia="仿宋_GB2312"/>
          <w:b/>
          <w:sz w:val="24"/>
        </w:rPr>
        <w:t>五、存在的问题和建议</w:t>
      </w:r>
      <w:bookmarkEnd w:id="26"/>
    </w:p>
    <w:p w14:paraId="6482650F">
      <w:pPr>
        <w:spacing w:line="360" w:lineRule="auto"/>
        <w:ind w:firstLine="482" w:firstLineChars="200"/>
        <w:jc w:val="left"/>
        <w:outlineLvl w:val="0"/>
        <w:rPr>
          <w:rFonts w:ascii="仿宋_GB2312" w:eastAsia="仿宋_GB2312"/>
          <w:b/>
          <w:sz w:val="24"/>
        </w:rPr>
      </w:pPr>
      <w:bookmarkStart w:id="27" w:name="_Toc17180"/>
      <w:r>
        <w:rPr>
          <w:rFonts w:hint="eastAsia" w:ascii="仿宋_GB2312" w:eastAsia="仿宋_GB2312"/>
          <w:b/>
          <w:sz w:val="24"/>
        </w:rPr>
        <w:t>（一）存在问题</w:t>
      </w:r>
      <w:bookmarkEnd w:id="27"/>
    </w:p>
    <w:p w14:paraId="1C363FF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1.项目资金拨付进度较晚，本项目最后一笔款项于2023年12月04日支出。</w:t>
      </w:r>
    </w:p>
    <w:p w14:paraId="4CE334B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2.因支出进度滞后被重庆市铜梁区财政局通报两次整改两次。</w:t>
      </w:r>
    </w:p>
    <w:p w14:paraId="54093ECE">
      <w:pPr>
        <w:spacing w:line="360" w:lineRule="auto"/>
        <w:ind w:firstLine="482" w:firstLineChars="200"/>
        <w:jc w:val="left"/>
        <w:outlineLvl w:val="0"/>
        <w:rPr>
          <w:rFonts w:ascii="仿宋_GB2312" w:eastAsia="仿宋_GB2312"/>
          <w:b/>
          <w:sz w:val="24"/>
        </w:rPr>
      </w:pPr>
      <w:bookmarkStart w:id="28" w:name="_Toc26393"/>
      <w:r>
        <w:rPr>
          <w:rFonts w:hint="eastAsia" w:ascii="仿宋_GB2312" w:eastAsia="仿宋_GB2312"/>
          <w:b/>
          <w:sz w:val="24"/>
        </w:rPr>
        <w:t>（二）建议</w:t>
      </w:r>
      <w:bookmarkEnd w:id="28"/>
    </w:p>
    <w:p w14:paraId="5FE7FA81">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1.严格按照财政资金预算执行，及时拨付项目资金。针对财政专项资金,建议实施单位在规定时间及时内支付项目资金,杜绝资金滞留、挤占、截留、挪用等现象的发生。</w:t>
      </w:r>
    </w:p>
    <w:p w14:paraId="61C221B6">
      <w:pPr>
        <w:adjustRightInd w:val="0"/>
        <w:snapToGrid w:val="0"/>
        <w:spacing w:line="360" w:lineRule="auto"/>
        <w:ind w:firstLine="480" w:firstLineChars="200"/>
        <w:rPr>
          <w:rStyle w:val="10"/>
          <w:rFonts w:ascii="Arial Narrow" w:hAnsi="Arial Narrow" w:eastAsia="仿宋_GB2312"/>
          <w:color w:val="auto"/>
          <w:sz w:val="24"/>
          <w:u w:val="none"/>
        </w:rPr>
      </w:pPr>
    </w:p>
    <w:p w14:paraId="11DDFC59">
      <w:pPr>
        <w:adjustRightInd w:val="0"/>
        <w:snapToGrid w:val="0"/>
        <w:spacing w:line="360" w:lineRule="auto"/>
        <w:ind w:firstLine="480" w:firstLineChars="200"/>
        <w:rPr>
          <w:rStyle w:val="10"/>
          <w:rFonts w:ascii="Arial Narrow" w:hAnsi="Arial Narrow" w:eastAsia="仿宋_GB2312"/>
          <w:color w:val="auto"/>
          <w:sz w:val="24"/>
          <w:u w:val="none"/>
        </w:rPr>
      </w:pPr>
    </w:p>
    <w:p w14:paraId="6BAD30BA">
      <w:pPr>
        <w:adjustRightInd w:val="0"/>
        <w:snapToGrid w:val="0"/>
        <w:spacing w:line="360" w:lineRule="auto"/>
        <w:ind w:firstLine="480" w:firstLineChars="200"/>
        <w:rPr>
          <w:rStyle w:val="10"/>
          <w:rFonts w:ascii="Arial Narrow" w:hAnsi="Arial Narrow" w:eastAsia="仿宋_GB2312"/>
          <w:color w:val="auto"/>
          <w:sz w:val="24"/>
          <w:u w:val="none"/>
        </w:rPr>
      </w:pPr>
    </w:p>
    <w:p w14:paraId="7FCADF77">
      <w:pPr>
        <w:adjustRightInd w:val="0"/>
        <w:snapToGrid w:val="0"/>
        <w:spacing w:line="360" w:lineRule="auto"/>
        <w:ind w:firstLine="420" w:firstLineChars="200"/>
        <w:rPr>
          <w:rStyle w:val="10"/>
          <w:color w:val="auto"/>
          <w:u w:val="none"/>
        </w:rPr>
      </w:pPr>
    </w:p>
    <w:p w14:paraId="1572136B">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610D247B">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4166F4AE">
      <w:pPr>
        <w:adjustRightInd w:val="0"/>
        <w:snapToGrid w:val="0"/>
        <w:spacing w:line="360" w:lineRule="auto"/>
        <w:ind w:firstLine="720" w:firstLineChars="300"/>
        <w:rPr>
          <w:rStyle w:val="10"/>
          <w:rFonts w:ascii="Arial Narrow" w:hAnsi="Arial Narrow" w:eastAsia="仿宋_GB2312"/>
          <w:color w:val="auto"/>
          <w:sz w:val="24"/>
          <w:u w:val="none"/>
        </w:rPr>
      </w:pPr>
    </w:p>
    <w:p w14:paraId="782A192E">
      <w:pPr>
        <w:adjustRightInd w:val="0"/>
        <w:snapToGrid w:val="0"/>
        <w:spacing w:line="360" w:lineRule="auto"/>
        <w:ind w:firstLine="720" w:firstLineChars="300"/>
        <w:rPr>
          <w:rStyle w:val="10"/>
          <w:rFonts w:ascii="Arial Narrow" w:hAnsi="Arial Narrow" w:eastAsia="仿宋_GB2312"/>
          <w:color w:val="auto"/>
          <w:sz w:val="24"/>
          <w:u w:val="none"/>
        </w:rPr>
      </w:pPr>
    </w:p>
    <w:p w14:paraId="51F48B35">
      <w:pPr>
        <w:adjustRightInd w:val="0"/>
        <w:snapToGrid w:val="0"/>
        <w:spacing w:line="360" w:lineRule="auto"/>
        <w:ind w:firstLine="720" w:firstLineChars="300"/>
        <w:rPr>
          <w:rStyle w:val="10"/>
          <w:rFonts w:ascii="Arial Narrow" w:hAnsi="Arial Narrow" w:eastAsia="仿宋_GB2312"/>
          <w:color w:val="auto"/>
          <w:sz w:val="24"/>
          <w:u w:val="none"/>
        </w:rPr>
      </w:pPr>
    </w:p>
    <w:p w14:paraId="339F3A44">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重庆铭鸿金全会计师事务所有限责任公司</w:t>
      </w:r>
    </w:p>
    <w:p w14:paraId="75EBBF6C">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二四年六月二十五日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DACF61AF-5D12-4938-9598-01C20D70DA74}"/>
  </w:font>
  <w:font w:name="仿宋_GB2312">
    <w:panose1 w:val="02010609030101010101"/>
    <w:charset w:val="86"/>
    <w:family w:val="modern"/>
    <w:pitch w:val="default"/>
    <w:sig w:usb0="00000001" w:usb1="080E0000" w:usb2="00000000" w:usb3="00000000" w:csb0="00040000" w:csb1="00000000"/>
    <w:embedRegular r:id="rId2" w:fontKey="{B9780171-095B-4038-B3E6-5CF91D46E7DD}"/>
  </w:font>
  <w:font w:name="仿宋">
    <w:panose1 w:val="02010609060101010101"/>
    <w:charset w:val="86"/>
    <w:family w:val="modern"/>
    <w:pitch w:val="default"/>
    <w:sig w:usb0="800002BF" w:usb1="38CF7CFA" w:usb2="00000016" w:usb3="00000000" w:csb0="00040001" w:csb1="00000000"/>
    <w:embedRegular r:id="rId3" w:fontKey="{4DBB20DD-801D-4FAF-8748-53E48EF93D1B}"/>
  </w:font>
  <w:font w:name="楷体">
    <w:panose1 w:val="02010609060101010101"/>
    <w:charset w:val="86"/>
    <w:family w:val="modern"/>
    <w:pitch w:val="default"/>
    <w:sig w:usb0="800002BF" w:usb1="38CF7CFA" w:usb2="00000016" w:usb3="00000000" w:csb0="00040001" w:csb1="00000000"/>
    <w:embedRegular r:id="rId4" w:fontKey="{BB87EE7D-64D9-4274-BBF5-FFDF7B7BFE71}"/>
  </w:font>
  <w:font w:name="MS Mincho">
    <w:panose1 w:val="02020609040205080304"/>
    <w:charset w:val="80"/>
    <w:family w:val="modern"/>
    <w:pitch w:val="default"/>
    <w:sig w:usb0="E00002FF" w:usb1="6AC7FDFB" w:usb2="00000012" w:usb3="00000000" w:csb0="4002009F" w:csb1="DFD70000"/>
    <w:embedRegular r:id="rId5" w:fontKey="{8E3D6FF0-5B23-43A8-812C-1F68D27FEA58}"/>
  </w:font>
  <w:font w:name="Segoe UI Symbol">
    <w:panose1 w:val="020B0502040204020203"/>
    <w:charset w:val="00"/>
    <w:family w:val="swiss"/>
    <w:pitch w:val="default"/>
    <w:sig w:usb0="8000006F" w:usb1="1200FBEF" w:usb2="0064C000" w:usb3="00000002" w:csb0="00000001" w:csb1="40000000"/>
    <w:embedRegular r:id="rId6" w:fontKey="{7A161A9D-4FF4-4B67-B697-6FBD616D41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D1DE6">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90F4F">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ADDA4">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40902"/>
    <w:rsid w:val="00046060"/>
    <w:rsid w:val="000769EE"/>
    <w:rsid w:val="0010003E"/>
    <w:rsid w:val="00104568"/>
    <w:rsid w:val="00143A99"/>
    <w:rsid w:val="00144FA1"/>
    <w:rsid w:val="001518C1"/>
    <w:rsid w:val="00164C87"/>
    <w:rsid w:val="00167A6E"/>
    <w:rsid w:val="001A42EB"/>
    <w:rsid w:val="001A59DB"/>
    <w:rsid w:val="001D3E86"/>
    <w:rsid w:val="001E0132"/>
    <w:rsid w:val="001E1C7C"/>
    <w:rsid w:val="001F3624"/>
    <w:rsid w:val="001F43AE"/>
    <w:rsid w:val="00216472"/>
    <w:rsid w:val="00226E7E"/>
    <w:rsid w:val="00276D1C"/>
    <w:rsid w:val="00282997"/>
    <w:rsid w:val="002C36AE"/>
    <w:rsid w:val="002C5020"/>
    <w:rsid w:val="002C7EFA"/>
    <w:rsid w:val="0030129A"/>
    <w:rsid w:val="00324E2F"/>
    <w:rsid w:val="0037066E"/>
    <w:rsid w:val="00377668"/>
    <w:rsid w:val="003B42BF"/>
    <w:rsid w:val="003D6DF5"/>
    <w:rsid w:val="00414A58"/>
    <w:rsid w:val="004200C2"/>
    <w:rsid w:val="00420AA7"/>
    <w:rsid w:val="00421C71"/>
    <w:rsid w:val="00431315"/>
    <w:rsid w:val="0048399B"/>
    <w:rsid w:val="004A0242"/>
    <w:rsid w:val="004C38B4"/>
    <w:rsid w:val="004D2A6E"/>
    <w:rsid w:val="00501A64"/>
    <w:rsid w:val="00504C12"/>
    <w:rsid w:val="005559D9"/>
    <w:rsid w:val="00572DD6"/>
    <w:rsid w:val="00577922"/>
    <w:rsid w:val="005A7BA0"/>
    <w:rsid w:val="005F01BA"/>
    <w:rsid w:val="005F5420"/>
    <w:rsid w:val="0061417A"/>
    <w:rsid w:val="00624C8C"/>
    <w:rsid w:val="00631EDF"/>
    <w:rsid w:val="00691984"/>
    <w:rsid w:val="0069678B"/>
    <w:rsid w:val="006C7799"/>
    <w:rsid w:val="006E75D6"/>
    <w:rsid w:val="006F1D64"/>
    <w:rsid w:val="0073019B"/>
    <w:rsid w:val="00740E9D"/>
    <w:rsid w:val="00741402"/>
    <w:rsid w:val="007618F2"/>
    <w:rsid w:val="007A6BE6"/>
    <w:rsid w:val="007E1784"/>
    <w:rsid w:val="00816D8C"/>
    <w:rsid w:val="00842151"/>
    <w:rsid w:val="00856815"/>
    <w:rsid w:val="00886A9B"/>
    <w:rsid w:val="008952B1"/>
    <w:rsid w:val="008D4F7C"/>
    <w:rsid w:val="008E609D"/>
    <w:rsid w:val="00943414"/>
    <w:rsid w:val="00983CB7"/>
    <w:rsid w:val="009943F8"/>
    <w:rsid w:val="009957B8"/>
    <w:rsid w:val="009A2859"/>
    <w:rsid w:val="009A406A"/>
    <w:rsid w:val="00A352D4"/>
    <w:rsid w:val="00A64D55"/>
    <w:rsid w:val="00A95CA5"/>
    <w:rsid w:val="00AA6925"/>
    <w:rsid w:val="00AD2B73"/>
    <w:rsid w:val="00AE470F"/>
    <w:rsid w:val="00AF58DD"/>
    <w:rsid w:val="00B134A6"/>
    <w:rsid w:val="00B25350"/>
    <w:rsid w:val="00B50038"/>
    <w:rsid w:val="00B607BB"/>
    <w:rsid w:val="00BA1016"/>
    <w:rsid w:val="00BA187B"/>
    <w:rsid w:val="00BB3674"/>
    <w:rsid w:val="00BC7BED"/>
    <w:rsid w:val="00C06180"/>
    <w:rsid w:val="00C107C7"/>
    <w:rsid w:val="00C12443"/>
    <w:rsid w:val="00C35442"/>
    <w:rsid w:val="00C60A62"/>
    <w:rsid w:val="00C74C23"/>
    <w:rsid w:val="00CB54FB"/>
    <w:rsid w:val="00CF6D2F"/>
    <w:rsid w:val="00D254D3"/>
    <w:rsid w:val="00D26E16"/>
    <w:rsid w:val="00D415D5"/>
    <w:rsid w:val="00DA541C"/>
    <w:rsid w:val="00DB55F0"/>
    <w:rsid w:val="00DC2C32"/>
    <w:rsid w:val="00DD1665"/>
    <w:rsid w:val="00E12883"/>
    <w:rsid w:val="00E23D6E"/>
    <w:rsid w:val="00E27A95"/>
    <w:rsid w:val="00E335D3"/>
    <w:rsid w:val="00E368BC"/>
    <w:rsid w:val="00E80BDA"/>
    <w:rsid w:val="00EB474C"/>
    <w:rsid w:val="00EE395C"/>
    <w:rsid w:val="00F116AB"/>
    <w:rsid w:val="00F24091"/>
    <w:rsid w:val="00F54C3F"/>
    <w:rsid w:val="00F61D28"/>
    <w:rsid w:val="00F64D50"/>
    <w:rsid w:val="00F6551E"/>
    <w:rsid w:val="00FA77D4"/>
    <w:rsid w:val="00FB36F0"/>
    <w:rsid w:val="00FC25B3"/>
    <w:rsid w:val="00FD1A79"/>
    <w:rsid w:val="00FD5806"/>
    <w:rsid w:val="00FE1E65"/>
    <w:rsid w:val="00FF5AA5"/>
    <w:rsid w:val="00FF5C51"/>
    <w:rsid w:val="02717C9D"/>
    <w:rsid w:val="02EB123A"/>
    <w:rsid w:val="0C955D75"/>
    <w:rsid w:val="0DEE498C"/>
    <w:rsid w:val="10FD0312"/>
    <w:rsid w:val="120E6874"/>
    <w:rsid w:val="270731DD"/>
    <w:rsid w:val="34F97C40"/>
    <w:rsid w:val="35531F9F"/>
    <w:rsid w:val="357129F4"/>
    <w:rsid w:val="370B3232"/>
    <w:rsid w:val="371050B8"/>
    <w:rsid w:val="3BC245DF"/>
    <w:rsid w:val="43386769"/>
    <w:rsid w:val="45947F31"/>
    <w:rsid w:val="499C2402"/>
    <w:rsid w:val="4DF1278B"/>
    <w:rsid w:val="55BC364B"/>
    <w:rsid w:val="566D6085"/>
    <w:rsid w:val="59561E15"/>
    <w:rsid w:val="5E86179D"/>
    <w:rsid w:val="60087B46"/>
    <w:rsid w:val="629B4EDD"/>
    <w:rsid w:val="6C0B491D"/>
    <w:rsid w:val="71A12761"/>
    <w:rsid w:val="737F55F9"/>
    <w:rsid w:val="7EA16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5466</Words>
  <Characters>5797</Characters>
  <Lines>50</Lines>
  <Paragraphs>14</Paragraphs>
  <TotalTime>5</TotalTime>
  <ScaleCrop>false</ScaleCrop>
  <LinksUpToDate>false</LinksUpToDate>
  <CharactersWithSpaces>5814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2024-07-23T05:41:00Z</cp:lastPrinted>
  <dcterms:modified xsi:type="dcterms:W3CDTF">2024-11-19T09:44:12Z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