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560" w:lineRule="exact"/>
        <w:ind w:left="560" w:firstLine="0" w:firstLineChars="0"/>
        <w:jc w:val="center"/>
        <w:rPr>
          <w:b/>
          <w:sz w:val="32"/>
          <w:szCs w:val="32"/>
        </w:rPr>
      </w:pPr>
      <w:r>
        <w:rPr>
          <w:rFonts w:hint="eastAsia"/>
          <w:b/>
          <w:sz w:val="32"/>
          <w:szCs w:val="32"/>
        </w:rPr>
        <w:t>安居国家湿地公园内生态恢复保护建设项目</w:t>
      </w:r>
    </w:p>
    <w:p>
      <w:pPr>
        <w:spacing w:line="560" w:lineRule="exact"/>
        <w:ind w:left="560" w:firstLine="0" w:firstLineChars="0"/>
        <w:jc w:val="center"/>
        <w:rPr>
          <w:b/>
          <w:sz w:val="32"/>
          <w:szCs w:val="32"/>
        </w:rPr>
      </w:pPr>
      <w:r>
        <w:rPr>
          <w:rFonts w:hint="eastAsia"/>
          <w:b/>
          <w:sz w:val="32"/>
          <w:szCs w:val="32"/>
        </w:rPr>
        <w:t>绩效评价报告</w:t>
      </w: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632" w:firstLineChars="300"/>
        <w:jc w:val="center"/>
        <w:rPr>
          <w:rFonts w:ascii="Arial Narrow" w:hAnsi="Arial Narrow"/>
          <w:sz w:val="21"/>
        </w:rPr>
      </w:pPr>
      <w:r>
        <w:rPr>
          <w:rFonts w:hint="eastAsia" w:ascii="宋体" w:hAnsi="宋体"/>
          <w:b/>
          <w:bCs/>
          <w:kern w:val="0"/>
          <w:sz w:val="21"/>
          <w:szCs w:val="21"/>
        </w:rPr>
        <w:t>凯弘会所咨[2024]</w:t>
      </w:r>
      <w:r>
        <w:rPr>
          <w:rFonts w:hint="eastAsia" w:ascii="宋体" w:hAnsi="宋体"/>
          <w:b/>
          <w:bCs/>
          <w:kern w:val="0"/>
          <w:sz w:val="21"/>
          <w:szCs w:val="21"/>
          <w:lang w:val="en-US" w:eastAsia="zh-CN"/>
        </w:rPr>
        <w:t>015</w:t>
      </w:r>
      <w:r>
        <w:rPr>
          <w:rFonts w:hint="eastAsia" w:ascii="宋体" w:hAnsi="宋体"/>
          <w:b/>
          <w:bCs/>
          <w:kern w:val="0"/>
          <w:sz w:val="21"/>
          <w:szCs w:val="21"/>
        </w:rPr>
        <w:t>号</w:t>
      </w: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jc w:val="center"/>
        <w:rPr>
          <w:rFonts w:ascii="Arial Narrow" w:hAnsi="Arial Narrow"/>
          <w:sz w:val="21"/>
        </w:rPr>
      </w:pPr>
      <w:r>
        <w:rPr>
          <w:rFonts w:hint="eastAsia" w:ascii="Arial Narrow" w:hAnsi="宋体"/>
          <w:b/>
          <w:spacing w:val="40"/>
          <w:sz w:val="30"/>
          <w:szCs w:val="30"/>
        </w:rPr>
        <w:t>重庆凯弘会计师事务所有限公司</w:t>
      </w:r>
    </w:p>
    <w:p>
      <w:pPr>
        <w:spacing w:line="240" w:lineRule="auto"/>
        <w:ind w:firstLine="0" w:firstLineChars="0"/>
        <w:jc w:val="center"/>
        <w:rPr>
          <w:spacing w:val="-8"/>
          <w:sz w:val="24"/>
        </w:rPr>
      </w:pPr>
      <w:r>
        <w:rPr>
          <w:spacing w:val="-8"/>
          <w:sz w:val="24"/>
        </w:rPr>
        <w:t>CHONGQING KAIHONG CERTIFIED PUBLIC ACCOUNTANTS CO.,LTD.</w:t>
      </w: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adjustRightInd w:val="0"/>
        <w:snapToGrid w:val="0"/>
        <w:spacing w:line="560" w:lineRule="exact"/>
        <w:ind w:firstLine="643"/>
        <w:rPr>
          <w:rFonts w:ascii="宋体" w:hAnsi="宋体"/>
          <w:b/>
          <w:sz w:val="32"/>
          <w:szCs w:val="32"/>
        </w:rPr>
      </w:pPr>
    </w:p>
    <w:p>
      <w:pPr>
        <w:spacing w:line="560" w:lineRule="exact"/>
        <w:ind w:left="560" w:firstLine="0" w:firstLineChars="0"/>
        <w:jc w:val="center"/>
        <w:rPr>
          <w:b/>
          <w:sz w:val="32"/>
          <w:szCs w:val="32"/>
        </w:rPr>
      </w:pPr>
      <w:r>
        <w:rPr>
          <w:rFonts w:hint="eastAsia"/>
          <w:b/>
          <w:sz w:val="32"/>
          <w:szCs w:val="32"/>
        </w:rPr>
        <w:t>安居国家湿地公园内生态恢复保护建设项目</w:t>
      </w:r>
    </w:p>
    <w:p>
      <w:pPr>
        <w:spacing w:line="560" w:lineRule="exact"/>
        <w:ind w:left="560" w:firstLine="0" w:firstLineChars="0"/>
        <w:jc w:val="center"/>
        <w:rPr>
          <w:b/>
          <w:sz w:val="32"/>
          <w:szCs w:val="32"/>
        </w:rPr>
      </w:pPr>
      <w:r>
        <w:rPr>
          <w:rFonts w:hint="eastAsia"/>
          <w:b/>
          <w:sz w:val="32"/>
          <w:szCs w:val="32"/>
        </w:rPr>
        <w:t>绩效评价报告</w:t>
      </w:r>
    </w:p>
    <w:p>
      <w:pPr>
        <w:adjustRightInd w:val="0"/>
        <w:snapToGrid w:val="0"/>
        <w:spacing w:line="560" w:lineRule="exact"/>
        <w:ind w:firstLine="643"/>
        <w:jc w:val="left"/>
        <w:rPr>
          <w:rFonts w:ascii="宋体" w:hAnsi="宋体"/>
          <w:b/>
          <w:sz w:val="32"/>
          <w:szCs w:val="32"/>
        </w:rPr>
      </w:pPr>
    </w:p>
    <w:tbl>
      <w:tblPr>
        <w:tblStyle w:val="18"/>
        <w:tblW w:w="8647" w:type="dxa"/>
        <w:jc w:val="center"/>
        <w:tblInd w:w="0" w:type="dxa"/>
        <w:tblLayout w:type="fixed"/>
        <w:tblCellMar>
          <w:top w:w="0" w:type="dxa"/>
          <w:left w:w="108" w:type="dxa"/>
          <w:bottom w:w="0" w:type="dxa"/>
          <w:right w:w="108" w:type="dxa"/>
        </w:tblCellMar>
      </w:tblPr>
      <w:tblGrid>
        <w:gridCol w:w="883"/>
        <w:gridCol w:w="5838"/>
        <w:gridCol w:w="372"/>
        <w:gridCol w:w="1554"/>
      </w:tblGrid>
      <w:tr>
        <w:tblPrEx>
          <w:tblLayout w:type="fixed"/>
          <w:tblCellMar>
            <w:top w:w="0" w:type="dxa"/>
            <w:left w:w="108" w:type="dxa"/>
            <w:bottom w:w="0" w:type="dxa"/>
            <w:right w:w="108" w:type="dxa"/>
          </w:tblCellMar>
        </w:tblPrEx>
        <w:trPr>
          <w:jc w:val="center"/>
        </w:trPr>
        <w:tc>
          <w:tcPr>
            <w:tcW w:w="883" w:type="dxa"/>
          </w:tcPr>
          <w:p>
            <w:pPr>
              <w:keepLines/>
              <w:tabs>
                <w:tab w:val="right" w:pos="8280"/>
              </w:tabs>
              <w:spacing w:line="560" w:lineRule="exact"/>
              <w:ind w:firstLine="560"/>
              <w:rPr>
                <w:rFonts w:ascii="宋体" w:hAnsi="宋体"/>
                <w:szCs w:val="28"/>
              </w:rPr>
            </w:pPr>
          </w:p>
        </w:tc>
        <w:tc>
          <w:tcPr>
            <w:tcW w:w="5838" w:type="dxa"/>
          </w:tcPr>
          <w:p>
            <w:pPr>
              <w:keepLines/>
              <w:tabs>
                <w:tab w:val="right" w:pos="8280"/>
              </w:tabs>
              <w:spacing w:line="560" w:lineRule="exact"/>
              <w:ind w:firstLine="562"/>
              <w:jc w:val="center"/>
              <w:rPr>
                <w:rFonts w:ascii="宋体" w:hAnsi="宋体"/>
                <w:b/>
                <w:szCs w:val="28"/>
              </w:rPr>
            </w:pPr>
            <w:r>
              <w:rPr>
                <w:rFonts w:ascii="宋体" w:hAnsi="宋体"/>
                <w:b/>
                <w:szCs w:val="28"/>
              </w:rPr>
              <w:t>目录</w:t>
            </w:r>
          </w:p>
          <w:p>
            <w:pPr>
              <w:keepLines/>
              <w:tabs>
                <w:tab w:val="right" w:pos="8280"/>
              </w:tabs>
              <w:spacing w:line="560" w:lineRule="exact"/>
              <w:ind w:firstLine="562"/>
              <w:jc w:val="center"/>
              <w:rPr>
                <w:rFonts w:ascii="宋体" w:hAnsi="宋体"/>
                <w:b/>
                <w:szCs w:val="28"/>
              </w:rPr>
            </w:pPr>
          </w:p>
        </w:tc>
        <w:tc>
          <w:tcPr>
            <w:tcW w:w="372" w:type="dxa"/>
          </w:tcPr>
          <w:p>
            <w:pPr>
              <w:keepLines/>
              <w:tabs>
                <w:tab w:val="right" w:pos="8280"/>
              </w:tabs>
              <w:spacing w:line="560" w:lineRule="exact"/>
              <w:ind w:firstLine="562"/>
              <w:jc w:val="right"/>
              <w:rPr>
                <w:rFonts w:ascii="宋体" w:hAnsi="宋体"/>
                <w:b/>
                <w:szCs w:val="28"/>
              </w:rPr>
            </w:pPr>
          </w:p>
        </w:tc>
        <w:tc>
          <w:tcPr>
            <w:tcW w:w="1554" w:type="dxa"/>
          </w:tcPr>
          <w:p>
            <w:pPr>
              <w:keepLines/>
              <w:tabs>
                <w:tab w:val="right" w:pos="8280"/>
              </w:tabs>
              <w:spacing w:line="560" w:lineRule="exact"/>
              <w:ind w:firstLine="562"/>
              <w:jc w:val="center"/>
              <w:rPr>
                <w:rFonts w:ascii="宋体" w:hAnsi="宋体"/>
                <w:b/>
                <w:szCs w:val="28"/>
              </w:rPr>
            </w:pPr>
            <w:r>
              <w:rPr>
                <w:rFonts w:ascii="宋体" w:hAnsi="宋体"/>
                <w:b/>
                <w:szCs w:val="28"/>
              </w:rPr>
              <w:t>页次</w:t>
            </w:r>
          </w:p>
        </w:tc>
      </w:tr>
      <w:tr>
        <w:tblPrEx>
          <w:tblLayout w:type="fixed"/>
          <w:tblCellMar>
            <w:top w:w="0" w:type="dxa"/>
            <w:left w:w="108" w:type="dxa"/>
            <w:bottom w:w="0" w:type="dxa"/>
            <w:right w:w="108" w:type="dxa"/>
          </w:tblCellMar>
        </w:tblPrEx>
        <w:trPr>
          <w:trHeight w:val="90" w:hRule="atLeast"/>
          <w:jc w:val="center"/>
        </w:trPr>
        <w:tc>
          <w:tcPr>
            <w:tcW w:w="883" w:type="dxa"/>
          </w:tcPr>
          <w:p>
            <w:pPr>
              <w:keepLines/>
              <w:tabs>
                <w:tab w:val="right" w:pos="8280"/>
              </w:tabs>
              <w:spacing w:line="560" w:lineRule="exact"/>
              <w:ind w:firstLine="0" w:firstLineChars="0"/>
              <w:rPr>
                <w:rFonts w:ascii="宋体" w:hAnsi="宋体"/>
                <w:b/>
                <w:szCs w:val="28"/>
              </w:rPr>
            </w:pPr>
            <w:r>
              <w:rPr>
                <w:rFonts w:ascii="宋体" w:hAnsi="宋体"/>
                <w:b/>
                <w:szCs w:val="28"/>
              </w:rPr>
              <w:t>一、</w:t>
            </w:r>
          </w:p>
        </w:tc>
        <w:tc>
          <w:tcPr>
            <w:tcW w:w="5838" w:type="dxa"/>
          </w:tcPr>
          <w:p>
            <w:pPr>
              <w:keepLines/>
              <w:tabs>
                <w:tab w:val="right" w:pos="8280"/>
              </w:tabs>
              <w:spacing w:line="560" w:lineRule="exact"/>
              <w:ind w:firstLine="0" w:firstLineChars="0"/>
              <w:rPr>
                <w:rFonts w:ascii="宋体" w:hAnsi="宋体"/>
                <w:b/>
                <w:szCs w:val="28"/>
              </w:rPr>
            </w:pPr>
            <w:r>
              <w:rPr>
                <w:rFonts w:hint="eastAsia" w:ascii="宋体" w:hAnsi="宋体"/>
                <w:b/>
                <w:szCs w:val="28"/>
              </w:rPr>
              <w:t>报告正文</w:t>
            </w:r>
          </w:p>
        </w:tc>
        <w:tc>
          <w:tcPr>
            <w:tcW w:w="372" w:type="dxa"/>
          </w:tcPr>
          <w:p>
            <w:pPr>
              <w:keepLines/>
              <w:tabs>
                <w:tab w:val="right" w:pos="8280"/>
              </w:tabs>
              <w:spacing w:line="560" w:lineRule="exact"/>
              <w:ind w:firstLine="562"/>
              <w:jc w:val="right"/>
              <w:rPr>
                <w:rFonts w:ascii="宋体" w:hAnsi="宋体"/>
                <w:b/>
                <w:szCs w:val="28"/>
              </w:rPr>
            </w:pPr>
          </w:p>
        </w:tc>
        <w:tc>
          <w:tcPr>
            <w:tcW w:w="1554" w:type="dxa"/>
          </w:tcPr>
          <w:p>
            <w:pPr>
              <w:keepLines/>
              <w:tabs>
                <w:tab w:val="right" w:pos="8280"/>
              </w:tabs>
              <w:spacing w:line="560" w:lineRule="exact"/>
              <w:ind w:firstLine="560"/>
              <w:jc w:val="center"/>
              <w:rPr>
                <w:rFonts w:hint="default" w:ascii="宋体" w:hAnsi="宋体" w:eastAsia="宋体"/>
                <w:szCs w:val="28"/>
                <w:lang w:val="en-US" w:eastAsia="zh-CN"/>
              </w:rPr>
            </w:pPr>
            <w:r>
              <w:rPr>
                <w:rFonts w:ascii="宋体" w:hAnsi="宋体"/>
                <w:szCs w:val="28"/>
                <w:highlight w:val="none"/>
              </w:rPr>
              <w:t>1-</w:t>
            </w:r>
            <w:r>
              <w:rPr>
                <w:rFonts w:hint="eastAsia" w:ascii="宋体" w:hAnsi="宋体"/>
                <w:szCs w:val="28"/>
                <w:highlight w:val="none"/>
                <w:lang w:val="en-US" w:eastAsia="zh-CN"/>
              </w:rPr>
              <w:t>16</w:t>
            </w:r>
          </w:p>
        </w:tc>
      </w:tr>
      <w:tr>
        <w:tblPrEx>
          <w:tblLayout w:type="fixed"/>
          <w:tblCellMar>
            <w:top w:w="0" w:type="dxa"/>
            <w:left w:w="108" w:type="dxa"/>
            <w:bottom w:w="0" w:type="dxa"/>
            <w:right w:w="108" w:type="dxa"/>
          </w:tblCellMar>
        </w:tblPrEx>
        <w:trPr>
          <w:trHeight w:val="991" w:hRule="atLeast"/>
          <w:jc w:val="center"/>
        </w:trPr>
        <w:tc>
          <w:tcPr>
            <w:tcW w:w="883" w:type="dxa"/>
          </w:tcPr>
          <w:p>
            <w:pPr>
              <w:keepLines/>
              <w:tabs>
                <w:tab w:val="right" w:pos="8280"/>
              </w:tabs>
              <w:spacing w:line="560" w:lineRule="exact"/>
              <w:ind w:firstLine="0" w:firstLineChars="0"/>
              <w:rPr>
                <w:rFonts w:ascii="宋体" w:hAnsi="宋体"/>
                <w:b/>
                <w:szCs w:val="28"/>
              </w:rPr>
            </w:pPr>
            <w:r>
              <w:rPr>
                <w:rFonts w:hint="eastAsia" w:ascii="宋体" w:hAnsi="宋体"/>
                <w:b/>
                <w:szCs w:val="28"/>
              </w:rPr>
              <w:t>二、</w:t>
            </w:r>
          </w:p>
        </w:tc>
        <w:tc>
          <w:tcPr>
            <w:tcW w:w="5838" w:type="dxa"/>
          </w:tcPr>
          <w:p>
            <w:pPr>
              <w:keepLines/>
              <w:tabs>
                <w:tab w:val="right" w:pos="8280"/>
              </w:tabs>
              <w:spacing w:line="560" w:lineRule="exact"/>
              <w:ind w:firstLine="0" w:firstLineChars="0"/>
              <w:rPr>
                <w:rFonts w:ascii="宋体" w:hAnsi="宋体"/>
                <w:b/>
                <w:szCs w:val="28"/>
              </w:rPr>
            </w:pPr>
            <w:r>
              <w:rPr>
                <w:rFonts w:hint="eastAsia" w:ascii="宋体" w:hAnsi="宋体"/>
                <w:b/>
                <w:szCs w:val="28"/>
              </w:rPr>
              <w:t>报告附件</w:t>
            </w:r>
          </w:p>
        </w:tc>
        <w:tc>
          <w:tcPr>
            <w:tcW w:w="372" w:type="dxa"/>
          </w:tcPr>
          <w:p>
            <w:pPr>
              <w:keepLines/>
              <w:tabs>
                <w:tab w:val="right" w:pos="8280"/>
              </w:tabs>
              <w:spacing w:line="560" w:lineRule="exact"/>
              <w:ind w:firstLine="562"/>
              <w:jc w:val="right"/>
              <w:rPr>
                <w:rFonts w:ascii="宋体" w:hAnsi="宋体"/>
                <w:b/>
                <w:szCs w:val="28"/>
              </w:rPr>
            </w:pPr>
          </w:p>
        </w:tc>
        <w:tc>
          <w:tcPr>
            <w:tcW w:w="1554" w:type="dxa"/>
          </w:tcPr>
          <w:p>
            <w:pPr>
              <w:keepLines/>
              <w:tabs>
                <w:tab w:val="right" w:pos="8280"/>
              </w:tabs>
              <w:spacing w:line="560" w:lineRule="exact"/>
              <w:ind w:firstLine="0" w:firstLineChars="0"/>
              <w:rPr>
                <w:rFonts w:ascii="宋体" w:hAnsi="宋体"/>
                <w:b/>
                <w:szCs w:val="28"/>
                <w:highlight w:val="yellow"/>
              </w:rPr>
            </w:pPr>
          </w:p>
        </w:tc>
      </w:tr>
      <w:tr>
        <w:tblPrEx>
          <w:tblLayout w:type="fixed"/>
          <w:tblCellMar>
            <w:top w:w="0" w:type="dxa"/>
            <w:left w:w="108" w:type="dxa"/>
            <w:bottom w:w="0" w:type="dxa"/>
            <w:right w:w="108" w:type="dxa"/>
          </w:tblCellMar>
        </w:tblPrEx>
        <w:trPr>
          <w:jc w:val="center"/>
        </w:trPr>
        <w:tc>
          <w:tcPr>
            <w:tcW w:w="883" w:type="dxa"/>
            <w:vAlign w:val="center"/>
          </w:tcPr>
          <w:p>
            <w:pPr>
              <w:keepLines/>
              <w:tabs>
                <w:tab w:val="right" w:pos="8280"/>
              </w:tabs>
              <w:spacing w:line="560" w:lineRule="exact"/>
              <w:ind w:firstLine="0" w:firstLineChars="0"/>
              <w:rPr>
                <w:rFonts w:ascii="宋体" w:hAnsi="宋体"/>
                <w:szCs w:val="28"/>
              </w:rPr>
            </w:pPr>
            <w:r>
              <w:rPr>
                <w:rFonts w:hint="eastAsia" w:ascii="宋体" w:hAnsi="宋体"/>
                <w:szCs w:val="28"/>
              </w:rPr>
              <w:t>1、</w:t>
            </w:r>
          </w:p>
          <w:p>
            <w:pPr>
              <w:keepLines/>
              <w:tabs>
                <w:tab w:val="right" w:pos="8280"/>
              </w:tabs>
              <w:spacing w:line="560" w:lineRule="exact"/>
              <w:ind w:firstLine="0" w:firstLineChars="0"/>
              <w:rPr>
                <w:rFonts w:ascii="宋体" w:hAnsi="宋体"/>
                <w:szCs w:val="28"/>
              </w:rPr>
            </w:pPr>
          </w:p>
          <w:p>
            <w:pPr>
              <w:keepLines/>
              <w:tabs>
                <w:tab w:val="right" w:pos="8280"/>
              </w:tabs>
              <w:spacing w:line="560" w:lineRule="exact"/>
              <w:ind w:firstLine="0" w:firstLineChars="0"/>
              <w:rPr>
                <w:rFonts w:ascii="宋体" w:hAnsi="宋体"/>
                <w:szCs w:val="28"/>
              </w:rPr>
            </w:pPr>
          </w:p>
        </w:tc>
        <w:tc>
          <w:tcPr>
            <w:tcW w:w="5838" w:type="dxa"/>
          </w:tcPr>
          <w:p>
            <w:pPr>
              <w:keepLines/>
              <w:tabs>
                <w:tab w:val="right" w:pos="8280"/>
              </w:tabs>
              <w:spacing w:line="560" w:lineRule="exact"/>
              <w:ind w:firstLine="0" w:firstLineChars="0"/>
              <w:jc w:val="left"/>
              <w:rPr>
                <w:rFonts w:hint="eastAsia"/>
                <w:b/>
                <w:sz w:val="32"/>
                <w:szCs w:val="32"/>
              </w:rPr>
            </w:pPr>
            <w:r>
              <w:rPr>
                <w:rFonts w:hint="eastAsia"/>
                <w:b/>
                <w:sz w:val="32"/>
                <w:szCs w:val="32"/>
              </w:rPr>
              <w:t>安居国家湿地公园内生态恢复保护建设项目绩效评价指标表</w:t>
            </w:r>
          </w:p>
          <w:p>
            <w:pPr>
              <w:keepLines/>
              <w:tabs>
                <w:tab w:val="right" w:pos="8280"/>
              </w:tabs>
              <w:spacing w:line="560" w:lineRule="exact"/>
              <w:ind w:firstLine="0" w:firstLineChars="0"/>
              <w:jc w:val="left"/>
              <w:rPr>
                <w:rFonts w:ascii="宋体" w:hAnsi="宋体"/>
                <w:b/>
                <w:szCs w:val="28"/>
              </w:rPr>
            </w:pPr>
          </w:p>
        </w:tc>
        <w:tc>
          <w:tcPr>
            <w:tcW w:w="372" w:type="dxa"/>
          </w:tcPr>
          <w:p>
            <w:pPr>
              <w:keepLines/>
              <w:tabs>
                <w:tab w:val="right" w:pos="8280"/>
              </w:tabs>
              <w:spacing w:line="560" w:lineRule="exact"/>
              <w:ind w:firstLine="562"/>
              <w:jc w:val="right"/>
              <w:rPr>
                <w:rFonts w:ascii="宋体" w:hAnsi="宋体"/>
                <w:b/>
                <w:szCs w:val="28"/>
              </w:rPr>
            </w:pPr>
          </w:p>
          <w:p>
            <w:pPr>
              <w:keepLines/>
              <w:tabs>
                <w:tab w:val="right" w:pos="8280"/>
              </w:tabs>
              <w:spacing w:line="560" w:lineRule="exact"/>
              <w:ind w:firstLine="562"/>
              <w:jc w:val="right"/>
              <w:rPr>
                <w:rFonts w:ascii="宋体" w:hAnsi="宋体"/>
                <w:b/>
                <w:szCs w:val="28"/>
              </w:rPr>
            </w:pPr>
          </w:p>
        </w:tc>
        <w:tc>
          <w:tcPr>
            <w:tcW w:w="1554" w:type="dxa"/>
          </w:tcPr>
          <w:p>
            <w:pPr>
              <w:keepLines/>
              <w:tabs>
                <w:tab w:val="right" w:pos="8280"/>
              </w:tabs>
              <w:spacing w:line="560" w:lineRule="exact"/>
              <w:ind w:firstLine="560"/>
              <w:jc w:val="center"/>
              <w:rPr>
                <w:rFonts w:ascii="宋体" w:hAnsi="宋体"/>
                <w:szCs w:val="28"/>
                <w:highlight w:val="yellow"/>
              </w:rPr>
            </w:pPr>
          </w:p>
        </w:tc>
      </w:tr>
    </w:tbl>
    <w:p>
      <w:pPr>
        <w:spacing w:line="560" w:lineRule="exact"/>
        <w:ind w:firstLine="723"/>
        <w:rPr>
          <w:rFonts w:ascii="宋体" w:hAnsi="宋体"/>
          <w:b/>
          <w:bCs/>
          <w:sz w:val="36"/>
          <w:szCs w:val="32"/>
        </w:rPr>
      </w:pPr>
    </w:p>
    <w:p>
      <w:pPr>
        <w:ind w:firstLine="723"/>
        <w:jc w:val="center"/>
        <w:rPr>
          <w:rFonts w:ascii="宋体" w:hAnsi="宋体"/>
          <w:b/>
          <w:bCs/>
          <w:sz w:val="36"/>
          <w:szCs w:val="32"/>
        </w:rPr>
      </w:pPr>
    </w:p>
    <w:p>
      <w:pPr>
        <w:tabs>
          <w:tab w:val="center" w:pos="4514"/>
        </w:tabs>
        <w:ind w:firstLine="720"/>
        <w:rPr>
          <w:rFonts w:ascii="宋体" w:hAnsi="宋体"/>
          <w:sz w:val="36"/>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r>
        <w:rPr>
          <w:rFonts w:ascii="宋体" w:hAnsi="宋体"/>
          <w:sz w:val="36"/>
          <w:szCs w:val="32"/>
        </w:rPr>
        <w:tab/>
      </w:r>
    </w:p>
    <w:p>
      <w:pPr>
        <w:spacing w:line="560" w:lineRule="exact"/>
        <w:ind w:left="560" w:firstLine="0" w:firstLineChars="0"/>
        <w:jc w:val="center"/>
        <w:rPr>
          <w:b/>
          <w:sz w:val="36"/>
          <w:szCs w:val="36"/>
        </w:rPr>
      </w:pPr>
      <w:r>
        <w:rPr>
          <w:rFonts w:hint="eastAsia"/>
          <w:b/>
          <w:sz w:val="36"/>
          <w:szCs w:val="36"/>
        </w:rPr>
        <w:t>安居国家湿地公园内生态恢复保护建设项目</w:t>
      </w:r>
    </w:p>
    <w:p>
      <w:pPr>
        <w:spacing w:line="560" w:lineRule="exact"/>
        <w:ind w:left="560" w:firstLine="0" w:firstLineChars="0"/>
        <w:jc w:val="center"/>
        <w:rPr>
          <w:b/>
          <w:sz w:val="36"/>
          <w:szCs w:val="36"/>
        </w:rPr>
      </w:pPr>
      <w:r>
        <w:rPr>
          <w:rFonts w:hint="eastAsia"/>
          <w:b/>
          <w:sz w:val="36"/>
          <w:szCs w:val="36"/>
        </w:rPr>
        <w:t>绩效评价报告</w:t>
      </w:r>
    </w:p>
    <w:p>
      <w:pPr>
        <w:spacing w:line="560" w:lineRule="exact"/>
        <w:ind w:firstLine="640"/>
        <w:jc w:val="center"/>
        <w:rPr>
          <w:rFonts w:ascii="宋体" w:hAnsi="宋体" w:cs="仿宋"/>
          <w:sz w:val="32"/>
          <w:szCs w:val="32"/>
        </w:rPr>
      </w:pPr>
    </w:p>
    <w:p>
      <w:pPr>
        <w:autoSpaceDE w:val="0"/>
        <w:autoSpaceDN w:val="0"/>
        <w:adjustRightInd w:val="0"/>
        <w:snapToGrid w:val="0"/>
        <w:spacing w:line="560" w:lineRule="exact"/>
        <w:ind w:firstLine="422"/>
        <w:jc w:val="center"/>
        <w:rPr>
          <w:rFonts w:ascii="宋体" w:hAnsi="宋体"/>
          <w:b/>
          <w:kern w:val="0"/>
          <w:sz w:val="21"/>
          <w:szCs w:val="21"/>
        </w:rPr>
      </w:pPr>
      <w:r>
        <w:rPr>
          <w:rFonts w:hint="eastAsia" w:ascii="宋体" w:hAnsi="宋体"/>
          <w:b/>
          <w:kern w:val="0"/>
          <w:sz w:val="21"/>
          <w:szCs w:val="21"/>
        </w:rPr>
        <w:t>凯弘会所咨[2024]</w:t>
      </w:r>
      <w:r>
        <w:rPr>
          <w:rFonts w:hint="eastAsia" w:ascii="宋体" w:hAnsi="宋体"/>
          <w:b/>
          <w:kern w:val="0"/>
          <w:sz w:val="21"/>
          <w:szCs w:val="21"/>
          <w:lang w:val="en-US" w:eastAsia="zh-CN"/>
        </w:rPr>
        <w:t>015</w:t>
      </w:r>
      <w:r>
        <w:rPr>
          <w:rFonts w:hint="eastAsia" w:ascii="宋体" w:hAnsi="宋体"/>
          <w:b/>
          <w:kern w:val="0"/>
          <w:sz w:val="21"/>
          <w:szCs w:val="21"/>
        </w:rPr>
        <w:t>号</w:t>
      </w:r>
    </w:p>
    <w:p>
      <w:pPr>
        <w:spacing w:line="560" w:lineRule="exact"/>
        <w:ind w:firstLine="560"/>
        <w:jc w:val="left"/>
        <w:rPr>
          <w:rFonts w:ascii="宋体" w:hAnsi="宋体" w:cs="仿宋"/>
          <w:szCs w:val="28"/>
        </w:rPr>
      </w:pPr>
    </w:p>
    <w:p>
      <w:pPr>
        <w:spacing w:line="560" w:lineRule="exact"/>
        <w:ind w:firstLine="560"/>
        <w:jc w:val="left"/>
        <w:rPr>
          <w:rFonts w:ascii="宋体" w:hAnsi="宋体" w:cs="仿宋"/>
          <w:szCs w:val="28"/>
        </w:rPr>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pPr>
    </w:p>
    <w:p>
      <w:pPr>
        <w:spacing w:line="560" w:lineRule="exact"/>
        <w:ind w:firstLine="560"/>
        <w:rPr>
          <w:rFonts w:ascii="宋体" w:hAnsi="宋体"/>
          <w:szCs w:val="28"/>
        </w:rPr>
      </w:pPr>
      <w:r>
        <w:rPr>
          <w:rFonts w:hint="eastAsia" w:ascii="宋体" w:hAnsi="宋体"/>
          <w:szCs w:val="28"/>
        </w:rPr>
        <w:t>我们接受财政局委托</w:t>
      </w:r>
      <w:r>
        <w:rPr>
          <w:rFonts w:hint="eastAsia" w:ascii="宋体" w:hAnsi="宋体"/>
          <w:szCs w:val="28"/>
          <w:lang w:eastAsia="zh-CN"/>
        </w:rPr>
        <w:t>，</w:t>
      </w:r>
      <w:r>
        <w:rPr>
          <w:rFonts w:hint="eastAsia" w:ascii="宋体" w:hAnsi="宋体"/>
          <w:szCs w:val="28"/>
        </w:rPr>
        <w:t>于2024年6月3日至2024年6月28日对安居国家湿地公园内生态恢复保护建设项目进行了绩效评价。现将评价工作报告如下：</w:t>
      </w:r>
    </w:p>
    <w:p>
      <w:pPr>
        <w:spacing w:line="560" w:lineRule="exact"/>
        <w:ind w:firstLine="562"/>
        <w:jc w:val="center"/>
        <w:rPr>
          <w:rFonts w:ascii="宋体" w:hAnsi="宋体"/>
          <w:b/>
          <w:bCs/>
          <w:szCs w:val="28"/>
        </w:rPr>
      </w:pPr>
      <w:r>
        <w:rPr>
          <w:rFonts w:hint="eastAsia" w:ascii="宋体" w:hAnsi="宋体"/>
          <w:b/>
          <w:bCs/>
          <w:szCs w:val="28"/>
        </w:rPr>
        <w:t>摘要</w:t>
      </w:r>
    </w:p>
    <w:p>
      <w:pPr>
        <w:pStyle w:val="25"/>
        <w:snapToGrid w:val="0"/>
        <w:spacing w:line="560" w:lineRule="exact"/>
        <w:ind w:left="562" w:firstLine="0" w:firstLineChars="0"/>
        <w:outlineLvl w:val="0"/>
        <w:rPr>
          <w:rFonts w:ascii="宋体" w:hAnsi="宋体"/>
          <w:b/>
          <w:szCs w:val="28"/>
        </w:rPr>
      </w:pPr>
      <w:r>
        <w:rPr>
          <w:rFonts w:ascii="宋体" w:hAnsi="宋体"/>
          <w:b/>
          <w:szCs w:val="28"/>
        </w:rPr>
        <w:t>一、基本情况</w:t>
      </w:r>
    </w:p>
    <w:p>
      <w:pPr>
        <w:snapToGrid w:val="0"/>
        <w:spacing w:line="560" w:lineRule="atLeast"/>
        <w:ind w:firstLine="560"/>
        <w:rPr>
          <w:color w:val="000000"/>
          <w:szCs w:val="28"/>
        </w:rPr>
      </w:pPr>
      <w:r>
        <w:rPr>
          <w:rFonts w:hint="eastAsia" w:ascii="宋体" w:hAnsi="宋体"/>
          <w:szCs w:val="28"/>
        </w:rPr>
        <w:t>根据《中华人民共和国湿地保护法》、《重庆市湿地保护管理条例(草案)》，</w:t>
      </w:r>
      <w:r>
        <w:rPr>
          <w:rFonts w:hint="eastAsia"/>
          <w:color w:val="000000"/>
          <w:szCs w:val="28"/>
        </w:rPr>
        <w:t>《中华人民共和国国民经济和社会发展第十四个五年规划和2035年远景目标纲要》指出：规划纲要中提到要坚持绿水青山就是金山银山理念，坚持尊重自然、顺应自然、保护自然，坚持节约优先、保护优先、自然恢复为主，守住自然生态安全边界。深入实施 可持续发展战略，完善生态文明领域统筹协调机制，构建生态文明体系，促进经济社会发展全面绿色转型。</w:t>
      </w:r>
    </w:p>
    <w:p>
      <w:pPr>
        <w:snapToGrid w:val="0"/>
        <w:spacing w:line="560" w:lineRule="atLeast"/>
        <w:ind w:firstLine="560"/>
        <w:rPr>
          <w:color w:val="000000"/>
          <w:szCs w:val="28"/>
        </w:rPr>
      </w:pPr>
      <w:r>
        <w:rPr>
          <w:rFonts w:hint="eastAsia"/>
          <w:color w:val="000000"/>
          <w:szCs w:val="28"/>
        </w:rPr>
        <w:t>2021年习近平总书记主持召开了全面推动长江经济带发展座谈会并发表重要讲话。要在严格保护生态环境的前提下，全面提高资源利用效率，加快推动绿色低碳发展，努力建设人与自然和谐共生的绿色发展示范带。要加快建立生态产品价值实现机制，让保护修复生态环境获得合理回报，让破坏生态环境付出相应代价。</w:t>
      </w:r>
    </w:p>
    <w:p>
      <w:pPr>
        <w:snapToGrid w:val="0"/>
        <w:spacing w:line="560" w:lineRule="atLeast"/>
        <w:ind w:firstLine="560"/>
        <w:rPr>
          <w:rFonts w:ascii="宋体" w:hAnsi="宋体"/>
          <w:szCs w:val="28"/>
        </w:rPr>
      </w:pPr>
      <w:r>
        <w:rPr>
          <w:rFonts w:hint="eastAsia" w:ascii="宋体" w:hAnsi="宋体"/>
          <w:szCs w:val="28"/>
        </w:rPr>
        <w:t>为恢复扩大湿地资源，提高湿地生态质量，保护生物多样性，经过充分研究、实地勘察和项目前期论证，批准实施“安居国家湿地公园内生态恢复保护建设项目”。</w:t>
      </w:r>
    </w:p>
    <w:p>
      <w:pPr>
        <w:snapToGrid w:val="0"/>
        <w:spacing w:line="560" w:lineRule="atLeast"/>
        <w:ind w:firstLine="560"/>
        <w:rPr>
          <w:rFonts w:ascii="宋体" w:hAnsi="宋体"/>
          <w:szCs w:val="28"/>
        </w:rPr>
      </w:pPr>
      <w:r>
        <w:rPr>
          <w:rFonts w:hint="eastAsia" w:ascii="宋体" w:hAnsi="宋体"/>
          <w:szCs w:val="28"/>
        </w:rPr>
        <w:t>安居国家湿地公园内生态恢复保护建设项目建设地址为重庆市铜梁区安居镇安居国家湿地公园内。</w:t>
      </w:r>
    </w:p>
    <w:p>
      <w:pPr>
        <w:snapToGrid w:val="0"/>
        <w:spacing w:line="560" w:lineRule="atLeast"/>
        <w:ind w:firstLine="560"/>
        <w:rPr>
          <w:rFonts w:ascii="宋体" w:hAnsi="宋体"/>
          <w:szCs w:val="28"/>
        </w:rPr>
      </w:pPr>
      <w:r>
        <w:rPr>
          <w:rFonts w:hint="eastAsia" w:ascii="宋体" w:hAnsi="宋体"/>
          <w:szCs w:val="28"/>
        </w:rPr>
        <w:t>本次对安居国家湿地公园内生态恢复保护建设项目实施效果进行客观、公正的评价，通过绩效评价，找出实施过程中存在的问题，总结经验做法与教训。</w:t>
      </w:r>
    </w:p>
    <w:p>
      <w:pPr>
        <w:pStyle w:val="25"/>
        <w:snapToGrid w:val="0"/>
        <w:spacing w:line="560" w:lineRule="exact"/>
        <w:ind w:left="562" w:firstLine="0" w:firstLineChars="0"/>
        <w:outlineLvl w:val="0"/>
        <w:rPr>
          <w:rFonts w:ascii="宋体" w:hAnsi="宋体"/>
          <w:b/>
          <w:szCs w:val="28"/>
        </w:rPr>
      </w:pPr>
      <w:r>
        <w:rPr>
          <w:rFonts w:hint="eastAsia" w:ascii="宋体" w:hAnsi="宋体"/>
          <w:b/>
          <w:szCs w:val="28"/>
        </w:rPr>
        <w:t>二、绩效评价结果</w:t>
      </w:r>
    </w:p>
    <w:p>
      <w:pPr>
        <w:snapToGrid w:val="0"/>
        <w:spacing w:line="560" w:lineRule="atLeast"/>
        <w:ind w:firstLine="560"/>
        <w:rPr>
          <w:rFonts w:ascii="宋体" w:hAnsi="宋体"/>
          <w:szCs w:val="28"/>
        </w:rPr>
      </w:pPr>
      <w:r>
        <w:rPr>
          <w:rFonts w:hint="eastAsia" w:ascii="宋体" w:hAnsi="宋体"/>
          <w:szCs w:val="28"/>
        </w:rPr>
        <w:t>经对安居国家湿地公园内生态恢复保护建设项目投入类、管理类、产出类、效益类四个方面进行综合评价，安居国家湿地公园内生态恢复保护建设项目绩效评价得分为97分，评定等级为“优”。</w:t>
      </w:r>
    </w:p>
    <w:p>
      <w:pPr>
        <w:pStyle w:val="25"/>
        <w:snapToGrid w:val="0"/>
        <w:spacing w:line="560" w:lineRule="exact"/>
        <w:ind w:left="562" w:firstLine="0" w:firstLineChars="0"/>
        <w:outlineLvl w:val="0"/>
        <w:rPr>
          <w:rFonts w:ascii="宋体" w:hAnsi="宋体"/>
          <w:b/>
          <w:szCs w:val="28"/>
        </w:rPr>
      </w:pPr>
      <w:r>
        <w:rPr>
          <w:rFonts w:hint="eastAsia" w:ascii="宋体" w:hAnsi="宋体"/>
          <w:b/>
          <w:szCs w:val="28"/>
        </w:rPr>
        <w:t>三、发现的主要问题及建议</w:t>
      </w:r>
    </w:p>
    <w:p>
      <w:pPr>
        <w:snapToGrid w:val="0"/>
        <w:spacing w:line="560" w:lineRule="atLeast"/>
        <w:ind w:firstLine="560"/>
        <w:rPr>
          <w:rFonts w:ascii="宋体" w:hAnsi="宋体"/>
          <w:szCs w:val="28"/>
        </w:rPr>
      </w:pPr>
      <w:r>
        <w:rPr>
          <w:rFonts w:hint="eastAsia" w:ascii="宋体" w:hAnsi="宋体"/>
          <w:szCs w:val="28"/>
        </w:rPr>
        <w:t>1</w:t>
      </w:r>
      <w:r>
        <w:rPr>
          <w:rFonts w:hint="eastAsia" w:ascii="宋体" w:hAnsi="宋体"/>
          <w:szCs w:val="28"/>
          <w:lang w:eastAsia="zh-CN"/>
        </w:rPr>
        <w:t>.</w:t>
      </w:r>
      <w:r>
        <w:rPr>
          <w:rFonts w:hint="eastAsia" w:ascii="宋体" w:hAnsi="宋体"/>
          <w:szCs w:val="28"/>
        </w:rPr>
        <w:t>社会效益指标没细化无法衡量。《铜梁区安居国家湿地公园内生态恢复保护建设项目工作绩效目标表》社会效益指标没细化无法衡量。</w:t>
      </w:r>
    </w:p>
    <w:p>
      <w:pPr>
        <w:snapToGrid w:val="0"/>
        <w:spacing w:line="560" w:lineRule="atLeast"/>
        <w:ind w:firstLine="560"/>
        <w:rPr>
          <w:rFonts w:ascii="宋体" w:hAnsi="宋体"/>
          <w:szCs w:val="28"/>
        </w:rPr>
      </w:pPr>
      <w:r>
        <w:rPr>
          <w:rFonts w:hint="eastAsia" w:ascii="宋体" w:hAnsi="宋体"/>
          <w:szCs w:val="28"/>
        </w:rPr>
        <w:t>建议按照《铜梁区区级政策和项目预算绩效管理办法》的要求，指标值用数字或合格、达标等第三方可衡量的文字表示。指标值为文字的，指标性质用“无”表示。绩效目标细化分解为具体的绩效指标。</w:t>
      </w:r>
    </w:p>
    <w:p>
      <w:pPr>
        <w:snapToGrid w:val="0"/>
        <w:spacing w:line="560" w:lineRule="atLeast"/>
        <w:ind w:firstLine="560"/>
        <w:rPr>
          <w:rFonts w:ascii="宋体" w:hAnsi="宋体"/>
          <w:szCs w:val="28"/>
        </w:rPr>
      </w:pPr>
      <w:r>
        <w:rPr>
          <w:rFonts w:hint="eastAsia" w:ascii="宋体" w:hAnsi="宋体"/>
          <w:szCs w:val="28"/>
        </w:rPr>
        <w:t>2</w:t>
      </w:r>
      <w:r>
        <w:rPr>
          <w:rFonts w:hint="eastAsia" w:ascii="宋体" w:hAnsi="宋体"/>
          <w:szCs w:val="28"/>
          <w:lang w:eastAsia="zh-CN"/>
        </w:rPr>
        <w:t>.</w:t>
      </w:r>
      <w:r>
        <w:rPr>
          <w:rFonts w:hint="eastAsia" w:ascii="宋体" w:hAnsi="宋体"/>
          <w:szCs w:val="28"/>
        </w:rPr>
        <w:t>湿地保护人员不充足，湿地巡护监管不够全面彻底。经现场查勘公园内卫生环境及项目后期的维护有待加强。</w:t>
      </w:r>
    </w:p>
    <w:p>
      <w:pPr>
        <w:snapToGrid w:val="0"/>
        <w:spacing w:line="560" w:lineRule="atLeast"/>
        <w:ind w:firstLine="560"/>
        <w:rPr>
          <w:rFonts w:ascii="宋体" w:hAnsi="宋体"/>
          <w:szCs w:val="28"/>
        </w:rPr>
      </w:pPr>
      <w:r>
        <w:rPr>
          <w:rFonts w:hint="eastAsia" w:ascii="宋体" w:hAnsi="宋体"/>
          <w:szCs w:val="28"/>
        </w:rPr>
        <w:t>建议进一步增加更加专业的湿地保护、湿地巡护监管人员，增加湿地巡护监管人次，从而保障湿地保护、湿地巡护监管工作更加全面彻底</w:t>
      </w:r>
      <w:r>
        <w:rPr>
          <w:rFonts w:hint="eastAsia" w:ascii="宋体" w:hAnsi="宋体"/>
          <w:szCs w:val="28"/>
          <w:lang w:eastAsia="zh-CN"/>
        </w:rPr>
        <w:t>地</w:t>
      </w:r>
      <w:r>
        <w:rPr>
          <w:rFonts w:hint="eastAsia" w:ascii="宋体" w:hAnsi="宋体"/>
          <w:szCs w:val="28"/>
        </w:rPr>
        <w:t>开展。</w:t>
      </w:r>
      <w:r>
        <w:rPr>
          <w:rFonts w:ascii="宋体" w:hAnsi="宋体"/>
          <w:szCs w:val="28"/>
        </w:rPr>
        <w:br w:type="page"/>
      </w:r>
    </w:p>
    <w:p>
      <w:pPr>
        <w:spacing w:line="560" w:lineRule="exact"/>
        <w:ind w:left="560" w:firstLine="0" w:firstLineChars="0"/>
        <w:jc w:val="center"/>
        <w:rPr>
          <w:b/>
          <w:sz w:val="32"/>
          <w:szCs w:val="32"/>
        </w:rPr>
      </w:pPr>
    </w:p>
    <w:p>
      <w:pPr>
        <w:spacing w:line="560" w:lineRule="exact"/>
        <w:ind w:firstLine="643"/>
        <w:jc w:val="center"/>
        <w:rPr>
          <w:b/>
          <w:sz w:val="32"/>
          <w:szCs w:val="32"/>
        </w:rPr>
      </w:pPr>
      <w:r>
        <w:rPr>
          <w:rFonts w:hint="eastAsia"/>
          <w:b/>
          <w:sz w:val="32"/>
          <w:szCs w:val="32"/>
        </w:rPr>
        <w:t>安居国家湿地公园内生态恢复保护建设项目</w:t>
      </w:r>
    </w:p>
    <w:p>
      <w:pPr>
        <w:spacing w:line="560" w:lineRule="exact"/>
        <w:ind w:firstLine="643"/>
        <w:jc w:val="center"/>
        <w:rPr>
          <w:rFonts w:ascii="宋体" w:hAnsi="宋体" w:cs="仿宋"/>
          <w:sz w:val="32"/>
          <w:szCs w:val="32"/>
        </w:rPr>
      </w:pPr>
      <w:r>
        <w:rPr>
          <w:rFonts w:hint="eastAsia"/>
          <w:b/>
          <w:sz w:val="32"/>
          <w:szCs w:val="32"/>
        </w:rPr>
        <w:t>绩效评价报告</w:t>
      </w:r>
    </w:p>
    <w:p>
      <w:pPr>
        <w:autoSpaceDE w:val="0"/>
        <w:autoSpaceDN w:val="0"/>
        <w:adjustRightInd w:val="0"/>
        <w:snapToGrid w:val="0"/>
        <w:spacing w:line="560" w:lineRule="exact"/>
        <w:ind w:firstLine="422"/>
        <w:jc w:val="right"/>
        <w:rPr>
          <w:rFonts w:ascii="宋体" w:hAnsi="宋体"/>
          <w:b/>
          <w:kern w:val="0"/>
          <w:sz w:val="21"/>
          <w:szCs w:val="21"/>
        </w:rPr>
      </w:pPr>
      <w:r>
        <w:rPr>
          <w:rFonts w:hint="eastAsia" w:ascii="宋体" w:hAnsi="宋体"/>
          <w:b/>
          <w:kern w:val="0"/>
          <w:sz w:val="21"/>
          <w:szCs w:val="21"/>
        </w:rPr>
        <w:t>凯弘会所咨[2024]</w:t>
      </w:r>
      <w:r>
        <w:rPr>
          <w:rFonts w:hint="eastAsia" w:ascii="宋体" w:hAnsi="宋体"/>
          <w:b/>
          <w:kern w:val="0"/>
          <w:sz w:val="21"/>
          <w:szCs w:val="21"/>
          <w:lang w:val="en-US" w:eastAsia="zh-CN"/>
        </w:rPr>
        <w:t>015</w:t>
      </w:r>
      <w:r>
        <w:rPr>
          <w:rFonts w:hint="eastAsia" w:ascii="宋体" w:hAnsi="宋体"/>
          <w:b/>
          <w:kern w:val="0"/>
          <w:sz w:val="21"/>
          <w:szCs w:val="21"/>
        </w:rPr>
        <w:t>号</w:t>
      </w:r>
    </w:p>
    <w:p>
      <w:pPr>
        <w:snapToGrid w:val="0"/>
        <w:spacing w:before="312" w:beforeLines="100" w:line="560" w:lineRule="exact"/>
        <w:ind w:firstLine="0" w:firstLineChars="0"/>
        <w:jc w:val="left"/>
        <w:outlineLvl w:val="0"/>
        <w:rPr>
          <w:rFonts w:ascii="宋体" w:hAnsi="宋体"/>
          <w:b/>
          <w:szCs w:val="28"/>
        </w:rPr>
      </w:pPr>
      <w:r>
        <w:rPr>
          <w:rFonts w:hint="eastAsia" w:ascii="宋体" w:hAnsi="宋体"/>
          <w:b/>
          <w:szCs w:val="28"/>
        </w:rPr>
        <w:t>重庆市铜梁区财政局：</w:t>
      </w:r>
    </w:p>
    <w:p>
      <w:pPr>
        <w:snapToGrid w:val="0"/>
        <w:spacing w:line="560" w:lineRule="atLeast"/>
        <w:ind w:firstLine="560"/>
        <w:rPr>
          <w:rFonts w:ascii="宋体" w:hAnsi="宋体"/>
          <w:szCs w:val="28"/>
        </w:rPr>
      </w:pPr>
      <w:r>
        <w:rPr>
          <w:rFonts w:hint="eastAsia" w:ascii="宋体" w:hAnsi="宋体"/>
          <w:szCs w:val="28"/>
        </w:rPr>
        <w:t>我们受贵局委托，对“安居国家湿地公园内生态恢复保护建设项目”的绩效进行评价。该评价项目由</w:t>
      </w:r>
      <w:r>
        <w:rPr>
          <w:rFonts w:hint="eastAsia" w:ascii="宋体" w:hAnsi="宋体"/>
          <w:szCs w:val="28"/>
          <w:lang w:eastAsia="zh-CN"/>
        </w:rPr>
        <w:t>重庆市铜梁区</w:t>
      </w:r>
      <w:r>
        <w:rPr>
          <w:rFonts w:hint="eastAsia" w:ascii="宋体" w:hAnsi="宋体"/>
          <w:szCs w:val="28"/>
        </w:rPr>
        <w:t>安居国家湿地公园</w:t>
      </w:r>
      <w:r>
        <w:rPr>
          <w:rFonts w:hint="eastAsia" w:ascii="宋体" w:hAnsi="宋体"/>
          <w:szCs w:val="28"/>
          <w:lang w:eastAsia="zh-CN"/>
        </w:rPr>
        <w:t>管理委员会负</w:t>
      </w:r>
      <w:r>
        <w:rPr>
          <w:rFonts w:hint="eastAsia" w:ascii="宋体" w:hAnsi="宋体"/>
          <w:szCs w:val="28"/>
        </w:rPr>
        <w:t>责提供真实、合法、完整的绩效评价资料。我们的责任是按相关规定和委托协议书的要求出具绩效评价报告，并对绩效评价报告的真实性、合法性负责。在评价过程中，我们遵循客观公正、实事求是的原则，按照财政支出绩效评价管理有关文件规定及标准，结合本项目的实际情况，经过对绩效目标和指标的梳理、实地查验、数据采集、合规性检查、访谈、社会调查等评价程序。现将绩效评价情况报告如下：</w:t>
      </w:r>
    </w:p>
    <w:p>
      <w:pPr>
        <w:pStyle w:val="25"/>
        <w:numPr>
          <w:ilvl w:val="0"/>
          <w:numId w:val="0"/>
        </w:numPr>
        <w:snapToGrid w:val="0"/>
        <w:spacing w:line="560" w:lineRule="exact"/>
        <w:ind w:left="562" w:leftChars="0"/>
        <w:outlineLvl w:val="0"/>
        <w:rPr>
          <w:rFonts w:ascii="宋体" w:hAnsi="宋体"/>
          <w:b/>
          <w:szCs w:val="28"/>
        </w:rPr>
      </w:pPr>
      <w:r>
        <w:rPr>
          <w:rFonts w:hint="eastAsia" w:ascii="宋体" w:hAnsi="宋体"/>
          <w:b/>
          <w:szCs w:val="28"/>
          <w:lang w:val="en-US" w:eastAsia="zh-CN"/>
        </w:rPr>
        <w:t>一、</w:t>
      </w:r>
      <w:r>
        <w:rPr>
          <w:rFonts w:hint="eastAsia" w:ascii="宋体" w:hAnsi="宋体"/>
          <w:b/>
          <w:szCs w:val="28"/>
        </w:rPr>
        <w:t>基本情况</w:t>
      </w:r>
    </w:p>
    <w:p>
      <w:pPr>
        <w:snapToGrid w:val="0"/>
        <w:spacing w:line="560" w:lineRule="atLeast"/>
        <w:ind w:firstLine="560"/>
        <w:rPr>
          <w:rFonts w:ascii="宋体" w:hAnsi="宋体"/>
          <w:szCs w:val="28"/>
        </w:rPr>
      </w:pPr>
      <w:r>
        <w:rPr>
          <w:rFonts w:hint="eastAsia" w:ascii="宋体" w:hAnsi="宋体"/>
          <w:szCs w:val="28"/>
        </w:rPr>
        <w:t>2021年12月7日，根据重庆市铜梁区发展和改革委员会《关于安居国家湿地公园内生态恢复保护建设项目立项的批复》（铜发改委审〔2021〕602号），本项目获批立项，项目业主：重庆市铜梁区安居国家湿地公园</w:t>
      </w:r>
      <w:r>
        <w:rPr>
          <w:rFonts w:hint="eastAsia" w:ascii="宋体" w:hAnsi="宋体"/>
          <w:szCs w:val="28"/>
          <w:lang w:eastAsia="zh-CN"/>
        </w:rPr>
        <w:t>管理委员会</w:t>
      </w:r>
      <w:r>
        <w:rPr>
          <w:rFonts w:hint="eastAsia" w:ascii="宋体" w:hAnsi="宋体"/>
          <w:szCs w:val="28"/>
        </w:rPr>
        <w:t>，项目建设工期：2021年1月至2023年12月。根据重庆市铜梁区发展和改革委员会《关于下达重大区域发展战略建设（长江经济带绿色发展方向)2022年湿地保护和修复等项目中央预算内投资计划的通知》（铜发改委〔2022〕196号）下达投资计划2108万元，其中中央预算内投资1264万元。根据重庆市铜梁区发展和改革委员会《关于安居国家湿地公园内生态恢复保护建设项目投资概算的批复》（铜发改委审〔2023〕338号）下达投资计划2107.53万元，资金来源为中央资金及地方财政资金。</w:t>
      </w:r>
    </w:p>
    <w:p>
      <w:pPr>
        <w:snapToGrid w:val="0"/>
        <w:spacing w:line="560" w:lineRule="atLeast"/>
        <w:ind w:firstLine="560"/>
        <w:rPr>
          <w:rFonts w:ascii="宋体" w:hAnsi="宋体"/>
          <w:szCs w:val="28"/>
        </w:rPr>
      </w:pPr>
      <w:r>
        <w:rPr>
          <w:rFonts w:hint="eastAsia" w:ascii="宋体" w:hAnsi="宋体"/>
          <w:szCs w:val="28"/>
        </w:rPr>
        <w:t>2023年6月26日通过公开招标确定重庆云兴实业有限公司为工程施工单位。工程于2023年6月30日正式开工，合同工期180天， 2023年12月21日完工，2024年1月31日竣工验收。</w:t>
      </w:r>
    </w:p>
    <w:p>
      <w:pPr>
        <w:snapToGrid w:val="0"/>
        <w:spacing w:line="560" w:lineRule="atLeast"/>
        <w:ind w:firstLine="560"/>
        <w:rPr>
          <w:rFonts w:ascii="宋体" w:hAnsi="宋体"/>
          <w:szCs w:val="28"/>
        </w:rPr>
      </w:pPr>
      <w:r>
        <w:rPr>
          <w:rFonts w:hint="eastAsia" w:ascii="宋体" w:hAnsi="宋体"/>
          <w:szCs w:val="28"/>
        </w:rPr>
        <w:t>重庆市铜梁区财政局《关于下达2022年重大区域发展战略建设(长江经济带绿色发展方向)生态环境突出问题整改等项目中央基建投资预算的通知》（铜财〔2022〕495号）下达资金预算1264万元并拨到业主单位1264万元，业主单位支付工程款实行报账制，2023年已使用500.325413万元，年底未使用的余下资金财政已回。2023年项目清算资金500.325413万元。</w:t>
      </w:r>
    </w:p>
    <w:p>
      <w:pPr>
        <w:pStyle w:val="25"/>
        <w:snapToGrid w:val="0"/>
        <w:spacing w:line="560" w:lineRule="exact"/>
        <w:ind w:left="562" w:firstLine="0" w:firstLineChars="0"/>
        <w:outlineLvl w:val="0"/>
        <w:rPr>
          <w:rFonts w:ascii="宋体" w:hAnsi="宋体"/>
          <w:b/>
          <w:szCs w:val="28"/>
        </w:rPr>
      </w:pPr>
      <w:r>
        <w:rPr>
          <w:rFonts w:hint="eastAsia" w:ascii="宋体" w:hAnsi="宋体"/>
          <w:b/>
          <w:szCs w:val="28"/>
        </w:rPr>
        <w:t>二、绩效评价工作情况</w:t>
      </w:r>
    </w:p>
    <w:p>
      <w:pPr>
        <w:snapToGrid w:val="0"/>
        <w:spacing w:line="560" w:lineRule="exact"/>
        <w:ind w:firstLine="560" w:firstLineChars="0"/>
        <w:outlineLvl w:val="1"/>
        <w:rPr>
          <w:rFonts w:ascii="宋体" w:hAnsi="宋体"/>
          <w:b/>
          <w:szCs w:val="28"/>
        </w:rPr>
      </w:pPr>
      <w:r>
        <w:rPr>
          <w:rFonts w:hint="eastAsia" w:ascii="宋体" w:hAnsi="宋体"/>
          <w:b/>
          <w:szCs w:val="28"/>
        </w:rPr>
        <w:t>（一）绩效评价目的和范围</w:t>
      </w:r>
    </w:p>
    <w:p>
      <w:pPr>
        <w:snapToGrid w:val="0"/>
        <w:spacing w:line="560" w:lineRule="atLeast"/>
        <w:ind w:firstLine="560"/>
        <w:rPr>
          <w:rFonts w:ascii="宋体" w:hAnsi="宋体"/>
          <w:szCs w:val="28"/>
        </w:rPr>
      </w:pPr>
      <w:r>
        <w:rPr>
          <w:rFonts w:hint="eastAsia" w:ascii="宋体" w:hAnsi="宋体"/>
          <w:szCs w:val="28"/>
        </w:rPr>
        <w:t>本次绩效评价目的是进一步加强安居国家湿地公园内生态恢复保护建设项目绩效管理，提高财政资金使用效率和管理水平。本次绩效评价范围为安居国家湿地公园内生态恢复保护建设项目的投入、管理、产出和效益情况。</w:t>
      </w:r>
    </w:p>
    <w:p>
      <w:pPr>
        <w:snapToGrid w:val="0"/>
        <w:spacing w:line="560" w:lineRule="exact"/>
        <w:ind w:firstLine="560" w:firstLineChars="0"/>
        <w:outlineLvl w:val="1"/>
        <w:rPr>
          <w:rFonts w:ascii="宋体" w:hAnsi="宋体"/>
          <w:b/>
          <w:szCs w:val="28"/>
        </w:rPr>
      </w:pPr>
      <w:r>
        <w:rPr>
          <w:rFonts w:hint="eastAsia" w:ascii="宋体" w:hAnsi="宋体"/>
          <w:b/>
          <w:szCs w:val="28"/>
        </w:rPr>
        <w:t>（二）绩效评价依据、评价指标体系及其评价方法</w:t>
      </w:r>
    </w:p>
    <w:p>
      <w:pPr>
        <w:snapToGrid w:val="0"/>
        <w:spacing w:line="560" w:lineRule="exact"/>
        <w:ind w:firstLine="561" w:firstLineChars="0"/>
        <w:outlineLvl w:val="3"/>
        <w:rPr>
          <w:rFonts w:ascii="宋体" w:hAnsi="宋体" w:cs="宋体"/>
          <w:b/>
          <w:bCs/>
          <w:kern w:val="0"/>
          <w:szCs w:val="28"/>
        </w:rPr>
      </w:pPr>
      <w:r>
        <w:rPr>
          <w:rFonts w:hint="eastAsia" w:ascii="宋体" w:hAnsi="宋体" w:cs="宋体"/>
          <w:b/>
          <w:bCs/>
          <w:kern w:val="0"/>
          <w:szCs w:val="28"/>
        </w:rPr>
        <w:t>1</w:t>
      </w:r>
      <w:r>
        <w:rPr>
          <w:rFonts w:ascii="宋体" w:hAnsi="宋体" w:cs="宋体"/>
          <w:b/>
          <w:bCs/>
          <w:kern w:val="0"/>
          <w:szCs w:val="28"/>
        </w:rPr>
        <w:t>.</w:t>
      </w:r>
      <w:r>
        <w:rPr>
          <w:rFonts w:hint="eastAsia" w:ascii="宋体" w:hAnsi="宋体" w:cs="宋体"/>
          <w:b/>
          <w:bCs/>
          <w:kern w:val="0"/>
          <w:szCs w:val="28"/>
        </w:rPr>
        <w:t>绩效评价依据</w:t>
      </w:r>
    </w:p>
    <w:p>
      <w:pPr>
        <w:snapToGrid w:val="0"/>
        <w:spacing w:line="560" w:lineRule="exact"/>
        <w:ind w:firstLine="560"/>
        <w:rPr>
          <w:rFonts w:ascii="宋体" w:hAnsi="宋体"/>
          <w:szCs w:val="28"/>
        </w:rPr>
      </w:pPr>
      <w:r>
        <w:rPr>
          <w:rFonts w:hint="eastAsia" w:ascii="宋体" w:hAnsi="宋体"/>
          <w:szCs w:val="28"/>
        </w:rPr>
        <w:t>（1）《中共中央国务院关于全面实施预算绩效管理的意见》；</w:t>
      </w:r>
    </w:p>
    <w:p>
      <w:pPr>
        <w:snapToGrid w:val="0"/>
        <w:spacing w:line="560" w:lineRule="exact"/>
        <w:ind w:firstLine="560"/>
        <w:rPr>
          <w:rFonts w:hint="eastAsia" w:ascii="宋体" w:hAnsi="宋体" w:eastAsia="宋体"/>
          <w:szCs w:val="28"/>
          <w:lang w:eastAsia="zh-CN"/>
        </w:rPr>
      </w:pPr>
      <w:r>
        <w:rPr>
          <w:rFonts w:hint="eastAsia" w:ascii="宋体" w:hAnsi="宋体"/>
          <w:szCs w:val="28"/>
        </w:rPr>
        <w:t>（2）《项目支出绩效评价管理办法》（财预〔2020〕10号）</w:t>
      </w:r>
      <w:r>
        <w:rPr>
          <w:rFonts w:hint="eastAsia" w:ascii="宋体" w:hAnsi="宋体"/>
          <w:szCs w:val="28"/>
          <w:lang w:eastAsia="zh-CN"/>
        </w:rPr>
        <w:t>；</w:t>
      </w:r>
    </w:p>
    <w:p>
      <w:pPr>
        <w:snapToGrid w:val="0"/>
        <w:spacing w:line="560" w:lineRule="exact"/>
        <w:ind w:firstLine="560"/>
        <w:rPr>
          <w:rFonts w:hint="eastAsia" w:ascii="宋体" w:hAnsi="宋体" w:eastAsia="宋体"/>
          <w:szCs w:val="28"/>
          <w:lang w:eastAsia="zh-CN"/>
        </w:rPr>
      </w:pPr>
      <w:r>
        <w:rPr>
          <w:rFonts w:hint="eastAsia" w:ascii="宋体" w:hAnsi="宋体"/>
          <w:szCs w:val="28"/>
        </w:rPr>
        <w:t>（3）《重庆市市级政策和项目预算绩效管理办法（试行）》（渝财绩〔2019〕19号）</w:t>
      </w:r>
      <w:r>
        <w:rPr>
          <w:rFonts w:hint="eastAsia" w:ascii="宋体" w:hAnsi="宋体"/>
          <w:szCs w:val="28"/>
          <w:lang w:eastAsia="zh-CN"/>
        </w:rPr>
        <w:t>；</w:t>
      </w:r>
    </w:p>
    <w:p>
      <w:pPr>
        <w:snapToGrid w:val="0"/>
        <w:spacing w:line="560" w:lineRule="exact"/>
        <w:ind w:firstLine="560"/>
        <w:rPr>
          <w:rFonts w:ascii="宋体" w:hAnsi="宋体"/>
          <w:szCs w:val="28"/>
        </w:rPr>
      </w:pPr>
      <w:r>
        <w:rPr>
          <w:rFonts w:hint="eastAsia" w:ascii="宋体" w:hAnsi="宋体"/>
          <w:szCs w:val="28"/>
        </w:rPr>
        <w:t>（4）《财政局关于修订铜梁区区级政策和项目预算绩效管理办法（暂行）》（铜财〔2022〕411号）；</w:t>
      </w:r>
    </w:p>
    <w:p>
      <w:pPr>
        <w:snapToGrid w:val="0"/>
        <w:spacing w:line="560" w:lineRule="exact"/>
        <w:ind w:firstLine="560"/>
        <w:rPr>
          <w:rFonts w:ascii="宋体" w:hAnsi="宋体"/>
          <w:szCs w:val="28"/>
        </w:rPr>
      </w:pPr>
      <w:r>
        <w:rPr>
          <w:rFonts w:hint="eastAsia" w:ascii="宋体" w:hAnsi="宋体"/>
          <w:szCs w:val="28"/>
        </w:rPr>
        <w:t>（5）安居国家湿地公园内生态恢复保护建设项目相关单位提供的资料；</w:t>
      </w:r>
    </w:p>
    <w:p>
      <w:pPr>
        <w:snapToGrid w:val="0"/>
        <w:spacing w:line="560" w:lineRule="exact"/>
        <w:ind w:firstLine="560"/>
        <w:rPr>
          <w:rFonts w:ascii="宋体" w:hAnsi="宋体"/>
          <w:szCs w:val="28"/>
        </w:rPr>
      </w:pPr>
      <w:r>
        <w:rPr>
          <w:rFonts w:hint="eastAsia" w:ascii="宋体" w:hAnsi="宋体"/>
          <w:szCs w:val="28"/>
        </w:rPr>
        <w:t>（6）其他国家相关法律、法规和规章制度。</w:t>
      </w:r>
    </w:p>
    <w:p>
      <w:pPr>
        <w:snapToGrid w:val="0"/>
        <w:spacing w:line="560" w:lineRule="exact"/>
        <w:ind w:firstLine="561" w:firstLineChars="0"/>
        <w:outlineLvl w:val="3"/>
        <w:rPr>
          <w:b/>
        </w:rPr>
      </w:pPr>
      <w:r>
        <w:rPr>
          <w:rFonts w:hint="eastAsia" w:ascii="宋体" w:hAnsi="宋体" w:cs="宋体"/>
          <w:b/>
          <w:bCs/>
          <w:kern w:val="0"/>
          <w:szCs w:val="28"/>
        </w:rPr>
        <w:t>2.</w:t>
      </w:r>
      <w:r>
        <w:rPr>
          <w:rFonts w:hint="eastAsia"/>
          <w:b/>
        </w:rPr>
        <w:t>绩效评价指标体系的设定原则</w:t>
      </w:r>
    </w:p>
    <w:p>
      <w:pPr>
        <w:snapToGrid w:val="0"/>
        <w:spacing w:line="560" w:lineRule="exact"/>
        <w:ind w:firstLine="561" w:firstLineChars="0"/>
        <w:outlineLvl w:val="3"/>
        <w:rPr>
          <w:rFonts w:ascii="宋体" w:hAnsi="宋体" w:cs="宋体"/>
          <w:kern w:val="0"/>
          <w:szCs w:val="28"/>
        </w:rPr>
      </w:pPr>
      <w:r>
        <w:rPr>
          <w:rFonts w:hint="eastAsia" w:ascii="宋体" w:hAnsi="宋体" w:cs="宋体"/>
          <w:kern w:val="0"/>
          <w:szCs w:val="28"/>
        </w:rPr>
        <w:t>（1）相关性原则。绩效评价指标体系设定应当与绩效目标有直接的联系，能够恰当反映目标的实现程度。</w:t>
      </w:r>
    </w:p>
    <w:p>
      <w:pPr>
        <w:snapToGrid w:val="0"/>
        <w:spacing w:line="560" w:lineRule="exact"/>
        <w:ind w:firstLine="561" w:firstLineChars="0"/>
        <w:outlineLvl w:val="3"/>
        <w:rPr>
          <w:rFonts w:ascii="宋体" w:hAnsi="宋体" w:cs="宋体"/>
          <w:kern w:val="0"/>
          <w:szCs w:val="28"/>
        </w:rPr>
      </w:pPr>
      <w:r>
        <w:rPr>
          <w:rFonts w:hint="eastAsia" w:ascii="宋体" w:hAnsi="宋体" w:cs="宋体"/>
          <w:kern w:val="0"/>
          <w:szCs w:val="28"/>
        </w:rPr>
        <w:t>（2）重要性原则。绩效评价指标体系设定应当根据绩效评价的对象和内容优先使用最具代表性、最能反映评价要求的核心指标。</w:t>
      </w:r>
    </w:p>
    <w:p>
      <w:pPr>
        <w:snapToGrid w:val="0"/>
        <w:spacing w:line="560" w:lineRule="exact"/>
        <w:ind w:firstLine="561" w:firstLineChars="0"/>
        <w:outlineLvl w:val="3"/>
        <w:rPr>
          <w:rFonts w:ascii="宋体" w:hAnsi="宋体" w:cs="宋体"/>
          <w:kern w:val="0"/>
          <w:szCs w:val="28"/>
        </w:rPr>
      </w:pPr>
      <w:r>
        <w:rPr>
          <w:rFonts w:hint="eastAsia" w:ascii="宋体" w:hAnsi="宋体" w:cs="宋体"/>
          <w:kern w:val="0"/>
          <w:szCs w:val="28"/>
        </w:rPr>
        <w:t>（3）可比性原则。绩效评价指标体系设定应当对同类评价对象设定共性的绩效评价指标，以便于评价结果相互比较。</w:t>
      </w:r>
    </w:p>
    <w:p>
      <w:pPr>
        <w:snapToGrid w:val="0"/>
        <w:spacing w:line="560" w:lineRule="exact"/>
        <w:ind w:firstLine="561" w:firstLineChars="0"/>
        <w:outlineLvl w:val="3"/>
        <w:rPr>
          <w:rFonts w:ascii="宋体" w:hAnsi="宋体" w:cs="宋体"/>
          <w:kern w:val="0"/>
          <w:szCs w:val="28"/>
        </w:rPr>
      </w:pPr>
      <w:r>
        <w:rPr>
          <w:rFonts w:hint="eastAsia" w:ascii="宋体" w:hAnsi="宋体" w:cs="宋体"/>
          <w:kern w:val="0"/>
          <w:szCs w:val="28"/>
        </w:rPr>
        <w:t>（4）系统性原则。绩效评价指标体系设定应当将定量指标与定性指标相结合，系统反映项目所产生的社会效益和可持续影响等。绩效评价标准采用定量评分，满分为100分。</w:t>
      </w:r>
    </w:p>
    <w:p>
      <w:pPr>
        <w:snapToGrid w:val="0"/>
        <w:spacing w:line="560" w:lineRule="exact"/>
        <w:ind w:firstLine="561" w:firstLineChars="0"/>
        <w:outlineLvl w:val="3"/>
        <w:rPr>
          <w:rFonts w:ascii="宋体" w:hAnsi="宋体" w:cs="宋体"/>
          <w:b/>
          <w:bCs/>
          <w:kern w:val="0"/>
          <w:szCs w:val="28"/>
        </w:rPr>
      </w:pPr>
      <w:r>
        <w:rPr>
          <w:rFonts w:hint="eastAsia" w:ascii="宋体" w:hAnsi="宋体" w:cs="宋体"/>
          <w:b/>
          <w:bCs/>
          <w:kern w:val="0"/>
          <w:szCs w:val="28"/>
        </w:rPr>
        <w:t>3.绩效评价指标体系</w:t>
      </w:r>
    </w:p>
    <w:p>
      <w:pPr>
        <w:snapToGrid w:val="0"/>
        <w:spacing w:line="560" w:lineRule="atLeast"/>
        <w:ind w:firstLine="560"/>
        <w:rPr>
          <w:rFonts w:ascii="宋体" w:hAnsi="宋体"/>
          <w:szCs w:val="28"/>
        </w:rPr>
      </w:pPr>
      <w:r>
        <w:rPr>
          <w:rFonts w:hint="eastAsia" w:ascii="宋体" w:hAnsi="宋体"/>
          <w:szCs w:val="28"/>
        </w:rPr>
        <w:t>经过充分的调研和讨论，本次绩效评价指标体系设计如下:</w:t>
      </w:r>
    </w:p>
    <w:p>
      <w:pPr>
        <w:snapToGrid w:val="0"/>
        <w:spacing w:line="560" w:lineRule="atLeast"/>
        <w:ind w:firstLine="560"/>
        <w:rPr>
          <w:rFonts w:ascii="宋体" w:hAnsi="宋体"/>
          <w:szCs w:val="28"/>
        </w:rPr>
      </w:pPr>
      <w:r>
        <w:rPr>
          <w:rFonts w:hint="eastAsia" w:ascii="宋体" w:hAnsi="宋体"/>
          <w:szCs w:val="28"/>
        </w:rPr>
        <w:t>一级指标</w:t>
      </w:r>
      <w:r>
        <w:rPr>
          <w:rFonts w:ascii="宋体" w:hAnsi="宋体"/>
          <w:szCs w:val="28"/>
        </w:rPr>
        <w:t>4</w:t>
      </w:r>
      <w:r>
        <w:rPr>
          <w:rFonts w:hint="eastAsia" w:ascii="宋体" w:hAnsi="宋体"/>
          <w:szCs w:val="28"/>
        </w:rPr>
        <w:t>个，分别为：投入、管理、产出、效益；</w:t>
      </w:r>
    </w:p>
    <w:p>
      <w:pPr>
        <w:snapToGrid w:val="0"/>
        <w:spacing w:line="560" w:lineRule="atLeast"/>
        <w:ind w:firstLine="560"/>
        <w:rPr>
          <w:rFonts w:ascii="宋体" w:hAnsi="宋体"/>
          <w:szCs w:val="28"/>
        </w:rPr>
      </w:pPr>
      <w:r>
        <w:rPr>
          <w:rFonts w:hint="eastAsia" w:ascii="宋体" w:hAnsi="宋体"/>
          <w:szCs w:val="28"/>
        </w:rPr>
        <w:t>二级指标</w:t>
      </w:r>
      <w:r>
        <w:rPr>
          <w:rFonts w:ascii="宋体" w:hAnsi="宋体"/>
          <w:szCs w:val="28"/>
        </w:rPr>
        <w:t>1</w:t>
      </w:r>
      <w:r>
        <w:rPr>
          <w:rFonts w:hint="eastAsia" w:ascii="宋体" w:hAnsi="宋体"/>
          <w:szCs w:val="28"/>
        </w:rPr>
        <w:t>3个，分别为：项目立项、绩效目标、资金落实、业务管理、资金管理、数量指标、时效指标、质量指标、成本指标、社会效益、生态效益、可持续性影响、满意度；</w:t>
      </w:r>
    </w:p>
    <w:p>
      <w:pPr>
        <w:snapToGrid w:val="0"/>
        <w:spacing w:line="560" w:lineRule="atLeast"/>
        <w:ind w:firstLine="560"/>
        <w:rPr>
          <w:rFonts w:ascii="宋体" w:hAnsi="宋体"/>
          <w:szCs w:val="28"/>
        </w:rPr>
      </w:pPr>
      <w:r>
        <w:rPr>
          <w:rFonts w:hint="eastAsia" w:ascii="宋体" w:hAnsi="宋体"/>
          <w:szCs w:val="28"/>
        </w:rPr>
        <w:t>三级指标</w:t>
      </w:r>
      <w:r>
        <w:rPr>
          <w:rFonts w:ascii="宋体" w:hAnsi="宋体"/>
          <w:szCs w:val="28"/>
        </w:rPr>
        <w:t>2</w:t>
      </w:r>
      <w:r>
        <w:rPr>
          <w:rFonts w:hint="eastAsia" w:ascii="宋体" w:hAnsi="宋体"/>
          <w:szCs w:val="28"/>
        </w:rPr>
        <w:t>1个，分别为：立项依据充分性、立项程序规范性、绩效目标合理性、绩效指标明确性、资金到位率、到位及时率、管理制度健全性、制度执行有效性、项目质量可控性、财务管理制度健全性、资金使用合规性、财务监控有效性、实际完成率、完成及时率、质量达标率、成本节约率、完善基础设施、提高城防体系、生态影响、长效机制、受益对象满意度。</w:t>
      </w:r>
    </w:p>
    <w:p>
      <w:pPr>
        <w:snapToGrid w:val="0"/>
        <w:spacing w:line="560" w:lineRule="atLeast"/>
        <w:ind w:firstLine="560"/>
        <w:rPr>
          <w:rFonts w:ascii="宋体" w:hAnsi="宋体"/>
          <w:szCs w:val="28"/>
        </w:rPr>
      </w:pPr>
      <w:r>
        <w:rPr>
          <w:rFonts w:hint="eastAsia" w:ascii="宋体" w:hAnsi="宋体"/>
          <w:szCs w:val="28"/>
        </w:rPr>
        <w:t>绩效评价指标体系具体情况详见附表：安居国家湿地公园内生态恢复保护建设项目项目绩效评价指标评分表。</w:t>
      </w:r>
    </w:p>
    <w:p>
      <w:pPr>
        <w:snapToGrid w:val="0"/>
        <w:spacing w:line="560" w:lineRule="atLeast"/>
        <w:ind w:firstLine="560"/>
        <w:rPr>
          <w:rFonts w:ascii="宋体" w:hAnsi="宋体"/>
          <w:szCs w:val="28"/>
        </w:rPr>
      </w:pPr>
      <w:r>
        <w:rPr>
          <w:rFonts w:hint="eastAsia" w:ascii="宋体" w:hAnsi="宋体"/>
          <w:szCs w:val="28"/>
        </w:rPr>
        <w:t>评价结果分为优、良、中、差四等，根据计分结果的分值，确定评价结果对象最后达到的档次，具体见下表。</w:t>
      </w:r>
    </w:p>
    <w:tbl>
      <w:tblPr>
        <w:tblStyle w:val="18"/>
        <w:tblW w:w="8362" w:type="dxa"/>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498"/>
        <w:gridCol w:w="1498"/>
        <w:gridCol w:w="1933"/>
        <w:gridCol w:w="1934"/>
        <w:gridCol w:w="1499"/>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PrEx>
        <w:trPr>
          <w:cantSplit/>
          <w:trHeight w:val="340" w:hRule="atLeast"/>
          <w:tblHeader/>
        </w:trPr>
        <w:tc>
          <w:tcPr>
            <w:tcW w:w="1498"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档次</w:t>
            </w:r>
          </w:p>
        </w:tc>
        <w:tc>
          <w:tcPr>
            <w:tcW w:w="1498"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优</w:t>
            </w:r>
          </w:p>
        </w:tc>
        <w:tc>
          <w:tcPr>
            <w:tcW w:w="1933"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良</w:t>
            </w:r>
          </w:p>
        </w:tc>
        <w:tc>
          <w:tcPr>
            <w:tcW w:w="1934"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中</w:t>
            </w:r>
          </w:p>
        </w:tc>
        <w:tc>
          <w:tcPr>
            <w:tcW w:w="1499"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差</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trPr>
        <w:tc>
          <w:tcPr>
            <w:tcW w:w="1498"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分值</w:t>
            </w:r>
          </w:p>
        </w:tc>
        <w:tc>
          <w:tcPr>
            <w:tcW w:w="1498"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≥90</w:t>
            </w:r>
          </w:p>
        </w:tc>
        <w:tc>
          <w:tcPr>
            <w:tcW w:w="1933"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80≤得分＜90</w:t>
            </w:r>
          </w:p>
        </w:tc>
        <w:tc>
          <w:tcPr>
            <w:tcW w:w="1934"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60≤得分＜80</w:t>
            </w:r>
          </w:p>
        </w:tc>
        <w:tc>
          <w:tcPr>
            <w:tcW w:w="1499"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得分＜60</w:t>
            </w:r>
          </w:p>
        </w:tc>
      </w:tr>
    </w:tbl>
    <w:p>
      <w:pPr>
        <w:snapToGrid w:val="0"/>
        <w:spacing w:line="560" w:lineRule="exact"/>
        <w:ind w:firstLine="561" w:firstLineChars="0"/>
        <w:outlineLvl w:val="3"/>
        <w:rPr>
          <w:rFonts w:ascii="宋体" w:hAnsi="宋体" w:cs="宋体"/>
          <w:b/>
          <w:bCs/>
          <w:kern w:val="0"/>
          <w:szCs w:val="28"/>
        </w:rPr>
      </w:pPr>
      <w:r>
        <w:rPr>
          <w:rFonts w:hint="eastAsia" w:ascii="宋体" w:hAnsi="宋体" w:cs="宋体"/>
          <w:b/>
          <w:bCs/>
          <w:kern w:val="0"/>
          <w:szCs w:val="28"/>
        </w:rPr>
        <w:t>4.评价方法</w:t>
      </w:r>
    </w:p>
    <w:p>
      <w:pPr>
        <w:snapToGrid w:val="0"/>
        <w:spacing w:line="560" w:lineRule="atLeast"/>
        <w:ind w:firstLine="560"/>
        <w:rPr>
          <w:rFonts w:ascii="宋体" w:hAnsi="宋体"/>
          <w:szCs w:val="28"/>
        </w:rPr>
      </w:pPr>
      <w:r>
        <w:rPr>
          <w:rFonts w:hint="eastAsia" w:ascii="宋体" w:hAnsi="宋体"/>
          <w:szCs w:val="28"/>
        </w:rPr>
        <w:t>本次绩效评价采用现场和非现场评价相结合的方式，以材料核查、访谈、问卷调查、抽查为基础，综合运用对比分析等方法，对本项目进行评价。</w:t>
      </w:r>
    </w:p>
    <w:p>
      <w:pPr>
        <w:snapToGrid w:val="0"/>
        <w:spacing w:line="560" w:lineRule="atLeast"/>
        <w:ind w:firstLine="560"/>
        <w:rPr>
          <w:rFonts w:ascii="宋体" w:hAnsi="宋体"/>
          <w:szCs w:val="28"/>
        </w:rPr>
      </w:pPr>
      <w:r>
        <w:rPr>
          <w:rFonts w:hint="eastAsia" w:ascii="宋体" w:hAnsi="宋体"/>
          <w:szCs w:val="28"/>
        </w:rPr>
        <w:t>（1）座谈法：组织相关各方集中访谈或座谈,能有效掌握政策实施过程情况以及项目的效果或不足，进而讨论相关各方如何改进不足，并提出确保项目长效运行的各种意见和建议，并将这些情况</w:t>
      </w:r>
      <w:r>
        <w:rPr>
          <w:rFonts w:hint="eastAsia" w:ascii="宋体" w:hAnsi="宋体"/>
          <w:szCs w:val="28"/>
          <w:lang w:eastAsia="zh-CN"/>
        </w:rPr>
        <w:t>，</w:t>
      </w:r>
      <w:r>
        <w:rPr>
          <w:rFonts w:hint="eastAsia" w:ascii="宋体" w:hAnsi="宋体"/>
          <w:szCs w:val="28"/>
        </w:rPr>
        <w:t>整理反映到评价报告中。</w:t>
      </w:r>
    </w:p>
    <w:p>
      <w:pPr>
        <w:snapToGrid w:val="0"/>
        <w:spacing w:line="560" w:lineRule="atLeast"/>
        <w:ind w:firstLine="560"/>
        <w:rPr>
          <w:rFonts w:ascii="宋体" w:hAnsi="宋体"/>
          <w:szCs w:val="28"/>
        </w:rPr>
      </w:pPr>
      <w:r>
        <w:rPr>
          <w:rFonts w:hint="eastAsia" w:ascii="宋体" w:hAnsi="宋体"/>
          <w:szCs w:val="28"/>
        </w:rPr>
        <w:t>（2）查证法：通过书面及口头方式，现场询问相关人员，核查相关资料是否真实、合理，从而对项目做出初步的判断和评价。</w:t>
      </w:r>
    </w:p>
    <w:p>
      <w:pPr>
        <w:snapToGrid w:val="0"/>
        <w:spacing w:line="560" w:lineRule="atLeast"/>
        <w:ind w:firstLine="560"/>
        <w:rPr>
          <w:rFonts w:ascii="宋体" w:hAnsi="宋体"/>
          <w:szCs w:val="28"/>
        </w:rPr>
      </w:pPr>
      <w:r>
        <w:rPr>
          <w:rFonts w:hint="eastAsia" w:ascii="宋体" w:hAnsi="宋体"/>
          <w:szCs w:val="28"/>
        </w:rPr>
        <w:t>（3）比较法：通过对绩效目标与实施效果、历史与当期情况的比较</w:t>
      </w:r>
      <w:r>
        <w:rPr>
          <w:rFonts w:hint="eastAsia" w:ascii="宋体" w:hAnsi="宋体"/>
          <w:szCs w:val="28"/>
          <w:lang w:eastAsia="zh-CN"/>
        </w:rPr>
        <w:t>，</w:t>
      </w:r>
      <w:bookmarkStart w:id="0" w:name="_GoBack"/>
      <w:bookmarkEnd w:id="0"/>
      <w:r>
        <w:rPr>
          <w:rFonts w:hint="eastAsia" w:ascii="宋体" w:hAnsi="宋体"/>
          <w:szCs w:val="28"/>
        </w:rPr>
        <w:t>综合分析绩效目标实现程度。</w:t>
      </w:r>
    </w:p>
    <w:p>
      <w:pPr>
        <w:snapToGrid w:val="0"/>
        <w:spacing w:line="560" w:lineRule="atLeast"/>
        <w:ind w:firstLine="560"/>
        <w:rPr>
          <w:rFonts w:ascii="宋体" w:hAnsi="宋体"/>
          <w:szCs w:val="28"/>
        </w:rPr>
      </w:pPr>
      <w:r>
        <w:rPr>
          <w:rFonts w:hint="eastAsia" w:ascii="宋体" w:hAnsi="宋体"/>
          <w:szCs w:val="28"/>
        </w:rPr>
        <w:t>（</w:t>
      </w:r>
      <w:r>
        <w:rPr>
          <w:rFonts w:ascii="宋体" w:hAnsi="宋体"/>
          <w:szCs w:val="28"/>
        </w:rPr>
        <w:t>4</w:t>
      </w:r>
      <w:r>
        <w:rPr>
          <w:rFonts w:hint="eastAsia" w:ascii="宋体" w:hAnsi="宋体"/>
          <w:szCs w:val="28"/>
        </w:rPr>
        <w:t>）其他评价方法。</w:t>
      </w:r>
    </w:p>
    <w:p>
      <w:pPr>
        <w:pStyle w:val="25"/>
        <w:snapToGrid w:val="0"/>
        <w:spacing w:line="560" w:lineRule="exact"/>
        <w:ind w:left="982" w:hanging="420" w:firstLineChars="0"/>
        <w:outlineLvl w:val="1"/>
        <w:rPr>
          <w:rFonts w:ascii="宋体" w:hAnsi="宋体"/>
          <w:b/>
          <w:szCs w:val="28"/>
        </w:rPr>
      </w:pPr>
      <w:r>
        <w:rPr>
          <w:rFonts w:hint="eastAsia" w:ascii="宋体" w:hAnsi="宋体"/>
          <w:b/>
          <w:szCs w:val="28"/>
        </w:rPr>
        <w:t>（四）绩效评价工作过程</w:t>
      </w:r>
    </w:p>
    <w:p>
      <w:pPr>
        <w:snapToGrid w:val="0"/>
        <w:spacing w:line="560" w:lineRule="exact"/>
        <w:ind w:left="561" w:firstLine="0" w:firstLineChars="0"/>
        <w:outlineLvl w:val="3"/>
        <w:rPr>
          <w:rFonts w:ascii="宋体" w:hAnsi="宋体"/>
          <w:b/>
          <w:bCs/>
          <w:szCs w:val="28"/>
        </w:rPr>
      </w:pPr>
      <w:r>
        <w:rPr>
          <w:rFonts w:hint="eastAsia" w:ascii="宋体" w:hAnsi="宋体"/>
          <w:b/>
          <w:bCs/>
          <w:szCs w:val="28"/>
        </w:rPr>
        <w:t>1.前期准备</w:t>
      </w:r>
    </w:p>
    <w:p>
      <w:pPr>
        <w:snapToGrid w:val="0"/>
        <w:spacing w:line="560" w:lineRule="atLeast"/>
        <w:ind w:firstLine="560"/>
        <w:rPr>
          <w:rFonts w:ascii="宋体" w:hAnsi="宋体"/>
          <w:szCs w:val="28"/>
        </w:rPr>
      </w:pPr>
      <w:r>
        <w:rPr>
          <w:rFonts w:hint="eastAsia" w:ascii="宋体" w:hAnsi="宋体"/>
          <w:szCs w:val="28"/>
        </w:rPr>
        <w:t>（1）确定绩效评价对象。本次评价对象为安居国家湿地公园内生态恢复保护建设项目绩效。</w:t>
      </w:r>
    </w:p>
    <w:p>
      <w:pPr>
        <w:snapToGrid w:val="0"/>
        <w:spacing w:line="560" w:lineRule="atLeast"/>
        <w:ind w:firstLine="560"/>
        <w:rPr>
          <w:rFonts w:ascii="宋体" w:hAnsi="宋体"/>
          <w:szCs w:val="28"/>
        </w:rPr>
      </w:pPr>
      <w:r>
        <w:rPr>
          <w:rFonts w:hint="eastAsia" w:ascii="宋体" w:hAnsi="宋体"/>
          <w:szCs w:val="28"/>
        </w:rPr>
        <w:t>（2）制定绩效评价工作方案。本次经过初步调研，在区财政局的指导下根据有关规定和评价对象的特点，拟定详细的绩效评价工作方案。主要内容包括：评价依据、评价工作计划，拟采用的绩效评价指标、评价标准、评价方法及有关工作条件。</w:t>
      </w:r>
    </w:p>
    <w:p>
      <w:pPr>
        <w:snapToGrid w:val="0"/>
        <w:spacing w:line="560" w:lineRule="exact"/>
        <w:ind w:firstLine="561" w:firstLineChars="0"/>
        <w:outlineLvl w:val="3"/>
        <w:rPr>
          <w:rFonts w:ascii="宋体" w:hAnsi="宋体" w:cs="宋体"/>
          <w:b/>
          <w:bCs/>
          <w:kern w:val="0"/>
          <w:szCs w:val="28"/>
        </w:rPr>
      </w:pPr>
      <w:r>
        <w:rPr>
          <w:rFonts w:ascii="宋体" w:hAnsi="宋体" w:cs="宋体"/>
          <w:b/>
          <w:bCs/>
          <w:kern w:val="0"/>
          <w:szCs w:val="28"/>
        </w:rPr>
        <w:t>2</w:t>
      </w:r>
      <w:r>
        <w:rPr>
          <w:rFonts w:hint="eastAsia" w:ascii="宋体" w:hAnsi="宋体" w:cs="宋体"/>
          <w:b/>
          <w:bCs/>
          <w:kern w:val="0"/>
          <w:szCs w:val="28"/>
        </w:rPr>
        <w:t>.组织实施</w:t>
      </w:r>
    </w:p>
    <w:p>
      <w:pPr>
        <w:snapToGrid w:val="0"/>
        <w:spacing w:line="560" w:lineRule="atLeast"/>
        <w:ind w:firstLine="560"/>
        <w:rPr>
          <w:rFonts w:ascii="宋体" w:hAnsi="宋体"/>
          <w:szCs w:val="28"/>
        </w:rPr>
      </w:pPr>
      <w:r>
        <w:rPr>
          <w:rFonts w:hint="eastAsia" w:ascii="宋体" w:hAnsi="宋体"/>
          <w:szCs w:val="28"/>
        </w:rPr>
        <w:t>（1）收集并复核资料。被评价单位上报基础资料后，我们组织人员对资料进行复核。</w:t>
      </w:r>
    </w:p>
    <w:p>
      <w:pPr>
        <w:snapToGrid w:val="0"/>
        <w:spacing w:line="560" w:lineRule="atLeast"/>
        <w:ind w:firstLine="560"/>
        <w:rPr>
          <w:rFonts w:ascii="宋体" w:hAnsi="宋体"/>
          <w:szCs w:val="28"/>
        </w:rPr>
      </w:pPr>
      <w:r>
        <w:rPr>
          <w:rFonts w:hint="eastAsia" w:ascii="宋体" w:hAnsi="宋体"/>
          <w:szCs w:val="28"/>
        </w:rPr>
        <w:t>（2）对项目进行现场检查，并对资金的支付情况进行延伸检查。</w:t>
      </w:r>
    </w:p>
    <w:p>
      <w:pPr>
        <w:snapToGrid w:val="0"/>
        <w:spacing w:line="560" w:lineRule="atLeast"/>
        <w:ind w:firstLine="560"/>
        <w:rPr>
          <w:rFonts w:ascii="宋体" w:hAnsi="宋体"/>
          <w:szCs w:val="28"/>
        </w:rPr>
      </w:pPr>
      <w:r>
        <w:rPr>
          <w:rFonts w:hint="eastAsia" w:ascii="宋体" w:hAnsi="宋体"/>
          <w:szCs w:val="28"/>
        </w:rPr>
        <w:t>（3）深入项目单位及工作现场，通过听取情况介绍、实地考察、调查问卷、座谈询问、对照查证复核等方式，对项目有关情况和基础材料进行核实。</w:t>
      </w:r>
    </w:p>
    <w:p>
      <w:pPr>
        <w:snapToGrid w:val="0"/>
        <w:spacing w:line="560" w:lineRule="exact"/>
        <w:ind w:firstLine="561" w:firstLineChars="0"/>
        <w:outlineLvl w:val="3"/>
        <w:rPr>
          <w:rFonts w:ascii="宋体" w:hAnsi="宋体" w:cs="宋体"/>
          <w:b/>
          <w:bCs/>
          <w:kern w:val="0"/>
          <w:szCs w:val="28"/>
        </w:rPr>
      </w:pPr>
      <w:r>
        <w:rPr>
          <w:rFonts w:ascii="宋体" w:hAnsi="宋体" w:cs="宋体"/>
          <w:b/>
          <w:bCs/>
          <w:kern w:val="0"/>
          <w:szCs w:val="28"/>
        </w:rPr>
        <w:t>3</w:t>
      </w:r>
      <w:r>
        <w:rPr>
          <w:rFonts w:hint="eastAsia" w:ascii="宋体" w:hAnsi="宋体" w:cs="宋体"/>
          <w:b/>
          <w:bCs/>
          <w:kern w:val="0"/>
          <w:szCs w:val="28"/>
        </w:rPr>
        <w:t>.分析评价</w:t>
      </w:r>
    </w:p>
    <w:p>
      <w:pPr>
        <w:snapToGrid w:val="0"/>
        <w:spacing w:line="560" w:lineRule="atLeast"/>
        <w:ind w:firstLine="560"/>
        <w:rPr>
          <w:rFonts w:ascii="宋体" w:hAnsi="宋体"/>
          <w:szCs w:val="28"/>
        </w:rPr>
      </w:pPr>
      <w:r>
        <w:rPr>
          <w:rFonts w:hint="eastAsia" w:ascii="宋体" w:hAnsi="宋体"/>
          <w:szCs w:val="28"/>
        </w:rPr>
        <w:t>对评价对象的绩效情况进行全面的定量、定性分析和综合评价，形成绩效评价结论。</w:t>
      </w:r>
    </w:p>
    <w:p>
      <w:pPr>
        <w:pStyle w:val="25"/>
        <w:snapToGrid w:val="0"/>
        <w:spacing w:line="560" w:lineRule="exact"/>
        <w:ind w:left="562" w:firstLine="0" w:firstLineChars="0"/>
        <w:outlineLvl w:val="0"/>
        <w:rPr>
          <w:rFonts w:ascii="宋体" w:hAnsi="宋体"/>
          <w:b/>
          <w:szCs w:val="28"/>
        </w:rPr>
      </w:pPr>
      <w:r>
        <w:rPr>
          <w:rFonts w:hint="eastAsia" w:ascii="宋体" w:hAnsi="宋体"/>
          <w:b/>
          <w:szCs w:val="28"/>
          <w:lang w:eastAsia="zh-CN"/>
        </w:rPr>
        <w:t>三</w:t>
      </w:r>
      <w:r>
        <w:rPr>
          <w:rFonts w:hint="eastAsia" w:ascii="宋体" w:hAnsi="宋体"/>
          <w:b/>
          <w:szCs w:val="28"/>
        </w:rPr>
        <w:t>、绩效评价指标情况</w:t>
      </w:r>
    </w:p>
    <w:p>
      <w:pPr>
        <w:pStyle w:val="25"/>
        <w:snapToGrid w:val="0"/>
        <w:spacing w:line="560" w:lineRule="exact"/>
        <w:ind w:firstLine="562"/>
        <w:outlineLvl w:val="1"/>
        <w:rPr>
          <w:szCs w:val="28"/>
        </w:rPr>
      </w:pPr>
      <w:r>
        <w:rPr>
          <w:rFonts w:hint="eastAsia" w:ascii="宋体" w:hAnsi="宋体"/>
          <w:b/>
          <w:szCs w:val="28"/>
        </w:rPr>
        <w:t>（一）投入类指标</w:t>
      </w:r>
    </w:p>
    <w:p>
      <w:pPr>
        <w:snapToGrid w:val="0"/>
        <w:spacing w:line="560" w:lineRule="atLeast"/>
        <w:ind w:firstLine="560"/>
        <w:rPr>
          <w:rFonts w:ascii="宋体" w:hAnsi="宋体"/>
          <w:szCs w:val="28"/>
        </w:rPr>
      </w:pPr>
      <w:r>
        <w:rPr>
          <w:rFonts w:hint="eastAsia" w:ascii="宋体" w:hAnsi="宋体"/>
          <w:szCs w:val="28"/>
        </w:rPr>
        <w:t>涉及投入的二级指标为：项目立项、绩效目标及资金落实。各二级指标下设三级指标。</w:t>
      </w:r>
    </w:p>
    <w:p>
      <w:pPr>
        <w:snapToGrid w:val="0"/>
        <w:spacing w:line="560" w:lineRule="atLeast"/>
        <w:ind w:firstLine="560"/>
        <w:rPr>
          <w:rFonts w:ascii="宋体" w:hAnsi="宋体"/>
          <w:szCs w:val="28"/>
        </w:rPr>
      </w:pPr>
      <w:r>
        <w:rPr>
          <w:rFonts w:hint="eastAsia" w:ascii="宋体" w:hAnsi="宋体"/>
          <w:szCs w:val="28"/>
        </w:rPr>
        <w:t>该项总分20分，实际得分19分，扣分1分，主要扣分原因为项目绩效评价指标填写不规范。具体情况如下：</w:t>
      </w:r>
    </w:p>
    <w:tbl>
      <w:tblPr>
        <w:tblStyle w:val="18"/>
        <w:tblW w:w="8258" w:type="dxa"/>
        <w:tblInd w:w="113"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14"/>
        <w:gridCol w:w="941"/>
        <w:gridCol w:w="4678"/>
        <w:gridCol w:w="645"/>
        <w:gridCol w:w="780"/>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blHeader/>
        </w:trPr>
        <w:tc>
          <w:tcPr>
            <w:tcW w:w="1214" w:type="dxa"/>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二级指标</w:t>
            </w:r>
          </w:p>
        </w:tc>
        <w:tc>
          <w:tcPr>
            <w:tcW w:w="941" w:type="dxa"/>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三级指标</w:t>
            </w:r>
          </w:p>
        </w:tc>
        <w:tc>
          <w:tcPr>
            <w:tcW w:w="4678" w:type="dxa"/>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评分标准</w:t>
            </w:r>
          </w:p>
        </w:tc>
        <w:tc>
          <w:tcPr>
            <w:tcW w:w="645" w:type="dxa"/>
            <w:shd w:val="clear" w:color="auto" w:fill="auto"/>
            <w:noWrap/>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分值</w:t>
            </w:r>
          </w:p>
        </w:tc>
        <w:tc>
          <w:tcPr>
            <w:tcW w:w="780" w:type="dxa"/>
            <w:shd w:val="clear" w:color="auto" w:fill="auto"/>
            <w:noWrap/>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得分</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167" w:hRule="atLeast"/>
        </w:trPr>
        <w:tc>
          <w:tcPr>
            <w:tcW w:w="1214" w:type="dxa"/>
            <w:vMerge w:val="restart"/>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项目立项</w:t>
            </w:r>
          </w:p>
        </w:tc>
        <w:tc>
          <w:tcPr>
            <w:tcW w:w="941" w:type="dxa"/>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立项依据充分性</w:t>
            </w:r>
          </w:p>
        </w:tc>
        <w:tc>
          <w:tcPr>
            <w:tcW w:w="4678" w:type="dxa"/>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①项目立项是否符合国家法律法规、国民经济发展规划和相关政策；未发现问题得2.5分，否则不得分。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②项目立项是否与部门职责范围相符，属于部门履职所需。未发现问题得2.5分，否则不得分。</w:t>
            </w:r>
          </w:p>
        </w:tc>
        <w:tc>
          <w:tcPr>
            <w:tcW w:w="645"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5</w:t>
            </w:r>
          </w:p>
        </w:tc>
        <w:tc>
          <w:tcPr>
            <w:tcW w:w="780"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941" w:type="dxa"/>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立项程序</w:t>
            </w:r>
          </w:p>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规范性</w:t>
            </w:r>
          </w:p>
        </w:tc>
        <w:tc>
          <w:tcPr>
            <w:tcW w:w="4678" w:type="dxa"/>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①项目是否按照规定的程序申请设立，审批文件、材料是否符合相关要求；未发现问题得2.5分，否则不得分。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②事前是否已经过必要的可行性研究、专家论证、风险评估、绩效评估、集体决策。未发现问题得2.5分，缺1项扣1分，扣完为止。</w:t>
            </w:r>
          </w:p>
        </w:tc>
        <w:tc>
          <w:tcPr>
            <w:tcW w:w="645"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5</w:t>
            </w:r>
          </w:p>
        </w:tc>
        <w:tc>
          <w:tcPr>
            <w:tcW w:w="780"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211" w:hRule="atLeast"/>
        </w:trPr>
        <w:tc>
          <w:tcPr>
            <w:tcW w:w="1214" w:type="dxa"/>
            <w:vMerge w:val="restart"/>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绩效目标</w:t>
            </w:r>
          </w:p>
          <w:p>
            <w:pPr>
              <w:widowControl/>
              <w:spacing w:line="240" w:lineRule="auto"/>
              <w:ind w:firstLine="0" w:firstLineChars="0"/>
              <w:jc w:val="center"/>
              <w:rPr>
                <w:rFonts w:ascii="方正仿宋_GBK" w:hAnsi="等线" w:eastAsia="方正仿宋_GBK" w:cs="宋体"/>
                <w:color w:val="000000"/>
                <w:kern w:val="0"/>
                <w:sz w:val="18"/>
                <w:szCs w:val="18"/>
              </w:rPr>
            </w:pPr>
          </w:p>
        </w:tc>
        <w:tc>
          <w:tcPr>
            <w:tcW w:w="941" w:type="dxa"/>
            <w:shd w:val="clear" w:color="auto" w:fill="auto"/>
            <w:vAlign w:val="center"/>
          </w:tcPr>
          <w:p>
            <w:pPr>
              <w:widowControl/>
              <w:spacing w:line="240" w:lineRule="auto"/>
              <w:ind w:firstLine="0" w:firstLineChars="0"/>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绩效目标</w:t>
            </w:r>
          </w:p>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合理性</w:t>
            </w:r>
          </w:p>
        </w:tc>
        <w:tc>
          <w:tcPr>
            <w:tcW w:w="4678" w:type="dxa"/>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①与区县主管部门职责密切相关的得1.5分，否则不得分；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②项目预期产出、效益和效果符合正常的业绩水平的得1.5分，否则不得分。</w:t>
            </w:r>
          </w:p>
        </w:tc>
        <w:tc>
          <w:tcPr>
            <w:tcW w:w="645"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3</w:t>
            </w:r>
          </w:p>
        </w:tc>
        <w:tc>
          <w:tcPr>
            <w:tcW w:w="780"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3</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073" w:hRule="atLeast"/>
        </w:trPr>
        <w:tc>
          <w:tcPr>
            <w:tcW w:w="1214" w:type="dxa"/>
            <w:vMerge w:val="continue"/>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941" w:type="dxa"/>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绩效指标明确性</w:t>
            </w:r>
          </w:p>
        </w:tc>
        <w:tc>
          <w:tcPr>
            <w:tcW w:w="4678" w:type="dxa"/>
            <w:shd w:val="clear" w:color="auto" w:fill="auto"/>
            <w:vAlign w:val="center"/>
          </w:tcPr>
          <w:p>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①将项目绩效目标细化分解为具体的绩效指标的得1分，否则不得分；</w:t>
            </w:r>
          </w:p>
          <w:p>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②指标值是否清晰、可衡量，是得1分，否则不得分。</w:t>
            </w:r>
          </w:p>
        </w:tc>
        <w:tc>
          <w:tcPr>
            <w:tcW w:w="645" w:type="dxa"/>
            <w:shd w:val="clear" w:color="auto" w:fill="auto"/>
            <w:noWrap/>
            <w:vAlign w:val="center"/>
          </w:tcPr>
          <w:p>
            <w:pPr>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80" w:type="dxa"/>
            <w:shd w:val="clear" w:color="auto" w:fill="auto"/>
            <w:noWrap/>
            <w:vAlign w:val="center"/>
          </w:tcPr>
          <w:p>
            <w:pPr>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1</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047" w:hRule="atLeast"/>
        </w:trPr>
        <w:tc>
          <w:tcPr>
            <w:tcW w:w="1214" w:type="dxa"/>
            <w:vMerge w:val="restart"/>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资金落实</w:t>
            </w:r>
          </w:p>
        </w:tc>
        <w:tc>
          <w:tcPr>
            <w:tcW w:w="941" w:type="dxa"/>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资金到位率</w:t>
            </w:r>
          </w:p>
        </w:tc>
        <w:tc>
          <w:tcPr>
            <w:tcW w:w="4678" w:type="dxa"/>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①财政资金到位率=100%，得2.5分；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②财政资金到位率在95%（含）-100%之间，得2分；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③财政资金到位率在90%（含）-95%之间，得1.5分；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④财政资金到位率在85%（含）-90%之间，得1分；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⑤财政资金到位率未达85%，不得分。</w:t>
            </w:r>
          </w:p>
        </w:tc>
        <w:tc>
          <w:tcPr>
            <w:tcW w:w="645"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2.5</w:t>
            </w:r>
          </w:p>
        </w:tc>
        <w:tc>
          <w:tcPr>
            <w:tcW w:w="780"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047" w:hRule="atLeast"/>
        </w:trPr>
        <w:tc>
          <w:tcPr>
            <w:tcW w:w="1214" w:type="dxa"/>
            <w:vMerge w:val="continue"/>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p>
        </w:tc>
        <w:tc>
          <w:tcPr>
            <w:tcW w:w="941" w:type="dxa"/>
            <w:shd w:val="clear" w:color="auto" w:fill="auto"/>
            <w:vAlign w:val="center"/>
          </w:tcPr>
          <w:p>
            <w:pPr>
              <w:widowControl/>
              <w:spacing w:line="240" w:lineRule="auto"/>
              <w:ind w:firstLine="0" w:firstLineChars="0"/>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资金到位及时率</w:t>
            </w:r>
          </w:p>
        </w:tc>
        <w:tc>
          <w:tcPr>
            <w:tcW w:w="4678" w:type="dxa"/>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①资金到位及时率=100%，得2.5分；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②资金到位及时率在95%（含）-100%之间，得2分；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③资金到位及时率在90%（含）-95%之间，得1.5分；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④资金到位及时率在85%（含）-90%之间，得1分；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⑤资金到位及时率未达85%，不得分。</w:t>
            </w:r>
          </w:p>
        </w:tc>
        <w:tc>
          <w:tcPr>
            <w:tcW w:w="645"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2.5</w:t>
            </w:r>
          </w:p>
        </w:tc>
        <w:tc>
          <w:tcPr>
            <w:tcW w:w="780"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01" w:hRule="atLeast"/>
        </w:trPr>
        <w:tc>
          <w:tcPr>
            <w:tcW w:w="1214" w:type="dxa"/>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小计</w:t>
            </w:r>
          </w:p>
        </w:tc>
        <w:tc>
          <w:tcPr>
            <w:tcW w:w="941" w:type="dxa"/>
            <w:shd w:val="clear" w:color="auto" w:fill="auto"/>
            <w:vAlign w:val="center"/>
          </w:tcPr>
          <w:p>
            <w:pPr>
              <w:widowControl/>
              <w:spacing w:line="240" w:lineRule="auto"/>
              <w:ind w:firstLine="0" w:firstLineChars="0"/>
              <w:jc w:val="center"/>
              <w:rPr>
                <w:rFonts w:ascii="微软雅黑" w:hAnsi="微软雅黑" w:eastAsia="微软雅黑" w:cs="微软雅黑"/>
                <w:color w:val="000000"/>
                <w:kern w:val="0"/>
                <w:sz w:val="18"/>
                <w:szCs w:val="18"/>
              </w:rPr>
            </w:pPr>
          </w:p>
        </w:tc>
        <w:tc>
          <w:tcPr>
            <w:tcW w:w="4678" w:type="dxa"/>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645"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20</w:t>
            </w:r>
          </w:p>
        </w:tc>
        <w:tc>
          <w:tcPr>
            <w:tcW w:w="780"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19</w:t>
            </w:r>
          </w:p>
        </w:tc>
      </w:tr>
    </w:tbl>
    <w:p>
      <w:pPr>
        <w:snapToGrid w:val="0"/>
        <w:spacing w:line="560" w:lineRule="atLeast"/>
        <w:ind w:firstLine="560"/>
        <w:rPr>
          <w:rFonts w:ascii="宋体" w:hAnsi="宋体"/>
          <w:szCs w:val="28"/>
        </w:rPr>
      </w:pPr>
      <w:r>
        <w:rPr>
          <w:rFonts w:ascii="宋体" w:hAnsi="宋体"/>
          <w:szCs w:val="28"/>
        </w:rPr>
        <w:t>1.</w:t>
      </w:r>
      <w:r>
        <w:rPr>
          <w:rFonts w:hint="eastAsia" w:ascii="宋体" w:hAnsi="宋体"/>
          <w:szCs w:val="28"/>
        </w:rPr>
        <w:t>立项依据充分性标准分值为5分。《中华人民共和国湿地保护法》、《重庆市湿地保护管理条例(草案)》，</w:t>
      </w:r>
      <w:r>
        <w:rPr>
          <w:rFonts w:hint="eastAsia"/>
          <w:color w:val="000000"/>
          <w:szCs w:val="28"/>
        </w:rPr>
        <w:t>《中华人民共和国国民经济和社会发展第十四个五年规划和 2035 年远景目标纲要》</w:t>
      </w:r>
      <w:r>
        <w:rPr>
          <w:rFonts w:hint="eastAsia" w:ascii="宋体" w:hAnsi="宋体"/>
          <w:szCs w:val="28"/>
        </w:rPr>
        <w:t>，</w:t>
      </w:r>
      <w:r>
        <w:rPr>
          <w:rFonts w:hint="eastAsia"/>
          <w:color w:val="000000"/>
          <w:szCs w:val="28"/>
        </w:rPr>
        <w:t>2021 年习近平总书记主持召开了全面推动长江经济带发展座谈会并发表重要讲话。</w:t>
      </w:r>
      <w:r>
        <w:rPr>
          <w:rFonts w:hint="eastAsia" w:ascii="宋体" w:hAnsi="宋体"/>
          <w:szCs w:val="28"/>
        </w:rPr>
        <w:t>经过充分研究、实地勘察和项目前期论证，对本项目进行立项。立项符合国家法律法规、国民经济发展规划和相关政策，与铜梁区</w:t>
      </w:r>
      <w:r>
        <w:rPr>
          <w:rFonts w:hint="eastAsia" w:ascii="宋体" w:hAnsi="宋体"/>
          <w:szCs w:val="28"/>
          <w:lang w:eastAsia="zh-CN"/>
        </w:rPr>
        <w:t>林业局</w:t>
      </w:r>
      <w:r>
        <w:rPr>
          <w:rFonts w:hint="eastAsia" w:ascii="宋体" w:hAnsi="宋体"/>
          <w:szCs w:val="28"/>
        </w:rPr>
        <w:t>部门职责相符。本次绩效评价得分5分。</w:t>
      </w:r>
    </w:p>
    <w:p>
      <w:pPr>
        <w:snapToGrid w:val="0"/>
        <w:spacing w:line="560" w:lineRule="atLeast"/>
        <w:ind w:firstLine="560"/>
        <w:rPr>
          <w:rFonts w:ascii="宋体" w:hAnsi="宋体"/>
          <w:szCs w:val="28"/>
        </w:rPr>
      </w:pPr>
      <w:r>
        <w:rPr>
          <w:rFonts w:ascii="宋体" w:hAnsi="宋体"/>
          <w:szCs w:val="28"/>
        </w:rPr>
        <w:t>2.</w:t>
      </w:r>
      <w:r>
        <w:rPr>
          <w:rFonts w:hint="eastAsia" w:ascii="宋体" w:hAnsi="宋体"/>
          <w:szCs w:val="28"/>
        </w:rPr>
        <w:t>立项程序规范性标准分值为5分。经检查，项目编制了可行性研究报告，并取得可行性研究报告的评估报告和区发改委对可行性研究报告的批复。2021年12月7日取得区发改委的立项批复。项目立项程序规范，本次绩效评价得分5分。</w:t>
      </w:r>
    </w:p>
    <w:p>
      <w:pPr>
        <w:snapToGrid w:val="0"/>
        <w:spacing w:line="560" w:lineRule="atLeast"/>
        <w:ind w:firstLine="560"/>
        <w:rPr>
          <w:rFonts w:ascii="宋体" w:hAnsi="宋体"/>
          <w:szCs w:val="28"/>
        </w:rPr>
      </w:pPr>
      <w:r>
        <w:rPr>
          <w:rFonts w:ascii="宋体" w:hAnsi="宋体"/>
          <w:szCs w:val="28"/>
        </w:rPr>
        <w:t>3.</w:t>
      </w:r>
      <w:r>
        <w:rPr>
          <w:rFonts w:hint="eastAsia" w:ascii="宋体" w:hAnsi="宋体"/>
          <w:szCs w:val="28"/>
        </w:rPr>
        <w:t>绩效目标合理性标准分值为3分，经检查，项目可行性研究报告提出的产出、效益、效果符合实际，且与主管部门职责密切相关。绩效目标合理性，本次绩效目标合理性得3分。</w:t>
      </w:r>
    </w:p>
    <w:p>
      <w:pPr>
        <w:snapToGrid w:val="0"/>
        <w:spacing w:line="560" w:lineRule="atLeast"/>
        <w:ind w:firstLine="560"/>
        <w:rPr>
          <w:rFonts w:ascii="宋体" w:hAnsi="宋体"/>
          <w:szCs w:val="28"/>
        </w:rPr>
      </w:pPr>
      <w:r>
        <w:rPr>
          <w:rFonts w:hint="eastAsia" w:ascii="宋体" w:hAnsi="宋体"/>
          <w:szCs w:val="28"/>
        </w:rPr>
        <w:t>4</w:t>
      </w:r>
      <w:r>
        <w:rPr>
          <w:rFonts w:ascii="宋体" w:hAnsi="宋体"/>
          <w:szCs w:val="28"/>
        </w:rPr>
        <w:t>.</w:t>
      </w:r>
      <w:r>
        <w:rPr>
          <w:rFonts w:hint="eastAsia" w:ascii="宋体" w:hAnsi="宋体"/>
          <w:szCs w:val="28"/>
        </w:rPr>
        <w:t>绩效指标明确性标准分值为2分。《铜梁区安居国家湿地公园内生态恢复保护建设项目工作绩效目标表》设定1级指标3个，2级指标5个，3级指标5个。经检查，社会效益指标没细化无法衡量,该项目扣1分，本次绩效评价得分1分。</w:t>
      </w:r>
    </w:p>
    <w:p>
      <w:pPr>
        <w:snapToGrid w:val="0"/>
        <w:spacing w:line="560" w:lineRule="atLeast"/>
        <w:ind w:firstLine="560"/>
        <w:rPr>
          <w:rFonts w:ascii="宋体" w:hAnsi="宋体"/>
          <w:szCs w:val="28"/>
        </w:rPr>
      </w:pPr>
      <w:r>
        <w:rPr>
          <w:rFonts w:hint="eastAsia" w:ascii="宋体" w:hAnsi="宋体"/>
          <w:szCs w:val="28"/>
        </w:rPr>
        <w:t>5</w:t>
      </w:r>
      <w:r>
        <w:rPr>
          <w:rFonts w:ascii="宋体" w:hAnsi="宋体"/>
          <w:szCs w:val="28"/>
        </w:rPr>
        <w:t>.</w:t>
      </w:r>
      <w:r>
        <w:rPr>
          <w:rFonts w:hint="eastAsia" w:ascii="宋体" w:hAnsi="宋体"/>
          <w:szCs w:val="28"/>
        </w:rPr>
        <w:t>资金到位率标准分值为2.5分。根据重庆市铜梁区财政局《关于下达2022年重大区域发展战略建设(长江经济带绿色发展方向)生态环境突出问题整改等项目中央基建投资预算的通知》（铜财〔2022〕495号）,下达2023资金预算1264万元并拨到业主单位1264万元，业主单位支付工程款实行报账制，2023年已使用500.325413万元，年底未使用的余下资金财政已回。2023年项目清算资金500.325413万元。经检查，预算资金已全部到位。本次绩效评价得分2.5分。</w:t>
      </w:r>
    </w:p>
    <w:p>
      <w:pPr>
        <w:snapToGrid w:val="0"/>
        <w:spacing w:line="560" w:lineRule="atLeast"/>
        <w:ind w:firstLine="560"/>
        <w:rPr>
          <w:rFonts w:ascii="宋体" w:hAnsi="宋体"/>
          <w:szCs w:val="28"/>
        </w:rPr>
      </w:pPr>
      <w:r>
        <w:rPr>
          <w:rFonts w:hint="eastAsia" w:ascii="宋体" w:hAnsi="宋体"/>
          <w:szCs w:val="28"/>
        </w:rPr>
        <w:t>6. 资金到位及时率标准分值为2.5分。根据合同约定及工程进度完成尾部2023年应支付的工程项目款合计500.325413万元，实际到位并支付500.325413万元，到位及时率100.00%。本次绩效评价得分2.5分。</w:t>
      </w:r>
    </w:p>
    <w:p>
      <w:pPr>
        <w:snapToGrid w:val="0"/>
        <w:spacing w:line="560" w:lineRule="atLeast"/>
        <w:ind w:firstLine="562"/>
        <w:outlineLvl w:val="1"/>
        <w:rPr>
          <w:rFonts w:ascii="宋体" w:hAnsi="宋体"/>
          <w:b/>
          <w:szCs w:val="28"/>
        </w:rPr>
      </w:pPr>
      <w:r>
        <w:rPr>
          <w:rFonts w:hint="eastAsia" w:ascii="宋体" w:hAnsi="宋体"/>
          <w:b/>
          <w:szCs w:val="28"/>
        </w:rPr>
        <w:t>（二）管理类指标</w:t>
      </w:r>
    </w:p>
    <w:p>
      <w:pPr>
        <w:snapToGrid w:val="0"/>
        <w:spacing w:line="560" w:lineRule="atLeast"/>
        <w:ind w:firstLine="560"/>
        <w:rPr>
          <w:rFonts w:ascii="宋体" w:hAnsi="宋体"/>
          <w:szCs w:val="28"/>
        </w:rPr>
      </w:pPr>
      <w:r>
        <w:rPr>
          <w:rFonts w:hint="eastAsia" w:ascii="宋体" w:hAnsi="宋体"/>
          <w:szCs w:val="28"/>
        </w:rPr>
        <w:t>涉及管理的二级指标为：业务管理、资金管理。各二级指标下设三级指标。</w:t>
      </w:r>
    </w:p>
    <w:p>
      <w:pPr>
        <w:snapToGrid w:val="0"/>
        <w:spacing w:line="560" w:lineRule="atLeast"/>
        <w:ind w:firstLine="560"/>
        <w:rPr>
          <w:rFonts w:ascii="宋体" w:hAnsi="宋体"/>
          <w:szCs w:val="28"/>
        </w:rPr>
      </w:pPr>
      <w:r>
        <w:rPr>
          <w:rFonts w:hint="eastAsia" w:ascii="宋体" w:hAnsi="宋体"/>
          <w:szCs w:val="28"/>
        </w:rPr>
        <w:t>该项总分20分，实际得分20分，具体情况如下：</w:t>
      </w:r>
    </w:p>
    <w:tbl>
      <w:tblPr>
        <w:tblStyle w:val="18"/>
        <w:tblW w:w="8357" w:type="dxa"/>
        <w:tblInd w:w="0" w:type="dxa"/>
        <w:tblLayout w:type="fixed"/>
        <w:tblCellMar>
          <w:top w:w="0" w:type="dxa"/>
          <w:left w:w="108" w:type="dxa"/>
          <w:bottom w:w="0" w:type="dxa"/>
          <w:right w:w="108" w:type="dxa"/>
        </w:tblCellMar>
      </w:tblPr>
      <w:tblGrid>
        <w:gridCol w:w="1070"/>
        <w:gridCol w:w="961"/>
        <w:gridCol w:w="4779"/>
        <w:gridCol w:w="847"/>
        <w:gridCol w:w="700"/>
      </w:tblGrid>
      <w:tr>
        <w:tblPrEx>
          <w:tblLayout w:type="fixed"/>
          <w:tblCellMar>
            <w:top w:w="0" w:type="dxa"/>
            <w:left w:w="108" w:type="dxa"/>
            <w:bottom w:w="0" w:type="dxa"/>
            <w:right w:w="108" w:type="dxa"/>
          </w:tblCellMar>
        </w:tblPrEx>
        <w:trPr>
          <w:trHeight w:val="225" w:hRule="atLeast"/>
          <w:tblHeader/>
        </w:trPr>
        <w:tc>
          <w:tcPr>
            <w:tcW w:w="1070" w:type="dxa"/>
            <w:tcBorders>
              <w:top w:val="double" w:color="auto"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二级指标</w:t>
            </w:r>
          </w:p>
        </w:tc>
        <w:tc>
          <w:tcPr>
            <w:tcW w:w="961" w:type="dxa"/>
            <w:tcBorders>
              <w:top w:val="doub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三级指标</w:t>
            </w:r>
          </w:p>
        </w:tc>
        <w:tc>
          <w:tcPr>
            <w:tcW w:w="4779" w:type="dxa"/>
            <w:tcBorders>
              <w:top w:val="doub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评分标准</w:t>
            </w:r>
          </w:p>
        </w:tc>
        <w:tc>
          <w:tcPr>
            <w:tcW w:w="847" w:type="dxa"/>
            <w:tcBorders>
              <w:top w:val="doub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分值</w:t>
            </w:r>
          </w:p>
        </w:tc>
        <w:tc>
          <w:tcPr>
            <w:tcW w:w="700" w:type="dxa"/>
            <w:tcBorders>
              <w:top w:val="double" w:color="auto"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得分</w:t>
            </w:r>
          </w:p>
        </w:tc>
      </w:tr>
      <w:tr>
        <w:tblPrEx>
          <w:tblLayout w:type="fixed"/>
          <w:tblCellMar>
            <w:top w:w="0" w:type="dxa"/>
            <w:left w:w="108" w:type="dxa"/>
            <w:bottom w:w="0" w:type="dxa"/>
            <w:right w:w="108" w:type="dxa"/>
          </w:tblCellMar>
        </w:tblPrEx>
        <w:trPr>
          <w:trHeight w:val="881" w:hRule="atLeast"/>
        </w:trPr>
        <w:tc>
          <w:tcPr>
            <w:tcW w:w="1070" w:type="dxa"/>
            <w:vMerge w:val="restart"/>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业务管理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管理制度健全性</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①已制定或具有相应的业务管理制度，得1分，否则不得分。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Cambria Math" w:hAnsi="Cambria Math" w:eastAsia="方正仿宋_GBK" w:cs="宋体"/>
                <w:color w:val="000000"/>
                <w:kern w:val="0"/>
                <w:sz w:val="18"/>
                <w:szCs w:val="18"/>
              </w:rPr>
              <w:t>②业务管理制度是否合法、合规、完整，是得1分，否则不得分。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00" w:type="dxa"/>
            <w:tcBorders>
              <w:top w:val="single" w:color="000000"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r>
      <w:tr>
        <w:tblPrEx>
          <w:tblLayout w:type="fixed"/>
          <w:tblCellMar>
            <w:top w:w="0" w:type="dxa"/>
            <w:left w:w="108" w:type="dxa"/>
            <w:bottom w:w="0" w:type="dxa"/>
            <w:right w:w="108" w:type="dxa"/>
          </w:tblCellMar>
        </w:tblPrEx>
        <w:trPr>
          <w:trHeight w:val="999" w:hRule="atLeast"/>
        </w:trPr>
        <w:tc>
          <w:tcPr>
            <w:tcW w:w="1070" w:type="dxa"/>
            <w:vMerge w:val="continue"/>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制度执行有效性</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①是否遵守相关法律法规和相关管理规定，是得5分，发现一处不符合规定，扣0.5分，扣完为止。</w:t>
            </w:r>
          </w:p>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②项目调整及支出调整手续是否完备，是得1分。</w:t>
            </w:r>
          </w:p>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③项目前期资料、项目过程资料和项目验收资料（包括项目合同书、验收报告、技术鉴定）等建设资料是否齐全，是否及时归档，是得1分。</w:t>
            </w:r>
          </w:p>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④项目实施的人员条件、场地设备、信息支撑是否落实到位，是得1分。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Cambria Math" w:hAnsi="Cambria Math" w:eastAsia="方正仿宋_GBK" w:cs="宋体"/>
                <w:color w:val="000000"/>
                <w:kern w:val="0"/>
                <w:sz w:val="18"/>
                <w:szCs w:val="18"/>
              </w:rPr>
              <w:t>上述第②-④项发现一处不符合规定，扣相应权重分值，扣完为止。</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8</w:t>
            </w:r>
          </w:p>
        </w:tc>
        <w:tc>
          <w:tcPr>
            <w:tcW w:w="700" w:type="dxa"/>
            <w:tcBorders>
              <w:top w:val="single" w:color="000000"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8</w:t>
            </w:r>
          </w:p>
        </w:tc>
      </w:tr>
      <w:tr>
        <w:tblPrEx>
          <w:tblLayout w:type="fixed"/>
          <w:tblCellMar>
            <w:top w:w="0" w:type="dxa"/>
            <w:left w:w="108" w:type="dxa"/>
            <w:bottom w:w="0" w:type="dxa"/>
            <w:right w:w="108" w:type="dxa"/>
          </w:tblCellMar>
        </w:tblPrEx>
        <w:trPr>
          <w:trHeight w:val="999" w:hRule="atLeast"/>
        </w:trPr>
        <w:tc>
          <w:tcPr>
            <w:tcW w:w="1070" w:type="dxa"/>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业务管理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项目质量可控性</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①制定有日常监督考核制度及考核标准，是得1分，否则不得分。</w:t>
            </w:r>
          </w:p>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②项目日常监管到位，是得1分，发现一处不符合规定，扣0.2分，扣完为止。</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00" w:type="dxa"/>
            <w:tcBorders>
              <w:top w:val="single" w:color="000000"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r>
      <w:tr>
        <w:tblPrEx>
          <w:tblLayout w:type="fixed"/>
          <w:tblCellMar>
            <w:top w:w="0" w:type="dxa"/>
            <w:left w:w="108" w:type="dxa"/>
            <w:bottom w:w="0" w:type="dxa"/>
            <w:right w:w="108" w:type="dxa"/>
          </w:tblCellMar>
        </w:tblPrEx>
        <w:trPr>
          <w:trHeight w:val="1575" w:hRule="atLeast"/>
        </w:trPr>
        <w:tc>
          <w:tcPr>
            <w:tcW w:w="1070" w:type="dxa"/>
            <w:vMerge w:val="restart"/>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资金管理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管理制度健全性</w:t>
            </w:r>
          </w:p>
        </w:tc>
        <w:tc>
          <w:tcPr>
            <w:tcW w:w="4779" w:type="dxa"/>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①是否已制定或具有相应的财务管理制度，是得1分，否则不得分。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②财务管理制度是否合法、合规、完整，是得1分，否则不得分。</w:t>
            </w:r>
          </w:p>
        </w:tc>
        <w:tc>
          <w:tcPr>
            <w:tcW w:w="847" w:type="dxa"/>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00" w:type="dxa"/>
            <w:tcBorders>
              <w:top w:val="single" w:color="000000" w:sz="4" w:space="0"/>
              <w:lef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r>
      <w:tr>
        <w:tblPrEx>
          <w:tblLayout w:type="fixed"/>
          <w:tblCellMar>
            <w:top w:w="0" w:type="dxa"/>
            <w:left w:w="108" w:type="dxa"/>
            <w:bottom w:w="0" w:type="dxa"/>
            <w:right w:w="108" w:type="dxa"/>
          </w:tblCellMar>
        </w:tblPrEx>
        <w:trPr>
          <w:trHeight w:val="652" w:hRule="atLeast"/>
        </w:trPr>
        <w:tc>
          <w:tcPr>
            <w:tcW w:w="1070" w:type="dxa"/>
            <w:vMerge w:val="continue"/>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制度执行有效性</w:t>
            </w:r>
          </w:p>
        </w:tc>
        <w:tc>
          <w:tcPr>
            <w:tcW w:w="4779" w:type="dxa"/>
            <w:tcBorders>
              <w:top w:val="single" w:color="000000" w:sz="4" w:space="0"/>
              <w:left w:val="single" w:color="000000" w:sz="4" w:space="0"/>
              <w:right w:val="single" w:color="000000" w:sz="4" w:space="0"/>
            </w:tcBorders>
            <w:shd w:val="clear" w:color="auto" w:fill="auto"/>
            <w:vAlign w:val="center"/>
          </w:tcPr>
          <w:p>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是否符合国家财经法规和财务管理制度，以及有关专项资金管理办法的规定，资金的拨付是否有完整的审批程序和手续；项目的重大开支是否经评估认证，是否符合项目预算批复和合同规定的用途；是否存在截留、挤占、挪用、虚拟支出等情况。是得4分；每发现违规一处扣1分，扣完为止。</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4</w:t>
            </w:r>
          </w:p>
        </w:tc>
        <w:tc>
          <w:tcPr>
            <w:tcW w:w="700" w:type="dxa"/>
            <w:tcBorders>
              <w:top w:val="single" w:color="000000"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4</w:t>
            </w:r>
          </w:p>
        </w:tc>
      </w:tr>
      <w:tr>
        <w:tblPrEx>
          <w:tblLayout w:type="fixed"/>
          <w:tblCellMar>
            <w:top w:w="0" w:type="dxa"/>
            <w:left w:w="108" w:type="dxa"/>
            <w:bottom w:w="0" w:type="dxa"/>
            <w:right w:w="108" w:type="dxa"/>
          </w:tblCellMar>
        </w:tblPrEx>
        <w:trPr>
          <w:trHeight w:val="644" w:hRule="atLeast"/>
        </w:trPr>
        <w:tc>
          <w:tcPr>
            <w:tcW w:w="1070" w:type="dxa"/>
            <w:vMerge w:val="continue"/>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财务监控有效性</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①项目是否专账、辅助账核算，是得1分，否则不得分。</w:t>
            </w:r>
          </w:p>
          <w:p>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②是否已制定或具有相应的监控机制，是得0.5分，否则不得分。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③是否采取了相应的财务检查等监控措施或手段，是得0.5分，否则不得分。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00" w:type="dxa"/>
            <w:tcBorders>
              <w:top w:val="single" w:color="000000"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r>
      <w:tr>
        <w:tblPrEx>
          <w:tblLayout w:type="fixed"/>
          <w:tblCellMar>
            <w:top w:w="0" w:type="dxa"/>
            <w:left w:w="108" w:type="dxa"/>
            <w:bottom w:w="0" w:type="dxa"/>
            <w:right w:w="108" w:type="dxa"/>
          </w:tblCellMar>
        </w:tblPrEx>
        <w:trPr>
          <w:trHeight w:val="450" w:hRule="atLeast"/>
        </w:trPr>
        <w:tc>
          <w:tcPr>
            <w:tcW w:w="1070" w:type="dxa"/>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小计</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20</w:t>
            </w:r>
          </w:p>
        </w:tc>
        <w:tc>
          <w:tcPr>
            <w:tcW w:w="700" w:type="dxa"/>
            <w:tcBorders>
              <w:top w:val="single" w:color="000000"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20</w:t>
            </w:r>
          </w:p>
        </w:tc>
      </w:tr>
    </w:tbl>
    <w:p>
      <w:pPr>
        <w:snapToGrid w:val="0"/>
        <w:spacing w:line="560" w:lineRule="atLeast"/>
        <w:ind w:firstLine="560"/>
        <w:rPr>
          <w:rFonts w:ascii="宋体" w:hAnsi="宋体"/>
          <w:szCs w:val="28"/>
        </w:rPr>
      </w:pPr>
      <w:r>
        <w:rPr>
          <w:rFonts w:hint="eastAsia" w:ascii="宋体" w:hAnsi="宋体"/>
          <w:szCs w:val="28"/>
        </w:rPr>
        <w:t>1.业务管理制度健全性标准分值为2分，业主单位执行上级下发的相关业务管理制度，如《中华人民共和国招标投标法》、《政府投资项目管理办法》等，根据部门自身实际情况制定了《安居镇工程建设项目管理办法(试行)》。本次绩效评价得分2分。</w:t>
      </w:r>
    </w:p>
    <w:p>
      <w:pPr>
        <w:snapToGrid w:val="0"/>
        <w:spacing w:line="560" w:lineRule="atLeast"/>
        <w:ind w:firstLine="560"/>
        <w:rPr>
          <w:rFonts w:ascii="宋体" w:hAnsi="宋体"/>
          <w:szCs w:val="28"/>
        </w:rPr>
      </w:pPr>
      <w:r>
        <w:rPr>
          <w:rFonts w:hint="eastAsia" w:ascii="宋体" w:hAnsi="宋体"/>
          <w:szCs w:val="28"/>
        </w:rPr>
        <w:t>2.制度执行有效性标准分值为8分。经检查，项目前期调研评估、申请立项和立项批复、可研评估及可研批复等资料齐全。项目通过公开招标确定项目施工单位，并签订施工合同，招标资料已装订成册。业主单位按合同制的要求施工合同、监理合同、设计合同等。施工用材取得产品合格证，经抽检合格并取得检验报告。项目资料已经整理归档。项目实施的人员条件、场地设备、信息支撑已落实到位。本次绩效评价得分8分。</w:t>
      </w:r>
    </w:p>
    <w:p>
      <w:pPr>
        <w:snapToGrid w:val="0"/>
        <w:spacing w:line="560" w:lineRule="atLeast"/>
        <w:ind w:firstLine="560"/>
        <w:rPr>
          <w:rFonts w:ascii="宋体" w:hAnsi="宋体"/>
          <w:szCs w:val="28"/>
        </w:rPr>
      </w:pPr>
      <w:r>
        <w:rPr>
          <w:rFonts w:hint="eastAsia" w:ascii="宋体" w:hAnsi="宋体"/>
          <w:szCs w:val="28"/>
        </w:rPr>
        <w:t>3.项目质量可控性标准分值为2分。业主单位聘请监理单位、跟审单位对项目质量进行日常监督，同时业主单位相关人员不定期进行施工现场安全质量检查。经查看跟踪审计和监理工作总结、监理工作日志，跟踪审计和监理工作执行基本到位。施工材料取得产品质量合格证，抽检合格并取得检验报告。本次绩效评价得2分。</w:t>
      </w:r>
    </w:p>
    <w:p>
      <w:pPr>
        <w:snapToGrid w:val="0"/>
        <w:spacing w:line="560" w:lineRule="atLeast"/>
        <w:ind w:firstLine="560"/>
        <w:rPr>
          <w:rFonts w:ascii="宋体" w:hAnsi="宋体"/>
          <w:szCs w:val="28"/>
        </w:rPr>
      </w:pPr>
      <w:r>
        <w:rPr>
          <w:rFonts w:hint="eastAsia" w:ascii="宋体" w:hAnsi="宋体"/>
          <w:szCs w:val="28"/>
        </w:rPr>
        <w:t>4.财务制度健全性标准分值为2分。业主单位执行《安居镇机关财务管理办法》。财务管理制度对财务核算、资产管理、收入和票据管理、支出管理等作出了规定。其中支出管理明确了工程项目支出的审批流程、各级审批权限以及审核要件。财务管理制度合法、合规、完整。本次绩效评价得分2分。</w:t>
      </w:r>
    </w:p>
    <w:p>
      <w:pPr>
        <w:snapToGrid w:val="0"/>
        <w:spacing w:line="560" w:lineRule="atLeast"/>
        <w:ind w:firstLine="560"/>
        <w:rPr>
          <w:rFonts w:ascii="宋体" w:hAnsi="宋体"/>
          <w:szCs w:val="28"/>
        </w:rPr>
      </w:pPr>
      <w:r>
        <w:rPr>
          <w:rFonts w:hint="eastAsia" w:ascii="宋体" w:hAnsi="宋体"/>
          <w:szCs w:val="28"/>
        </w:rPr>
        <w:t>5.资金使用合规性标准分值为4分。经检查，建设项目进行了合规的账务处理。合理反映该项目的资金到位、使用结余及预算执行情况。经查，工程款支付时附有业主、业务主管部门盖章确认的铜梁区财政支农资金</w:t>
      </w:r>
      <w:r>
        <w:rPr>
          <w:rFonts w:hint="eastAsia" w:ascii="宋体" w:hAnsi="宋体"/>
          <w:szCs w:val="28"/>
          <w:lang w:eastAsia="zh-CN"/>
        </w:rPr>
        <w:t>报账</w:t>
      </w:r>
      <w:r>
        <w:rPr>
          <w:rFonts w:hint="eastAsia" w:ascii="宋体" w:hAnsi="宋体"/>
          <w:szCs w:val="28"/>
        </w:rPr>
        <w:t>申请表及铜梁区财政支农项目进度验收表、有经监理单位审核盖章确认的工程支付证书及工程款支付报审表、发票。资金不存在截留、挤占、挪用、虚列支出等情况。本次绩效评价得分4分。</w:t>
      </w:r>
    </w:p>
    <w:p>
      <w:pPr>
        <w:snapToGrid w:val="0"/>
        <w:spacing w:line="560" w:lineRule="atLeast"/>
        <w:ind w:firstLine="560"/>
        <w:rPr>
          <w:rFonts w:ascii="宋体" w:hAnsi="宋体"/>
          <w:szCs w:val="28"/>
        </w:rPr>
      </w:pPr>
      <w:r>
        <w:rPr>
          <w:rFonts w:hint="eastAsia" w:ascii="宋体" w:hAnsi="宋体"/>
          <w:szCs w:val="28"/>
          <w:lang w:val="en-US" w:eastAsia="zh-CN"/>
        </w:rPr>
        <w:t>6</w:t>
      </w:r>
      <w:r>
        <w:rPr>
          <w:rFonts w:hint="eastAsia" w:ascii="宋体" w:hAnsi="宋体"/>
          <w:szCs w:val="28"/>
        </w:rPr>
        <w:t>.财务监控有效性标准分值为2分。项目设立辅助账核算，另外建立了项目农民工工资和工程款拨付情况表，会计核算清晰。财务管理办法规定了相应的支付审批流程及审核要件，在日常报销中起到资金支出监控作用。本次绩效评价得分</w:t>
      </w:r>
      <w:r>
        <w:rPr>
          <w:rFonts w:ascii="宋体" w:hAnsi="宋体"/>
          <w:szCs w:val="28"/>
        </w:rPr>
        <w:t>2</w:t>
      </w:r>
      <w:r>
        <w:rPr>
          <w:rFonts w:hint="eastAsia" w:ascii="宋体" w:hAnsi="宋体"/>
          <w:szCs w:val="28"/>
        </w:rPr>
        <w:t>分。</w:t>
      </w:r>
    </w:p>
    <w:p>
      <w:pPr>
        <w:snapToGrid w:val="0"/>
        <w:spacing w:line="560" w:lineRule="atLeast"/>
        <w:ind w:firstLine="562"/>
        <w:outlineLvl w:val="1"/>
        <w:rPr>
          <w:rFonts w:ascii="宋体" w:hAnsi="宋体"/>
          <w:b/>
          <w:szCs w:val="28"/>
        </w:rPr>
      </w:pPr>
      <w:r>
        <w:rPr>
          <w:rFonts w:hint="eastAsia" w:ascii="宋体" w:hAnsi="宋体"/>
          <w:b/>
          <w:szCs w:val="28"/>
        </w:rPr>
        <w:t>（三）产出类指标</w:t>
      </w:r>
    </w:p>
    <w:p>
      <w:pPr>
        <w:snapToGrid w:val="0"/>
        <w:spacing w:line="560" w:lineRule="atLeast"/>
        <w:ind w:firstLine="560"/>
        <w:rPr>
          <w:rFonts w:ascii="宋体" w:hAnsi="宋体"/>
          <w:szCs w:val="28"/>
        </w:rPr>
      </w:pPr>
      <w:r>
        <w:rPr>
          <w:rFonts w:hint="eastAsia" w:ascii="宋体" w:hAnsi="宋体"/>
          <w:szCs w:val="28"/>
        </w:rPr>
        <w:t>涉及管理的二级指标为：数量指标、时效指标、质量指标及成本指标。各二级指标下设三级指标。</w:t>
      </w:r>
    </w:p>
    <w:p>
      <w:pPr>
        <w:snapToGrid w:val="0"/>
        <w:spacing w:line="560" w:lineRule="atLeast"/>
        <w:ind w:firstLine="560"/>
        <w:rPr>
          <w:rFonts w:ascii="宋体" w:hAnsi="宋体"/>
          <w:szCs w:val="28"/>
        </w:rPr>
      </w:pPr>
      <w:r>
        <w:rPr>
          <w:rFonts w:hint="eastAsia" w:ascii="宋体" w:hAnsi="宋体"/>
          <w:szCs w:val="28"/>
        </w:rPr>
        <w:t>该项总30分，实际得分28分，扣分2分，主要扣分原因为部分单位工程任务没完成。具体情况如下：</w:t>
      </w:r>
    </w:p>
    <w:tbl>
      <w:tblPr>
        <w:tblStyle w:val="18"/>
        <w:tblW w:w="8522" w:type="dxa"/>
        <w:tblInd w:w="0"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1138"/>
        <w:gridCol w:w="4832"/>
        <w:gridCol w:w="674"/>
        <w:gridCol w:w="886"/>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blHeader/>
        </w:trPr>
        <w:tc>
          <w:tcPr>
            <w:tcW w:w="992"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lang w:bidi="ar"/>
              </w:rPr>
              <w:t>二级指标</w:t>
            </w:r>
          </w:p>
        </w:tc>
        <w:tc>
          <w:tcPr>
            <w:tcW w:w="1138" w:type="dxa"/>
            <w:tcBorders>
              <w:tl2br w:val="nil"/>
              <w:tr2bl w:val="nil"/>
            </w:tcBorders>
            <w:shd w:val="clear" w:color="auto" w:fill="auto"/>
            <w:vAlign w:val="center"/>
          </w:tcPr>
          <w:p>
            <w:pPr>
              <w:widowControl/>
              <w:spacing w:line="240" w:lineRule="auto"/>
              <w:ind w:firstLine="0" w:firstLineChars="0"/>
              <w:jc w:val="center"/>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lang w:bidi="ar"/>
              </w:rPr>
              <w:t>三级指标</w:t>
            </w:r>
          </w:p>
        </w:tc>
        <w:tc>
          <w:tcPr>
            <w:tcW w:w="4832" w:type="dxa"/>
            <w:tcBorders>
              <w:tl2br w:val="nil"/>
              <w:tr2bl w:val="nil"/>
            </w:tcBorders>
            <w:shd w:val="clear" w:color="auto" w:fill="auto"/>
            <w:vAlign w:val="center"/>
          </w:tcPr>
          <w:p>
            <w:pPr>
              <w:widowControl/>
              <w:spacing w:line="240" w:lineRule="auto"/>
              <w:ind w:firstLine="360"/>
              <w:jc w:val="center"/>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lang w:bidi="ar"/>
              </w:rPr>
              <w:t>评分标准</w:t>
            </w:r>
          </w:p>
        </w:tc>
        <w:tc>
          <w:tcPr>
            <w:tcW w:w="674" w:type="dxa"/>
            <w:tcBorders>
              <w:tl2br w:val="nil"/>
              <w:tr2bl w:val="nil"/>
            </w:tcBorders>
            <w:shd w:val="clear" w:color="auto" w:fill="auto"/>
            <w:noWrap/>
            <w:vAlign w:val="center"/>
          </w:tcPr>
          <w:p>
            <w:pPr>
              <w:widowControl/>
              <w:spacing w:line="240" w:lineRule="auto"/>
              <w:ind w:firstLine="0" w:firstLineChars="0"/>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lang w:bidi="ar"/>
              </w:rPr>
              <w:t>分值</w:t>
            </w:r>
          </w:p>
        </w:tc>
        <w:tc>
          <w:tcPr>
            <w:tcW w:w="886" w:type="dxa"/>
            <w:tcBorders>
              <w:tl2br w:val="nil"/>
              <w:tr2bl w:val="nil"/>
            </w:tcBorders>
            <w:shd w:val="clear" w:color="auto" w:fill="auto"/>
            <w:noWrap/>
            <w:vAlign w:val="center"/>
          </w:tcPr>
          <w:p>
            <w:pPr>
              <w:widowControl/>
              <w:spacing w:line="240" w:lineRule="auto"/>
              <w:ind w:firstLine="199" w:firstLineChars="110"/>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lang w:bidi="ar"/>
              </w:rPr>
              <w:t>得分</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168" w:hRule="atLeast"/>
        </w:trPr>
        <w:tc>
          <w:tcPr>
            <w:tcW w:w="992" w:type="dxa"/>
            <w:tcBorders>
              <w:tl2br w:val="nil"/>
              <w:tr2bl w:val="nil"/>
            </w:tcBorders>
            <w:shd w:val="clear" w:color="auto" w:fill="auto"/>
            <w:noWrap/>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bidi="ar"/>
              </w:rPr>
              <w:t>数量指标</w:t>
            </w:r>
          </w:p>
        </w:tc>
        <w:tc>
          <w:tcPr>
            <w:tcW w:w="1138"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r>
              <w:rPr>
                <w:rFonts w:ascii="方正仿宋_GBK" w:hAnsi="方正仿宋_GBK" w:eastAsia="方正仿宋_GBK" w:cs="方正仿宋_GBK"/>
                <w:kern w:val="0"/>
                <w:sz w:val="18"/>
                <w:szCs w:val="18"/>
                <w:lang w:bidi="ar"/>
              </w:rPr>
              <w:t>实际完成率</w:t>
            </w:r>
          </w:p>
        </w:tc>
        <w:tc>
          <w:tcPr>
            <w:tcW w:w="4832"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①实际完成率≥100%，得10分；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②实际完成率在95%（含）-100%之间，得9分；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③实际完成率在90%（含）-95%之间，得8分；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④实际完成率在85%（含）-90%之间，得7分；</w:t>
            </w:r>
          </w:p>
          <w:p>
            <w:pPr>
              <w:widowControl/>
              <w:spacing w:line="240" w:lineRule="auto"/>
              <w:ind w:firstLine="0" w:firstLineChars="0"/>
              <w:jc w:val="left"/>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bidi="ar"/>
              </w:rPr>
              <w:t>⑤实际完成率未达85%，不得分。</w:t>
            </w:r>
          </w:p>
        </w:tc>
        <w:tc>
          <w:tcPr>
            <w:tcW w:w="674"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886"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928" w:hRule="atLeast"/>
        </w:trPr>
        <w:tc>
          <w:tcPr>
            <w:tcW w:w="992"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bidi="ar"/>
              </w:rPr>
              <w:t>时效指标</w:t>
            </w:r>
          </w:p>
        </w:tc>
        <w:tc>
          <w:tcPr>
            <w:tcW w:w="1138"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r>
              <w:rPr>
                <w:rFonts w:ascii="方正仿宋_GBK" w:hAnsi="方正仿宋_GBK" w:eastAsia="方正仿宋_GBK" w:cs="方正仿宋_GBK"/>
                <w:kern w:val="0"/>
                <w:sz w:val="18"/>
                <w:szCs w:val="18"/>
                <w:lang w:bidi="ar"/>
              </w:rPr>
              <w:t>完成及时率</w:t>
            </w:r>
          </w:p>
        </w:tc>
        <w:tc>
          <w:tcPr>
            <w:tcW w:w="4832"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①延迟完成时间/计划完成时间≤0，得6分；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②延迟完成时间/计划完成时间在0-5%（含）之间，得5分；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③延迟完成时间/计划完成时间在5%-10%（含）之间，得4分；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④延迟完成时间/计划完成时间在10%-15%（含）之间，得3分；</w:t>
            </w:r>
          </w:p>
          <w:p>
            <w:pPr>
              <w:widowControl/>
              <w:spacing w:line="240" w:lineRule="auto"/>
              <w:ind w:firstLine="0" w:firstLineChars="0"/>
              <w:jc w:val="left"/>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bidi="ar"/>
              </w:rPr>
              <w:t>⑤延迟完成时间/计划完成时间大于15%，不得分。</w:t>
            </w:r>
          </w:p>
        </w:tc>
        <w:tc>
          <w:tcPr>
            <w:tcW w:w="674"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c>
          <w:tcPr>
            <w:tcW w:w="886"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156" w:hRule="atLeast"/>
        </w:trPr>
        <w:tc>
          <w:tcPr>
            <w:tcW w:w="992" w:type="dxa"/>
            <w:tcBorders>
              <w:tl2br w:val="nil"/>
              <w:tr2bl w:val="nil"/>
            </w:tcBorders>
            <w:shd w:val="clear" w:color="auto" w:fill="auto"/>
            <w:noWrap/>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bidi="ar"/>
              </w:rPr>
              <w:t>质量指标</w:t>
            </w:r>
          </w:p>
        </w:tc>
        <w:tc>
          <w:tcPr>
            <w:tcW w:w="1138"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质量达标率</w:t>
            </w:r>
          </w:p>
        </w:tc>
        <w:tc>
          <w:tcPr>
            <w:tcW w:w="4832"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①质量达标率≥100%，得8分；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②质量达标率在95%（含）-100%之间，得7分；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③质量达标率在90%（含）-95%之间，得6分；</w:t>
            </w:r>
          </w:p>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④质量达标率在85%（含）-90%之间，得5分；</w:t>
            </w:r>
          </w:p>
          <w:p>
            <w:pPr>
              <w:widowControl/>
              <w:spacing w:line="240" w:lineRule="auto"/>
              <w:ind w:firstLine="0" w:firstLineChars="0"/>
              <w:jc w:val="left"/>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bidi="ar"/>
              </w:rPr>
              <w:t>⑤质量达标率未达85%，不得分。</w:t>
            </w:r>
          </w:p>
        </w:tc>
        <w:tc>
          <w:tcPr>
            <w:tcW w:w="674"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c>
          <w:tcPr>
            <w:tcW w:w="886"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94" w:hRule="atLeast"/>
        </w:trPr>
        <w:tc>
          <w:tcPr>
            <w:tcW w:w="992" w:type="dxa"/>
            <w:tcBorders>
              <w:tl2br w:val="nil"/>
              <w:tr2bl w:val="nil"/>
            </w:tcBorders>
            <w:shd w:val="clear" w:color="auto" w:fill="auto"/>
            <w:noWrap/>
            <w:vAlign w:val="center"/>
          </w:tcPr>
          <w:p>
            <w:pPr>
              <w:widowControl/>
              <w:spacing w:line="240" w:lineRule="auto"/>
              <w:ind w:firstLine="0" w:firstLineChars="0"/>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成本指标</w:t>
            </w:r>
          </w:p>
        </w:tc>
        <w:tc>
          <w:tcPr>
            <w:tcW w:w="1138"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成本节约率</w:t>
            </w:r>
          </w:p>
        </w:tc>
        <w:tc>
          <w:tcPr>
            <w:tcW w:w="4832"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实际成本≤计划成本得6分。否则不得分。</w:t>
            </w:r>
          </w:p>
        </w:tc>
        <w:tc>
          <w:tcPr>
            <w:tcW w:w="674"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6</w:t>
            </w:r>
          </w:p>
        </w:tc>
        <w:tc>
          <w:tcPr>
            <w:tcW w:w="886"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kern w:val="0"/>
                <w:sz w:val="18"/>
                <w:szCs w:val="18"/>
                <w:lang w:bidi="ar"/>
              </w:rPr>
            </w:pPr>
            <w:r>
              <w:rPr>
                <w:rFonts w:hint="eastAsia" w:ascii="方正仿宋_GBK" w:hAnsi="方正仿宋_GBK" w:eastAsia="方正仿宋_GBK" w:cs="方正仿宋_GBK"/>
                <w:kern w:val="0"/>
                <w:sz w:val="18"/>
                <w:szCs w:val="18"/>
                <w:lang w:bidi="ar"/>
              </w:rPr>
              <w:t>6</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rPr>
        <w:tc>
          <w:tcPr>
            <w:tcW w:w="992" w:type="dxa"/>
            <w:tcBorders>
              <w:tl2br w:val="nil"/>
              <w:tr2bl w:val="nil"/>
            </w:tcBorders>
            <w:shd w:val="clear" w:color="auto" w:fill="auto"/>
            <w:noWrap/>
            <w:vAlign w:val="center"/>
          </w:tcPr>
          <w:p>
            <w:pPr>
              <w:widowControl/>
              <w:spacing w:line="240" w:lineRule="auto"/>
              <w:ind w:firstLineChars="111"/>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小计</w:t>
            </w:r>
          </w:p>
        </w:tc>
        <w:tc>
          <w:tcPr>
            <w:tcW w:w="1138" w:type="dxa"/>
            <w:tcBorders>
              <w:tl2br w:val="nil"/>
              <w:tr2bl w:val="nil"/>
            </w:tcBorders>
            <w:shd w:val="clear" w:color="auto" w:fill="auto"/>
            <w:vAlign w:val="center"/>
          </w:tcPr>
          <w:p>
            <w:pPr>
              <w:widowControl/>
              <w:spacing w:line="240" w:lineRule="auto"/>
              <w:ind w:firstLine="360"/>
              <w:jc w:val="center"/>
              <w:rPr>
                <w:rFonts w:ascii="方正仿宋_GBK" w:hAnsi="方正仿宋_GBK" w:eastAsia="方正仿宋_GBK" w:cs="方正仿宋_GBK"/>
                <w:sz w:val="18"/>
                <w:szCs w:val="18"/>
              </w:rPr>
            </w:pPr>
          </w:p>
        </w:tc>
        <w:tc>
          <w:tcPr>
            <w:tcW w:w="4832" w:type="dxa"/>
            <w:tcBorders>
              <w:tl2br w:val="nil"/>
              <w:tr2bl w:val="nil"/>
            </w:tcBorders>
            <w:shd w:val="clear" w:color="auto" w:fill="auto"/>
            <w:noWrap/>
            <w:vAlign w:val="center"/>
          </w:tcPr>
          <w:p>
            <w:pPr>
              <w:widowControl/>
              <w:spacing w:line="240" w:lineRule="auto"/>
              <w:ind w:firstLine="360"/>
              <w:jc w:val="center"/>
              <w:rPr>
                <w:rFonts w:ascii="方正仿宋_GBK" w:hAnsi="方正仿宋_GBK" w:eastAsia="方正仿宋_GBK" w:cs="方正仿宋_GBK"/>
                <w:sz w:val="18"/>
                <w:szCs w:val="18"/>
              </w:rPr>
            </w:pPr>
          </w:p>
        </w:tc>
        <w:tc>
          <w:tcPr>
            <w:tcW w:w="674" w:type="dxa"/>
            <w:tcBorders>
              <w:tl2br w:val="nil"/>
              <w:tr2bl w:val="nil"/>
            </w:tcBorders>
            <w:shd w:val="clear" w:color="auto" w:fill="auto"/>
            <w:noWrap/>
            <w:vAlign w:val="center"/>
          </w:tcPr>
          <w:p>
            <w:pPr>
              <w:widowControl/>
              <w:spacing w:line="240" w:lineRule="auto"/>
              <w:ind w:firstLine="180" w:firstLineChars="10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30</w:t>
            </w:r>
          </w:p>
        </w:tc>
        <w:tc>
          <w:tcPr>
            <w:tcW w:w="886"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28</w:t>
            </w:r>
          </w:p>
        </w:tc>
      </w:tr>
    </w:tbl>
    <w:p>
      <w:pPr>
        <w:snapToGrid w:val="0"/>
        <w:spacing w:line="560" w:lineRule="atLeast"/>
        <w:ind w:firstLine="560"/>
        <w:rPr>
          <w:rFonts w:ascii="宋体" w:hAnsi="宋体"/>
          <w:szCs w:val="28"/>
        </w:rPr>
      </w:pPr>
      <w:r>
        <w:rPr>
          <w:rFonts w:hint="eastAsia" w:ascii="宋体" w:hAnsi="宋体"/>
          <w:szCs w:val="28"/>
        </w:rPr>
        <w:t>1.实际完成率标准分值为10分。经检查，项目完工，根据立项文件、结算审核报告及验收竣工验收会议纪要，截至2023年12月31日累计完成产值897.04万元，占施工合同金额的100.66%，巡护管理道路8000平方米、恢复连通湿地水系20000平方米未全部完成，该项目扣2分，本次绩效评价得分8分。</w:t>
      </w:r>
    </w:p>
    <w:p>
      <w:pPr>
        <w:snapToGrid w:val="0"/>
        <w:spacing w:line="560" w:lineRule="atLeast"/>
        <w:ind w:firstLine="560"/>
        <w:rPr>
          <w:rFonts w:ascii="宋体" w:hAnsi="宋体"/>
          <w:szCs w:val="28"/>
        </w:rPr>
      </w:pPr>
      <w:r>
        <w:rPr>
          <w:rFonts w:ascii="宋体" w:hAnsi="宋体"/>
          <w:szCs w:val="28"/>
        </w:rPr>
        <w:t>2.</w:t>
      </w:r>
      <w:r>
        <w:rPr>
          <w:rFonts w:hint="eastAsia" w:ascii="宋体" w:hAnsi="宋体"/>
          <w:szCs w:val="28"/>
        </w:rPr>
        <w:t>完成及时率标准分值为6分。根据项目可行性研究报告以及区发改委立项批复，本项目计划建设期间2021年1月-2023年12月，实际于2023年12月21日开工建设，合同工期174天，延迟完成时间/计划完成时间=-0.91%。本次绩效评价得分6分。</w:t>
      </w:r>
    </w:p>
    <w:p>
      <w:pPr>
        <w:snapToGrid w:val="0"/>
        <w:spacing w:line="560" w:lineRule="atLeast"/>
        <w:ind w:firstLine="560"/>
        <w:rPr>
          <w:rFonts w:ascii="宋体" w:hAnsi="宋体"/>
          <w:szCs w:val="28"/>
        </w:rPr>
      </w:pPr>
      <w:r>
        <w:rPr>
          <w:rFonts w:hint="eastAsia" w:ascii="宋体" w:hAnsi="宋体"/>
          <w:szCs w:val="28"/>
        </w:rPr>
        <w:t>3</w:t>
      </w:r>
      <w:r>
        <w:rPr>
          <w:rFonts w:ascii="宋体" w:hAnsi="宋体"/>
          <w:szCs w:val="28"/>
        </w:rPr>
        <w:t>.</w:t>
      </w:r>
      <w:r>
        <w:rPr>
          <w:rFonts w:hint="eastAsia" w:ascii="宋体" w:hAnsi="宋体"/>
          <w:szCs w:val="28"/>
        </w:rPr>
        <w:t>质量达标率标准分值为8分。施工材料质量抽检结果合格。经查阅质量检测报告、监理日志及现场查看，未发现明显质量问题，本次绩效评价得分8分。</w:t>
      </w:r>
    </w:p>
    <w:p>
      <w:pPr>
        <w:snapToGrid w:val="0"/>
        <w:spacing w:line="560" w:lineRule="atLeast"/>
        <w:ind w:firstLine="560"/>
        <w:rPr>
          <w:rFonts w:ascii="宋体" w:hAnsi="宋体"/>
          <w:szCs w:val="28"/>
        </w:rPr>
      </w:pPr>
      <w:r>
        <w:rPr>
          <w:rFonts w:hint="eastAsia" w:ascii="宋体" w:hAnsi="宋体"/>
          <w:szCs w:val="28"/>
        </w:rPr>
        <w:t>4.成本节约率标准分值为6分。项目已完工并完成工程结算审核。将预算审核金额与工程结算审定金额进行对比，预算金额1505.410108万元，工程结算审定金额897.03670万元，未超预算，本次绩效评价得分6分。</w:t>
      </w:r>
    </w:p>
    <w:p>
      <w:pPr>
        <w:snapToGrid w:val="0"/>
        <w:spacing w:line="560" w:lineRule="atLeast"/>
        <w:ind w:firstLine="562"/>
        <w:outlineLvl w:val="1"/>
        <w:rPr>
          <w:rFonts w:ascii="宋体" w:hAnsi="宋体"/>
          <w:b/>
          <w:szCs w:val="28"/>
        </w:rPr>
      </w:pPr>
      <w:r>
        <w:rPr>
          <w:rFonts w:hint="eastAsia" w:ascii="宋体" w:hAnsi="宋体"/>
          <w:b/>
          <w:szCs w:val="28"/>
        </w:rPr>
        <w:t>（四）效益类指标</w:t>
      </w:r>
    </w:p>
    <w:p>
      <w:pPr>
        <w:snapToGrid w:val="0"/>
        <w:spacing w:line="560" w:lineRule="atLeast"/>
        <w:ind w:firstLine="560"/>
        <w:rPr>
          <w:rFonts w:ascii="宋体" w:hAnsi="宋体"/>
          <w:szCs w:val="28"/>
        </w:rPr>
      </w:pPr>
      <w:r>
        <w:rPr>
          <w:rFonts w:hint="eastAsia" w:ascii="宋体" w:hAnsi="宋体"/>
          <w:szCs w:val="28"/>
        </w:rPr>
        <w:t>涉及效益的二级指标为：社会效益、生态效益、可持续影响及满意度。各二级指标下设三级指标。</w:t>
      </w:r>
    </w:p>
    <w:p>
      <w:pPr>
        <w:snapToGrid w:val="0"/>
        <w:spacing w:line="560" w:lineRule="atLeast"/>
        <w:ind w:firstLine="560"/>
        <w:rPr>
          <w:rFonts w:ascii="宋体" w:hAnsi="宋体"/>
          <w:szCs w:val="28"/>
        </w:rPr>
      </w:pPr>
      <w:r>
        <w:rPr>
          <w:rFonts w:hint="eastAsia" w:ascii="宋体" w:hAnsi="宋体"/>
          <w:szCs w:val="28"/>
        </w:rPr>
        <w:t>该项总30分，实际得分30分。具体情况如下：</w:t>
      </w:r>
    </w:p>
    <w:tbl>
      <w:tblPr>
        <w:tblStyle w:val="18"/>
        <w:tblW w:w="8376" w:type="dxa"/>
        <w:tblInd w:w="96"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363"/>
        <w:gridCol w:w="1320"/>
        <w:gridCol w:w="4176"/>
        <w:gridCol w:w="756"/>
        <w:gridCol w:w="761"/>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tblHeader/>
        </w:trPr>
        <w:tc>
          <w:tcPr>
            <w:tcW w:w="1363" w:type="dxa"/>
            <w:tcBorders>
              <w:tl2br w:val="nil"/>
              <w:tr2bl w:val="nil"/>
            </w:tcBorders>
            <w:shd w:val="clear" w:color="auto" w:fill="auto"/>
            <w:vAlign w:val="center"/>
          </w:tcPr>
          <w:p>
            <w:pPr>
              <w:widowControl/>
              <w:spacing w:line="240" w:lineRule="auto"/>
              <w:ind w:firstLine="360"/>
              <w:jc w:val="center"/>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lang w:bidi="ar"/>
              </w:rPr>
              <w:t>二级指标</w:t>
            </w:r>
          </w:p>
        </w:tc>
        <w:tc>
          <w:tcPr>
            <w:tcW w:w="1320"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lang w:bidi="ar"/>
              </w:rPr>
              <w:t>三级指标</w:t>
            </w:r>
          </w:p>
        </w:tc>
        <w:tc>
          <w:tcPr>
            <w:tcW w:w="4176" w:type="dxa"/>
            <w:tcBorders>
              <w:tl2br w:val="nil"/>
              <w:tr2bl w:val="nil"/>
            </w:tcBorders>
            <w:shd w:val="clear" w:color="auto" w:fill="auto"/>
            <w:vAlign w:val="center"/>
          </w:tcPr>
          <w:p>
            <w:pPr>
              <w:widowControl/>
              <w:spacing w:line="240" w:lineRule="auto"/>
              <w:ind w:firstLine="360"/>
              <w:jc w:val="center"/>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lang w:bidi="ar"/>
              </w:rPr>
              <w:t>评分标准</w:t>
            </w:r>
          </w:p>
        </w:tc>
        <w:tc>
          <w:tcPr>
            <w:tcW w:w="756"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lang w:bidi="ar"/>
              </w:rPr>
              <w:t>分值</w:t>
            </w:r>
          </w:p>
        </w:tc>
        <w:tc>
          <w:tcPr>
            <w:tcW w:w="761"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lang w:bidi="ar"/>
              </w:rPr>
              <w:t>得分</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trPr>
        <w:tc>
          <w:tcPr>
            <w:tcW w:w="1363" w:type="dxa"/>
            <w:vMerge w:val="restart"/>
            <w:tcBorders>
              <w:tl2br w:val="nil"/>
              <w:tr2bl w:val="nil"/>
            </w:tcBorders>
            <w:shd w:val="clear" w:color="auto" w:fill="auto"/>
            <w:noWrap/>
            <w:vAlign w:val="center"/>
          </w:tcPr>
          <w:p>
            <w:pPr>
              <w:widowControl/>
              <w:spacing w:line="240" w:lineRule="auto"/>
              <w:ind w:firstLine="360"/>
              <w:jc w:val="left"/>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社会效益</w:t>
            </w:r>
          </w:p>
        </w:tc>
        <w:tc>
          <w:tcPr>
            <w:tcW w:w="1320"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经济发展</w:t>
            </w:r>
          </w:p>
        </w:tc>
        <w:tc>
          <w:tcPr>
            <w:tcW w:w="4176"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能够为经济发展带来有利影响的得5分，否则不得分</w:t>
            </w:r>
          </w:p>
        </w:tc>
        <w:tc>
          <w:tcPr>
            <w:tcW w:w="756"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c>
          <w:tcPr>
            <w:tcW w:w="761" w:type="dxa"/>
            <w:tcBorders>
              <w:tl2br w:val="nil"/>
              <w:tr2bl w:val="nil"/>
            </w:tcBorders>
            <w:shd w:val="clear" w:color="auto" w:fill="auto"/>
            <w:noWrap/>
            <w:vAlign w:val="center"/>
          </w:tcPr>
          <w:p>
            <w:pPr>
              <w:widowControl/>
              <w:spacing w:line="240" w:lineRule="auto"/>
              <w:ind w:firstLine="180" w:firstLineChars="100"/>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78" w:hRule="atLeast"/>
        </w:trPr>
        <w:tc>
          <w:tcPr>
            <w:tcW w:w="1363" w:type="dxa"/>
            <w:vMerge w:val="continue"/>
            <w:tcBorders>
              <w:tl2br w:val="nil"/>
              <w:tr2bl w:val="nil"/>
            </w:tcBorders>
            <w:shd w:val="clear" w:color="auto" w:fill="auto"/>
            <w:noWrap/>
            <w:vAlign w:val="center"/>
          </w:tcPr>
          <w:p>
            <w:pPr>
              <w:widowControl/>
              <w:spacing w:line="240" w:lineRule="auto"/>
              <w:ind w:firstLine="360"/>
              <w:jc w:val="left"/>
              <w:rPr>
                <w:rFonts w:ascii="方正仿宋_GBK" w:hAnsi="方正仿宋_GBK" w:eastAsia="方正仿宋_GBK" w:cs="方正仿宋_GBK"/>
                <w:color w:val="000000"/>
                <w:sz w:val="18"/>
                <w:szCs w:val="18"/>
              </w:rPr>
            </w:pPr>
          </w:p>
        </w:tc>
        <w:tc>
          <w:tcPr>
            <w:tcW w:w="1320"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完善基础设施</w:t>
            </w:r>
          </w:p>
        </w:tc>
        <w:tc>
          <w:tcPr>
            <w:tcW w:w="4176"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能够提升城镇基础设施建设完善度的5分，否则不得分</w:t>
            </w:r>
          </w:p>
        </w:tc>
        <w:tc>
          <w:tcPr>
            <w:tcW w:w="756"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c>
          <w:tcPr>
            <w:tcW w:w="761"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626" w:hRule="atLeast"/>
        </w:trPr>
        <w:tc>
          <w:tcPr>
            <w:tcW w:w="1363" w:type="dxa"/>
            <w:tcBorders>
              <w:tl2br w:val="nil"/>
              <w:tr2bl w:val="nil"/>
            </w:tcBorders>
            <w:shd w:val="clear" w:color="auto" w:fill="auto"/>
            <w:noWrap/>
            <w:vAlign w:val="center"/>
          </w:tcPr>
          <w:p>
            <w:pPr>
              <w:widowControl/>
              <w:spacing w:line="240" w:lineRule="auto"/>
              <w:ind w:firstLine="360"/>
              <w:jc w:val="left"/>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生态效益</w:t>
            </w:r>
          </w:p>
        </w:tc>
        <w:tc>
          <w:tcPr>
            <w:tcW w:w="1320"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生态影响</w:t>
            </w:r>
          </w:p>
        </w:tc>
        <w:tc>
          <w:tcPr>
            <w:tcW w:w="4176"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lang w:bidi="ar"/>
              </w:rPr>
            </w:pPr>
            <w:r>
              <w:rPr>
                <w:rFonts w:ascii="方正仿宋_GBK" w:hAnsi="方正仿宋_GBK" w:eastAsia="方正仿宋_GBK" w:cs="方正仿宋_GBK"/>
                <w:color w:val="000000"/>
                <w:kern w:val="0"/>
                <w:sz w:val="18"/>
                <w:szCs w:val="18"/>
                <w:lang w:bidi="ar"/>
              </w:rPr>
              <w:t>未破坏生态环境得</w:t>
            </w:r>
            <w:r>
              <w:rPr>
                <w:rFonts w:hint="eastAsia" w:ascii="方正仿宋_GBK" w:hAnsi="方正仿宋_GBK" w:eastAsia="方正仿宋_GBK" w:cs="方正仿宋_GBK"/>
                <w:color w:val="000000"/>
                <w:kern w:val="0"/>
                <w:sz w:val="18"/>
                <w:szCs w:val="18"/>
                <w:lang w:bidi="ar"/>
              </w:rPr>
              <w:t>5</w:t>
            </w:r>
            <w:r>
              <w:rPr>
                <w:rFonts w:ascii="方正仿宋_GBK" w:hAnsi="方正仿宋_GBK" w:eastAsia="方正仿宋_GBK" w:cs="方正仿宋_GBK"/>
                <w:color w:val="000000"/>
                <w:kern w:val="0"/>
                <w:sz w:val="18"/>
                <w:szCs w:val="18"/>
                <w:lang w:bidi="ar"/>
              </w:rPr>
              <w:t>分，破坏生态环境不得分。</w:t>
            </w:r>
          </w:p>
        </w:tc>
        <w:tc>
          <w:tcPr>
            <w:tcW w:w="756"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c>
          <w:tcPr>
            <w:tcW w:w="761"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32" w:hRule="atLeast"/>
        </w:trPr>
        <w:tc>
          <w:tcPr>
            <w:tcW w:w="1363" w:type="dxa"/>
            <w:tcBorders>
              <w:tl2br w:val="nil"/>
              <w:tr2bl w:val="nil"/>
            </w:tcBorders>
            <w:shd w:val="clear" w:color="auto" w:fill="auto"/>
            <w:noWrap/>
            <w:vAlign w:val="center"/>
          </w:tcPr>
          <w:p>
            <w:pPr>
              <w:widowControl/>
              <w:spacing w:line="240" w:lineRule="auto"/>
              <w:ind w:firstLine="0" w:firstLineChars="0"/>
              <w:jc w:val="right"/>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可持续影响</w:t>
            </w:r>
          </w:p>
        </w:tc>
        <w:tc>
          <w:tcPr>
            <w:tcW w:w="1320"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长效机制</w:t>
            </w:r>
          </w:p>
        </w:tc>
        <w:tc>
          <w:tcPr>
            <w:tcW w:w="4176"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项目建成后及时投入使用，进入良性运行，后续运行及成效发挥可持续，得5分。每发现一处问题影响可持续性，扣1分，扣完为止。</w:t>
            </w:r>
          </w:p>
        </w:tc>
        <w:tc>
          <w:tcPr>
            <w:tcW w:w="756"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c>
          <w:tcPr>
            <w:tcW w:w="761"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672" w:hRule="atLeast"/>
        </w:trPr>
        <w:tc>
          <w:tcPr>
            <w:tcW w:w="1363" w:type="dxa"/>
            <w:tcBorders>
              <w:tl2br w:val="nil"/>
              <w:tr2bl w:val="nil"/>
            </w:tcBorders>
            <w:shd w:val="clear" w:color="auto" w:fill="auto"/>
            <w:noWrap/>
            <w:vAlign w:val="center"/>
          </w:tcPr>
          <w:p>
            <w:pPr>
              <w:widowControl/>
              <w:spacing w:line="240" w:lineRule="auto"/>
              <w:ind w:firstLine="360"/>
              <w:jc w:val="left"/>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满意度</w:t>
            </w:r>
          </w:p>
        </w:tc>
        <w:tc>
          <w:tcPr>
            <w:tcW w:w="1320"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受益对象满意度</w:t>
            </w:r>
          </w:p>
        </w:tc>
        <w:tc>
          <w:tcPr>
            <w:tcW w:w="4176"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非常满意10分，基本满意8分，一般6分，不满意0分</w:t>
            </w:r>
          </w:p>
        </w:tc>
        <w:tc>
          <w:tcPr>
            <w:tcW w:w="756"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w:t>
            </w:r>
          </w:p>
        </w:tc>
        <w:tc>
          <w:tcPr>
            <w:tcW w:w="761" w:type="dxa"/>
            <w:tcBorders>
              <w:tl2br w:val="nil"/>
              <w:tr2bl w:val="nil"/>
            </w:tcBorders>
            <w:shd w:val="clear" w:color="auto" w:fill="auto"/>
            <w:noWrap/>
            <w:vAlign w:val="center"/>
          </w:tcPr>
          <w:p>
            <w:pPr>
              <w:widowControl/>
              <w:spacing w:line="240" w:lineRule="auto"/>
              <w:ind w:firstLine="180" w:firstLineChars="100"/>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trPr>
        <w:tc>
          <w:tcPr>
            <w:tcW w:w="1363" w:type="dxa"/>
            <w:tcBorders>
              <w:tl2br w:val="nil"/>
              <w:tr2bl w:val="nil"/>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小计</w:t>
            </w:r>
          </w:p>
        </w:tc>
        <w:tc>
          <w:tcPr>
            <w:tcW w:w="1320" w:type="dxa"/>
            <w:tcBorders>
              <w:tl2br w:val="nil"/>
              <w:tr2bl w:val="nil"/>
            </w:tcBorders>
            <w:shd w:val="clear" w:color="auto" w:fill="auto"/>
            <w:vAlign w:val="center"/>
          </w:tcPr>
          <w:p>
            <w:pPr>
              <w:widowControl/>
              <w:spacing w:line="240" w:lineRule="auto"/>
              <w:ind w:firstLine="360"/>
              <w:jc w:val="center"/>
              <w:rPr>
                <w:rFonts w:ascii="方正仿宋_GBK" w:hAnsi="方正仿宋_GBK" w:eastAsia="方正仿宋_GBK" w:cs="方正仿宋_GBK"/>
                <w:color w:val="000000"/>
                <w:sz w:val="18"/>
                <w:szCs w:val="18"/>
              </w:rPr>
            </w:pPr>
          </w:p>
        </w:tc>
        <w:tc>
          <w:tcPr>
            <w:tcW w:w="4176" w:type="dxa"/>
            <w:tcBorders>
              <w:tl2br w:val="nil"/>
              <w:tr2bl w:val="nil"/>
            </w:tcBorders>
            <w:shd w:val="clear" w:color="auto" w:fill="auto"/>
            <w:noWrap/>
            <w:vAlign w:val="center"/>
          </w:tcPr>
          <w:p>
            <w:pPr>
              <w:widowControl/>
              <w:spacing w:line="240" w:lineRule="auto"/>
              <w:ind w:firstLine="360"/>
              <w:jc w:val="center"/>
              <w:rPr>
                <w:rFonts w:ascii="方正仿宋_GBK" w:hAnsi="方正仿宋_GBK" w:eastAsia="方正仿宋_GBK" w:cs="方正仿宋_GBK"/>
                <w:color w:val="000000"/>
                <w:sz w:val="18"/>
                <w:szCs w:val="18"/>
              </w:rPr>
            </w:pPr>
          </w:p>
        </w:tc>
        <w:tc>
          <w:tcPr>
            <w:tcW w:w="756"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30</w:t>
            </w:r>
          </w:p>
        </w:tc>
        <w:tc>
          <w:tcPr>
            <w:tcW w:w="761"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30</w:t>
            </w:r>
          </w:p>
        </w:tc>
      </w:tr>
    </w:tbl>
    <w:p>
      <w:pPr>
        <w:snapToGrid w:val="0"/>
        <w:spacing w:line="560" w:lineRule="atLeast"/>
        <w:ind w:firstLine="560"/>
        <w:rPr>
          <w:rFonts w:ascii="宋体" w:hAnsi="宋体"/>
          <w:szCs w:val="28"/>
        </w:rPr>
      </w:pPr>
      <w:r>
        <w:rPr>
          <w:rFonts w:hint="eastAsia" w:ascii="宋体" w:hAnsi="宋体"/>
          <w:szCs w:val="28"/>
        </w:rPr>
        <w:t>1.经济发展标准分值为5分。项目建成后改变公园环境，吸引更多的客人来公园旅游，能够为经济发展带来有利影响情况。本次绩效评价取得调查问卷30份，30份感到非常满意。本次绩效评价得分5分。</w:t>
      </w:r>
    </w:p>
    <w:p>
      <w:pPr>
        <w:snapToGrid w:val="0"/>
        <w:spacing w:line="560" w:lineRule="atLeast"/>
        <w:ind w:firstLine="560"/>
        <w:rPr>
          <w:rFonts w:ascii="宋体" w:hAnsi="宋体"/>
          <w:szCs w:val="28"/>
        </w:rPr>
      </w:pPr>
      <w:r>
        <w:rPr>
          <w:rFonts w:ascii="宋体" w:hAnsi="宋体"/>
          <w:szCs w:val="28"/>
        </w:rPr>
        <w:t>2</w:t>
      </w:r>
      <w:r>
        <w:rPr>
          <w:rFonts w:hint="eastAsia" w:ascii="宋体" w:hAnsi="宋体"/>
          <w:szCs w:val="28"/>
        </w:rPr>
        <w:t>.完善基础</w:t>
      </w:r>
      <w:r>
        <w:rPr>
          <w:rFonts w:hint="eastAsia" w:ascii="宋体" w:hAnsi="宋体"/>
          <w:szCs w:val="28"/>
          <w:lang w:eastAsia="zh-CN"/>
        </w:rPr>
        <w:t>设施</w:t>
      </w:r>
      <w:r>
        <w:rPr>
          <w:rFonts w:hint="eastAsia" w:ascii="宋体" w:hAnsi="宋体"/>
          <w:szCs w:val="28"/>
        </w:rPr>
        <w:t>标准分值为5分。项目通过整理湿地地形、道路、过河汀步、观景台、环境监测系统等建设，改善了公园基础设施。本次绩效评价取得调查问卷30份，30份感到非常满意。本次绩效评价得分5分。</w:t>
      </w:r>
    </w:p>
    <w:p>
      <w:pPr>
        <w:snapToGrid w:val="0"/>
        <w:spacing w:line="560" w:lineRule="atLeast"/>
        <w:ind w:firstLine="560"/>
        <w:rPr>
          <w:rFonts w:ascii="宋体" w:hAnsi="宋体"/>
          <w:szCs w:val="28"/>
        </w:rPr>
      </w:pPr>
      <w:r>
        <w:rPr>
          <w:rFonts w:ascii="宋体" w:hAnsi="宋体"/>
          <w:szCs w:val="28"/>
        </w:rPr>
        <w:t>3</w:t>
      </w:r>
      <w:r>
        <w:rPr>
          <w:rFonts w:hint="eastAsia" w:ascii="宋体" w:hAnsi="宋体"/>
          <w:szCs w:val="28"/>
        </w:rPr>
        <w:t>.生态影响标准分值为5分。经现场查看，未发现破坏生态环境的迹象。本次绩效评价取得调查问卷30份，30份感到非常满意。本次绩效评价得分5分。</w:t>
      </w:r>
    </w:p>
    <w:p>
      <w:pPr>
        <w:snapToGrid w:val="0"/>
        <w:spacing w:line="560" w:lineRule="atLeast"/>
        <w:ind w:firstLine="560"/>
        <w:rPr>
          <w:rFonts w:ascii="宋体" w:hAnsi="宋体"/>
          <w:szCs w:val="28"/>
        </w:rPr>
      </w:pPr>
      <w:r>
        <w:rPr>
          <w:rFonts w:hint="eastAsia" w:ascii="宋体" w:hAnsi="宋体"/>
          <w:szCs w:val="28"/>
        </w:rPr>
        <w:t>4.长效机制标准分值为5分。项目竣工后，业主单位及时投入使用，进入良性运行，后续运行及成效发挥可持续。本次绩效评价得分5分。</w:t>
      </w:r>
    </w:p>
    <w:p>
      <w:pPr>
        <w:snapToGrid w:val="0"/>
        <w:spacing w:line="560" w:lineRule="atLeast"/>
        <w:ind w:firstLine="560"/>
        <w:rPr>
          <w:rFonts w:ascii="宋体" w:hAnsi="宋体"/>
          <w:szCs w:val="28"/>
        </w:rPr>
      </w:pPr>
      <w:r>
        <w:rPr>
          <w:rFonts w:hint="eastAsia" w:ascii="宋体" w:hAnsi="宋体"/>
          <w:szCs w:val="28"/>
        </w:rPr>
        <w:t>5.受益对象满意度标准分值为10分。本次绩效评价取得调查问卷30份，30份感到非常满意。本次绩效评价得分10分。</w:t>
      </w:r>
    </w:p>
    <w:p>
      <w:pPr>
        <w:pStyle w:val="25"/>
        <w:snapToGrid w:val="0"/>
        <w:spacing w:line="560" w:lineRule="exact"/>
        <w:ind w:left="562" w:firstLine="0" w:firstLineChars="0"/>
        <w:outlineLvl w:val="0"/>
        <w:rPr>
          <w:rFonts w:ascii="宋体" w:hAnsi="宋体"/>
          <w:b/>
          <w:szCs w:val="28"/>
        </w:rPr>
      </w:pPr>
      <w:r>
        <w:rPr>
          <w:rFonts w:hint="eastAsia" w:ascii="宋体" w:hAnsi="宋体"/>
          <w:b/>
          <w:szCs w:val="28"/>
          <w:lang w:eastAsia="zh-CN"/>
        </w:rPr>
        <w:t>四</w:t>
      </w:r>
      <w:r>
        <w:rPr>
          <w:rFonts w:ascii="宋体" w:hAnsi="宋体"/>
          <w:b/>
          <w:szCs w:val="28"/>
        </w:rPr>
        <w:t>、</w:t>
      </w:r>
      <w:r>
        <w:rPr>
          <w:rFonts w:hint="eastAsia" w:ascii="宋体" w:hAnsi="宋体"/>
          <w:b/>
          <w:szCs w:val="28"/>
        </w:rPr>
        <w:t>绩效评价综述</w:t>
      </w:r>
    </w:p>
    <w:p>
      <w:pPr>
        <w:snapToGrid w:val="0"/>
        <w:spacing w:line="560" w:lineRule="atLeast"/>
        <w:ind w:firstLine="560"/>
        <w:rPr>
          <w:rFonts w:ascii="宋体" w:hAnsi="宋体"/>
          <w:szCs w:val="28"/>
        </w:rPr>
      </w:pPr>
      <w:r>
        <w:rPr>
          <w:rFonts w:hint="eastAsia" w:ascii="宋体" w:hAnsi="宋体"/>
          <w:szCs w:val="28"/>
        </w:rPr>
        <w:t>根据我们设定的绩效目标，安居国家湿地公园内生态恢复保护建设项目绩效评价得分为97分，绩效评价等级为：优，各项指标得分情况如下：</w:t>
      </w:r>
    </w:p>
    <w:tbl>
      <w:tblPr>
        <w:tblStyle w:val="18"/>
        <w:tblW w:w="8362" w:type="dxa"/>
        <w:jc w:val="center"/>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
      <w:tblGrid>
        <w:gridCol w:w="1392"/>
        <w:gridCol w:w="1395"/>
        <w:gridCol w:w="1395"/>
        <w:gridCol w:w="1393"/>
        <w:gridCol w:w="1395"/>
        <w:gridCol w:w="139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Ex>
        <w:trPr>
          <w:cantSplit/>
          <w:trHeight w:val="340" w:hRule="atLeast"/>
          <w:jc w:val="center"/>
        </w:trPr>
        <w:tc>
          <w:tcPr>
            <w:tcW w:w="1392" w:type="dxa"/>
            <w:tcBorders>
              <w:top w:val="double" w:color="auto" w:sz="4" w:space="0"/>
              <w:bottom w:val="sing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项目</w:t>
            </w:r>
          </w:p>
        </w:tc>
        <w:tc>
          <w:tcPr>
            <w:tcW w:w="1395" w:type="dxa"/>
            <w:tcBorders>
              <w:top w:val="doub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投入指标</w:t>
            </w:r>
          </w:p>
        </w:tc>
        <w:tc>
          <w:tcPr>
            <w:tcW w:w="1395" w:type="dxa"/>
            <w:tcBorders>
              <w:top w:val="doub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管理指标</w:t>
            </w:r>
          </w:p>
        </w:tc>
        <w:tc>
          <w:tcPr>
            <w:tcW w:w="1393" w:type="dxa"/>
            <w:tcBorders>
              <w:top w:val="doub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产出指标</w:t>
            </w:r>
          </w:p>
        </w:tc>
        <w:tc>
          <w:tcPr>
            <w:tcW w:w="1395" w:type="dxa"/>
            <w:tcBorders>
              <w:top w:val="doub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效益指标</w:t>
            </w:r>
          </w:p>
        </w:tc>
        <w:tc>
          <w:tcPr>
            <w:tcW w:w="1392" w:type="dxa"/>
            <w:tcBorders>
              <w:top w:val="double" w:color="auto" w:sz="4" w:space="0"/>
              <w:left w:val="single" w:color="auto" w:sz="4" w:space="0"/>
              <w:bottom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合计</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Ex>
        <w:trPr>
          <w:cantSplit/>
          <w:trHeight w:val="340" w:hRule="atLeast"/>
          <w:jc w:val="center"/>
        </w:trPr>
        <w:tc>
          <w:tcPr>
            <w:tcW w:w="1392" w:type="dxa"/>
            <w:tcBorders>
              <w:top w:val="single" w:color="auto" w:sz="4" w:space="0"/>
              <w:bottom w:val="sing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标准分</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20.00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20.00</w:t>
            </w:r>
          </w:p>
        </w:tc>
        <w:tc>
          <w:tcPr>
            <w:tcW w:w="1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30.00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30.00</w:t>
            </w:r>
          </w:p>
        </w:tc>
        <w:tc>
          <w:tcPr>
            <w:tcW w:w="1392" w:type="dxa"/>
            <w:tcBorders>
              <w:top w:val="single" w:color="auto" w:sz="4" w:space="0"/>
              <w:left w:val="single" w:color="auto" w:sz="4" w:space="0"/>
              <w:bottom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100.00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Ex>
        <w:trPr>
          <w:cantSplit/>
          <w:trHeight w:val="340" w:hRule="atLeast"/>
          <w:jc w:val="center"/>
        </w:trPr>
        <w:tc>
          <w:tcPr>
            <w:tcW w:w="1392" w:type="dxa"/>
            <w:tcBorders>
              <w:top w:val="single" w:color="auto" w:sz="4" w:space="0"/>
              <w:bottom w:val="doub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得分</w:t>
            </w:r>
          </w:p>
        </w:tc>
        <w:tc>
          <w:tcPr>
            <w:tcW w:w="1395" w:type="dxa"/>
            <w:tcBorders>
              <w:top w:val="single" w:color="auto" w:sz="4" w:space="0"/>
              <w:left w:val="single" w:color="auto" w:sz="4" w:space="0"/>
              <w:bottom w:val="doub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19.00</w:t>
            </w:r>
          </w:p>
        </w:tc>
        <w:tc>
          <w:tcPr>
            <w:tcW w:w="1395" w:type="dxa"/>
            <w:tcBorders>
              <w:top w:val="single" w:color="auto" w:sz="4" w:space="0"/>
              <w:left w:val="single" w:color="auto" w:sz="4" w:space="0"/>
              <w:bottom w:val="doub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20.00</w:t>
            </w:r>
          </w:p>
        </w:tc>
        <w:tc>
          <w:tcPr>
            <w:tcW w:w="1393" w:type="dxa"/>
            <w:tcBorders>
              <w:top w:val="single" w:color="auto" w:sz="4" w:space="0"/>
              <w:left w:val="single" w:color="auto" w:sz="4" w:space="0"/>
              <w:bottom w:val="doub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28.00</w:t>
            </w:r>
          </w:p>
        </w:tc>
        <w:tc>
          <w:tcPr>
            <w:tcW w:w="1395" w:type="dxa"/>
            <w:tcBorders>
              <w:top w:val="single" w:color="auto" w:sz="4" w:space="0"/>
              <w:left w:val="single" w:color="auto" w:sz="4" w:space="0"/>
              <w:bottom w:val="doub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lang w:bidi="ar"/>
              </w:rPr>
            </w:pPr>
            <w:r>
              <w:rPr>
                <w:rFonts w:hint="eastAsia" w:ascii="方正仿宋_GBK" w:hAnsi="方正仿宋_GBK" w:eastAsia="方正仿宋_GBK" w:cs="方正仿宋_GBK"/>
                <w:color w:val="000000"/>
                <w:kern w:val="0"/>
                <w:sz w:val="18"/>
                <w:szCs w:val="18"/>
                <w:lang w:bidi="ar"/>
              </w:rPr>
              <w:t>30.00</w:t>
            </w:r>
          </w:p>
        </w:tc>
        <w:tc>
          <w:tcPr>
            <w:tcW w:w="1392" w:type="dxa"/>
            <w:tcBorders>
              <w:top w:val="single" w:color="auto" w:sz="4" w:space="0"/>
              <w:left w:val="single" w:color="auto" w:sz="4" w:space="0"/>
              <w:bottom w:val="double" w:color="auto" w:sz="4" w:space="0"/>
            </w:tcBorders>
            <w:shd w:val="clear" w:color="auto" w:fill="auto"/>
            <w:noWrap/>
            <w:vAlign w:val="center"/>
          </w:tcPr>
          <w:p>
            <w:pPr>
              <w:widowControl/>
              <w:spacing w:line="240" w:lineRule="auto"/>
              <w:ind w:firstLine="360"/>
              <w:jc w:val="center"/>
              <w:textAlignment w:val="center"/>
              <w:rPr>
                <w:rFonts w:hint="default" w:ascii="方正仿宋_GBK" w:hAnsi="方正仿宋_GBK" w:eastAsia="方正仿宋_GBK" w:cs="方正仿宋_GBK"/>
                <w:color w:val="000000"/>
                <w:kern w:val="0"/>
                <w:sz w:val="18"/>
                <w:szCs w:val="18"/>
                <w:lang w:val="en-US" w:eastAsia="zh-CN" w:bidi="ar"/>
              </w:rPr>
            </w:pPr>
            <w:r>
              <w:rPr>
                <w:rFonts w:hint="eastAsia" w:ascii="方正仿宋_GBK" w:hAnsi="方正仿宋_GBK" w:eastAsia="方正仿宋_GBK" w:cs="方正仿宋_GBK"/>
                <w:color w:val="000000"/>
                <w:kern w:val="0"/>
                <w:sz w:val="18"/>
                <w:szCs w:val="18"/>
                <w:lang w:bidi="ar"/>
              </w:rPr>
              <w:t>97</w:t>
            </w:r>
            <w:r>
              <w:rPr>
                <w:rFonts w:hint="eastAsia" w:ascii="方正仿宋_GBK" w:hAnsi="方正仿宋_GBK" w:eastAsia="方正仿宋_GBK" w:cs="方正仿宋_GBK"/>
                <w:color w:val="000000"/>
                <w:kern w:val="0"/>
                <w:sz w:val="18"/>
                <w:szCs w:val="18"/>
                <w:lang w:val="en-US" w:eastAsia="zh-CN" w:bidi="ar"/>
              </w:rPr>
              <w:t>.00</w:t>
            </w:r>
          </w:p>
        </w:tc>
      </w:tr>
    </w:tbl>
    <w:p>
      <w:pPr>
        <w:snapToGrid w:val="0"/>
        <w:spacing w:line="560" w:lineRule="atLeast"/>
        <w:ind w:firstLine="560"/>
        <w:rPr>
          <w:rFonts w:ascii="宋体" w:hAnsi="宋体"/>
          <w:szCs w:val="28"/>
        </w:rPr>
      </w:pPr>
      <w:r>
        <w:rPr>
          <w:rFonts w:hint="eastAsia" w:ascii="宋体" w:hAnsi="宋体"/>
          <w:szCs w:val="28"/>
        </w:rPr>
        <w:t>注：详见安居国家湿地公园内生态恢复保护建设项目绩效评价指标表。</w:t>
      </w:r>
    </w:p>
    <w:p>
      <w:pPr>
        <w:pStyle w:val="25"/>
        <w:snapToGrid w:val="0"/>
        <w:spacing w:line="560" w:lineRule="exact"/>
        <w:ind w:left="562" w:firstLine="0" w:firstLineChars="0"/>
        <w:outlineLvl w:val="0"/>
        <w:rPr>
          <w:rFonts w:ascii="宋体" w:hAnsi="宋体"/>
          <w:b/>
          <w:szCs w:val="28"/>
        </w:rPr>
      </w:pPr>
      <w:r>
        <w:rPr>
          <w:rFonts w:hint="eastAsia" w:ascii="宋体" w:hAnsi="宋体"/>
          <w:b/>
          <w:szCs w:val="28"/>
          <w:lang w:eastAsia="zh-CN"/>
        </w:rPr>
        <w:t>五</w:t>
      </w:r>
      <w:r>
        <w:rPr>
          <w:rFonts w:ascii="宋体" w:hAnsi="宋体"/>
          <w:b/>
          <w:szCs w:val="28"/>
        </w:rPr>
        <w:t>、</w:t>
      </w:r>
      <w:r>
        <w:rPr>
          <w:rFonts w:hint="eastAsia" w:ascii="宋体" w:hAnsi="宋体"/>
          <w:b/>
          <w:szCs w:val="28"/>
        </w:rPr>
        <w:t>存在的主要问题及建议</w:t>
      </w:r>
    </w:p>
    <w:p>
      <w:pPr>
        <w:snapToGrid w:val="0"/>
        <w:spacing w:line="560" w:lineRule="atLeast"/>
        <w:ind w:firstLine="560"/>
        <w:rPr>
          <w:rFonts w:ascii="宋体" w:hAnsi="宋体"/>
          <w:szCs w:val="28"/>
        </w:rPr>
      </w:pPr>
      <w:r>
        <w:rPr>
          <w:rFonts w:hint="eastAsia" w:ascii="宋体" w:hAnsi="宋体"/>
          <w:szCs w:val="28"/>
        </w:rPr>
        <w:t>1</w:t>
      </w:r>
      <w:r>
        <w:rPr>
          <w:rFonts w:hint="eastAsia" w:ascii="宋体" w:hAnsi="宋体"/>
          <w:szCs w:val="28"/>
          <w:lang w:eastAsia="zh-CN"/>
        </w:rPr>
        <w:t>.</w:t>
      </w:r>
      <w:r>
        <w:rPr>
          <w:rFonts w:hint="eastAsia" w:ascii="宋体" w:hAnsi="宋体"/>
          <w:szCs w:val="28"/>
        </w:rPr>
        <w:t>社会效益指标没细化无法衡量。《铜梁区安居国家湿地公园内生态恢复保护建设项目工作绩效目标表》社会效益指标没细化无法衡量。</w:t>
      </w:r>
    </w:p>
    <w:p>
      <w:pPr>
        <w:snapToGrid w:val="0"/>
        <w:spacing w:line="560" w:lineRule="atLeast"/>
        <w:ind w:firstLine="560"/>
        <w:rPr>
          <w:rFonts w:ascii="宋体" w:hAnsi="宋体"/>
          <w:szCs w:val="28"/>
        </w:rPr>
      </w:pPr>
      <w:r>
        <w:rPr>
          <w:rFonts w:hint="eastAsia" w:ascii="宋体" w:hAnsi="宋体"/>
          <w:szCs w:val="28"/>
        </w:rPr>
        <w:t>建议按照《铜梁区区级政策和项目预算绩效管理办法》的要求，指标值用数字或合格、达标等第三方可衡量的文字表示。指标值为文字的，指标性质用“无”表示。绩效目标细化分解为具体的绩效指标。</w:t>
      </w:r>
    </w:p>
    <w:p>
      <w:pPr>
        <w:snapToGrid w:val="0"/>
        <w:spacing w:line="560" w:lineRule="atLeast"/>
        <w:ind w:firstLine="560"/>
        <w:rPr>
          <w:rFonts w:ascii="宋体" w:hAnsi="宋体"/>
          <w:szCs w:val="28"/>
        </w:rPr>
      </w:pPr>
      <w:r>
        <w:rPr>
          <w:rFonts w:hint="eastAsia" w:ascii="宋体" w:hAnsi="宋体"/>
          <w:szCs w:val="28"/>
        </w:rPr>
        <w:t>2</w:t>
      </w:r>
      <w:r>
        <w:rPr>
          <w:rFonts w:hint="eastAsia" w:ascii="宋体" w:hAnsi="宋体"/>
          <w:szCs w:val="28"/>
          <w:lang w:eastAsia="zh-CN"/>
        </w:rPr>
        <w:t>.</w:t>
      </w:r>
      <w:r>
        <w:rPr>
          <w:rFonts w:hint="eastAsia" w:ascii="宋体" w:hAnsi="宋体"/>
          <w:szCs w:val="28"/>
        </w:rPr>
        <w:t>湿地保护人员不充足，湿地巡护监管不够全面彻底。经现场查勘公园内卫生环境及项目后期的维护有待加强。</w:t>
      </w:r>
    </w:p>
    <w:p>
      <w:pPr>
        <w:snapToGrid w:val="0"/>
        <w:spacing w:line="560" w:lineRule="atLeast"/>
        <w:ind w:firstLine="560"/>
        <w:rPr>
          <w:rFonts w:ascii="宋体" w:hAnsi="宋体"/>
          <w:szCs w:val="28"/>
        </w:rPr>
      </w:pPr>
      <w:r>
        <w:rPr>
          <w:rFonts w:hint="eastAsia" w:ascii="宋体" w:hAnsi="宋体"/>
          <w:szCs w:val="28"/>
        </w:rPr>
        <w:t>建议进一步增加更加专业的湿地保护、湿地巡护监管人员，增加湿地巡护监管人次，从而保障湿地保护、湿地巡护监管工作更加全面彻底</w:t>
      </w:r>
      <w:r>
        <w:rPr>
          <w:rFonts w:hint="eastAsia" w:ascii="宋体" w:hAnsi="宋体"/>
          <w:szCs w:val="28"/>
          <w:lang w:eastAsia="zh-CN"/>
        </w:rPr>
        <w:t>地</w:t>
      </w:r>
      <w:r>
        <w:rPr>
          <w:rFonts w:hint="eastAsia" w:ascii="宋体" w:hAnsi="宋体"/>
          <w:szCs w:val="28"/>
        </w:rPr>
        <w:t>开展。</w:t>
      </w:r>
    </w:p>
    <w:p>
      <w:pPr>
        <w:snapToGrid w:val="0"/>
        <w:spacing w:line="560" w:lineRule="atLeast"/>
        <w:ind w:firstLine="560"/>
        <w:rPr>
          <w:rFonts w:ascii="宋体" w:hAnsi="宋体"/>
          <w:szCs w:val="28"/>
        </w:rPr>
      </w:pPr>
    </w:p>
    <w:p>
      <w:pPr>
        <w:snapToGrid w:val="0"/>
        <w:spacing w:line="560" w:lineRule="exact"/>
        <w:ind w:firstLine="560"/>
        <w:rPr>
          <w:rFonts w:ascii="宋体" w:hAnsi="宋体"/>
          <w:szCs w:val="28"/>
        </w:rPr>
      </w:pPr>
    </w:p>
    <w:p>
      <w:pPr>
        <w:snapToGrid w:val="0"/>
        <w:spacing w:line="560" w:lineRule="exact"/>
        <w:ind w:firstLine="560"/>
        <w:rPr>
          <w:rFonts w:ascii="宋体" w:hAnsi="宋体"/>
          <w:szCs w:val="28"/>
        </w:rPr>
      </w:pPr>
    </w:p>
    <w:p>
      <w:pPr>
        <w:snapToGrid w:val="0"/>
        <w:spacing w:line="560" w:lineRule="exact"/>
        <w:ind w:firstLine="560"/>
        <w:rPr>
          <w:rFonts w:ascii="宋体" w:hAnsi="宋体"/>
          <w:szCs w:val="28"/>
        </w:rPr>
      </w:pPr>
    </w:p>
    <w:p>
      <w:pPr>
        <w:snapToGrid w:val="0"/>
        <w:spacing w:line="560" w:lineRule="exact"/>
        <w:ind w:firstLine="562"/>
        <w:jc w:val="right"/>
        <w:rPr>
          <w:rFonts w:ascii="宋体" w:hAnsi="宋体"/>
          <w:b/>
          <w:bCs/>
          <w:szCs w:val="28"/>
        </w:rPr>
      </w:pPr>
      <w:r>
        <w:rPr>
          <w:rFonts w:hint="eastAsia" w:ascii="宋体" w:hAnsi="宋体"/>
          <w:b/>
          <w:bCs/>
          <w:szCs w:val="28"/>
        </w:rPr>
        <w:t>重庆凯弘会计师事务所有限公司</w:t>
      </w:r>
    </w:p>
    <w:p>
      <w:pPr>
        <w:snapToGrid w:val="0"/>
        <w:spacing w:line="560" w:lineRule="exact"/>
        <w:ind w:firstLine="562"/>
        <w:jc w:val="right"/>
        <w:rPr>
          <w:rFonts w:ascii="宋体" w:hAnsi="宋体"/>
          <w:szCs w:val="28"/>
        </w:rPr>
      </w:pPr>
      <w:r>
        <w:rPr>
          <w:rFonts w:hint="eastAsia" w:ascii="宋体" w:hAnsi="宋体"/>
          <w:b/>
          <w:bCs/>
          <w:szCs w:val="28"/>
        </w:rPr>
        <w:t>二○二四年六月二十八日</w:t>
      </w:r>
    </w:p>
    <w:p>
      <w:pPr>
        <w:snapToGrid w:val="0"/>
        <w:spacing w:line="560" w:lineRule="exact"/>
        <w:ind w:firstLine="560"/>
        <w:rPr>
          <w:rFonts w:ascii="宋体" w:hAnsi="宋体"/>
          <w:szCs w:val="28"/>
        </w:rPr>
      </w:pPr>
    </w:p>
    <w:p>
      <w:pPr>
        <w:spacing w:line="20" w:lineRule="exact"/>
        <w:ind w:right="1123" w:firstLine="0" w:firstLineChars="0"/>
        <w:rPr>
          <w:rFonts w:ascii="宋体" w:hAnsi="宋体"/>
          <w:szCs w:val="28"/>
        </w:rPr>
      </w:pPr>
    </w:p>
    <w:sectPr>
      <w:headerReference r:id="rId11"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ind w:firstLine="360"/>
      <w:rPr>
        <w:rStyle w:val="22"/>
      </w:rPr>
    </w:pPr>
    <w:r>
      <w:fldChar w:fldCharType="begin"/>
    </w:r>
    <w:r>
      <w:rPr>
        <w:rStyle w:val="22"/>
      </w:rPr>
      <w:instrText xml:space="preserve">PAGE  </w:instrText>
    </w:r>
    <w:r>
      <w:fldChar w:fldCharType="separate"/>
    </w:r>
    <w:r>
      <w:rPr>
        <w:rStyle w:val="22"/>
      </w:rPr>
      <w:t>2</w:t>
    </w:r>
    <w:r>
      <w:fldChar w:fldCharType="end"/>
    </w:r>
  </w:p>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2"/>
          <w:ind w:firstLine="360"/>
          <w:jc w:val="center"/>
        </w:pPr>
        <w:r>
          <w:fldChar w:fldCharType="begin"/>
        </w:r>
        <w:r>
          <w:instrText xml:space="preserve">PAGE   \* MERGEFORMAT</w:instrText>
        </w:r>
        <w:r>
          <w:fldChar w:fldCharType="separate"/>
        </w:r>
        <w:r>
          <w:rPr>
            <w:lang w:val="zh-CN"/>
          </w:rPr>
          <w:t>19</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eastAsia="楷体_GB2312"/>
        <w:b/>
        <w:bCs/>
        <w:sz w:val="84"/>
      </w:rPr>
    </w:pPr>
    <w:r>
      <w:rPr>
        <w:rFonts w:hint="eastAsia" w:eastAsia="楷体_GB2312"/>
        <w:b/>
        <w:bCs/>
        <w:spacing w:val="1"/>
        <w:w w:val="71"/>
        <w:kern w:val="0"/>
        <w:sz w:val="84"/>
        <w:fitText w:val="8465" w:id="-1129615104"/>
      </w:rPr>
      <w:t>重庆凯弘会计师事务所有限公</w:t>
    </w:r>
    <w:r>
      <w:rPr>
        <w:rFonts w:hint="eastAsia" w:eastAsia="楷体_GB2312"/>
        <w:b/>
        <w:bCs/>
        <w:spacing w:val="22"/>
        <w:w w:val="71"/>
        <w:kern w:val="0"/>
        <w:sz w:val="84"/>
        <w:fitText w:val="8465" w:id="-1129615104"/>
      </w:rPr>
      <w:t>司</w:t>
    </w:r>
  </w:p>
  <w:p>
    <w:pPr>
      <w:pStyle w:val="3"/>
      <w:numPr>
        <w:ilvl w:val="0"/>
        <w:numId w:val="0"/>
      </w:numPr>
      <w:pBdr>
        <w:top w:val="none" w:color="auto" w:sz="0" w:space="1"/>
        <w:left w:val="none" w:color="auto" w:sz="0" w:space="4"/>
        <w:bottom w:val="single" w:color="000000" w:sz="4" w:space="0"/>
        <w:right w:val="none" w:color="auto" w:sz="0" w:space="4"/>
      </w:pBdr>
      <w:jc w:val="both"/>
      <w:rPr>
        <w:kern w:val="0"/>
        <w:sz w:val="32"/>
      </w:rPr>
    </w:pPr>
    <w:r>
      <w:rPr>
        <w:rFonts w:hint="eastAsia"/>
        <w:spacing w:val="0"/>
        <w:w w:val="99"/>
        <w:kern w:val="0"/>
        <w:sz w:val="32"/>
        <w:fitText w:val="8512" w:id="-1129615103"/>
      </w:rPr>
      <w:t xml:space="preserve">CHONGQING </w:t>
    </w:r>
    <w:r>
      <w:rPr>
        <w:spacing w:val="0"/>
        <w:w w:val="99"/>
        <w:kern w:val="0"/>
        <w:sz w:val="32"/>
        <w:fitText w:val="8512" w:id="-1129615103"/>
      </w:rPr>
      <w:t>KAIHONG</w:t>
    </w:r>
    <w:r>
      <w:rPr>
        <w:rFonts w:hint="eastAsia"/>
        <w:spacing w:val="0"/>
        <w:w w:val="99"/>
        <w:kern w:val="0"/>
        <w:sz w:val="32"/>
        <w:fitText w:val="8512" w:id="-1129615103"/>
      </w:rPr>
      <w:t xml:space="preserve"> CERTIFIED PUBLIC ACCOUNTANTS CO.,LTD</w:t>
    </w:r>
    <w:r>
      <w:rPr>
        <w:rFonts w:hint="eastAsia"/>
        <w:spacing w:val="19"/>
        <w:w w:val="99"/>
        <w:kern w:val="0"/>
        <w:sz w:val="32"/>
        <w:fitText w:val="8512" w:id="-1129615103"/>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jc w:val="both"/>
      <w:rPr>
        <w:spacing w:val="-18"/>
        <w:kern w:val="10"/>
      </w:rPr>
    </w:pPr>
    <w:r>
      <w:rPr>
        <w:rFonts w:hint="eastAsia" w:ascii="仿宋" w:hAnsi="仿宋" w:eastAsia="仿宋" w:cs="仿宋"/>
        <w:i/>
        <w:iCs/>
        <w:spacing w:val="-18"/>
        <w:kern w:val="10"/>
        <w:shd w:val="clear" w:color="auto" w:fill="D9D9D9"/>
      </w:rPr>
      <w:t xml:space="preserve">安居国家湿地公园内生态恢复保护建设项目                                                                       </w:t>
    </w:r>
    <w:r>
      <w:rPr>
        <w:rFonts w:hint="eastAsia" w:ascii="仿宋" w:hAnsi="仿宋" w:eastAsia="仿宋" w:cs="仿宋"/>
        <w:spacing w:val="-18"/>
        <w:kern w:val="10"/>
        <w:shd w:val="clear" w:color="auto" w:fill="D9D9D9"/>
      </w:rPr>
      <w:t xml:space="preserve">    </w:t>
    </w:r>
    <w:r>
      <w:rPr>
        <w:rFonts w:ascii="仿宋" w:hAnsi="仿宋" w:eastAsia="仿宋" w:cs="仿宋"/>
        <w:spacing w:val="-18"/>
        <w:kern w:val="10"/>
        <w:shd w:val="clear" w:color="auto" w:fill="D9D9D9"/>
      </w:rPr>
      <w:t xml:space="preserve"> </w:t>
    </w:r>
    <w:r>
      <w:rPr>
        <w:rFonts w:ascii="仿宋" w:hAnsi="仿宋" w:eastAsia="仿宋" w:cs="仿宋"/>
        <w:i/>
        <w:iCs/>
        <w:spacing w:val="-18"/>
        <w:kern w:val="10"/>
        <w:shd w:val="clear" w:color="auto" w:fill="D9D9D9"/>
      </w:rPr>
      <w:t xml:space="preserve"> </w:t>
    </w:r>
    <w:r>
      <w:rPr>
        <w:rFonts w:hint="eastAsia" w:ascii="仿宋" w:hAnsi="仿宋" w:eastAsia="仿宋" w:cs="仿宋"/>
        <w:i/>
        <w:iCs/>
        <w:spacing w:val="-18"/>
        <w:kern w:val="10"/>
        <w:shd w:val="clear" w:color="auto" w:fill="D9D9D9"/>
      </w:rPr>
      <w:t xml:space="preserve">         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A52B8"/>
    <w:multiLevelType w:val="multilevel"/>
    <w:tmpl w:val="11BA52B8"/>
    <w:lvl w:ilvl="0" w:tentative="0">
      <w:start w:val="1"/>
      <w:numFmt w:val="chineseCountingThousand"/>
      <w:pStyle w:val="3"/>
      <w:lvlText w:val="(%1)"/>
      <w:lvlJc w:val="left"/>
      <w:pPr>
        <w:ind w:left="5826" w:hanging="440"/>
      </w:pPr>
      <w:rPr>
        <w:rFonts w:hint="eastAsia"/>
      </w:rPr>
    </w:lvl>
    <w:lvl w:ilvl="1" w:tentative="0">
      <w:start w:val="1"/>
      <w:numFmt w:val="lowerLetter"/>
      <w:lvlText w:val="%2)"/>
      <w:lvlJc w:val="left"/>
      <w:pPr>
        <w:ind w:left="1080" w:hanging="440"/>
      </w:pPr>
      <w:rPr>
        <w:rFonts w:hint="eastAsia"/>
      </w:rPr>
    </w:lvl>
    <w:lvl w:ilvl="2" w:tentative="0">
      <w:start w:val="1"/>
      <w:numFmt w:val="lowerRoman"/>
      <w:lvlText w:val="%3."/>
      <w:lvlJc w:val="right"/>
      <w:pPr>
        <w:ind w:left="1520" w:hanging="440"/>
      </w:pPr>
      <w:rPr>
        <w:rFonts w:hint="eastAsia"/>
      </w:rPr>
    </w:lvl>
    <w:lvl w:ilvl="3" w:tentative="0">
      <w:start w:val="1"/>
      <w:numFmt w:val="decimal"/>
      <w:lvlText w:val="%4."/>
      <w:lvlJc w:val="left"/>
      <w:pPr>
        <w:ind w:left="1960" w:hanging="440"/>
      </w:pPr>
      <w:rPr>
        <w:rFonts w:hint="eastAsia"/>
      </w:rPr>
    </w:lvl>
    <w:lvl w:ilvl="4" w:tentative="0">
      <w:start w:val="1"/>
      <w:numFmt w:val="lowerLetter"/>
      <w:lvlText w:val="%5)"/>
      <w:lvlJc w:val="left"/>
      <w:pPr>
        <w:ind w:left="2400" w:hanging="440"/>
      </w:pPr>
      <w:rPr>
        <w:rFonts w:hint="eastAsia"/>
      </w:rPr>
    </w:lvl>
    <w:lvl w:ilvl="5" w:tentative="0">
      <w:start w:val="1"/>
      <w:numFmt w:val="lowerRoman"/>
      <w:lvlText w:val="%6."/>
      <w:lvlJc w:val="right"/>
      <w:pPr>
        <w:ind w:left="2840" w:hanging="440"/>
      </w:pPr>
      <w:rPr>
        <w:rFonts w:hint="eastAsia"/>
      </w:rPr>
    </w:lvl>
    <w:lvl w:ilvl="6" w:tentative="0">
      <w:start w:val="1"/>
      <w:numFmt w:val="decimal"/>
      <w:lvlText w:val="%7."/>
      <w:lvlJc w:val="left"/>
      <w:pPr>
        <w:ind w:left="3280" w:hanging="440"/>
      </w:pPr>
      <w:rPr>
        <w:rFonts w:hint="eastAsia"/>
      </w:rPr>
    </w:lvl>
    <w:lvl w:ilvl="7" w:tentative="0">
      <w:start w:val="1"/>
      <w:numFmt w:val="lowerLetter"/>
      <w:lvlText w:val="%8)"/>
      <w:lvlJc w:val="left"/>
      <w:pPr>
        <w:ind w:left="3720" w:hanging="440"/>
      </w:pPr>
      <w:rPr>
        <w:rFonts w:hint="eastAsia"/>
      </w:rPr>
    </w:lvl>
    <w:lvl w:ilvl="8" w:tentative="0">
      <w:start w:val="1"/>
      <w:numFmt w:val="lowerRoman"/>
      <w:lvlText w:val="%9."/>
      <w:lvlJc w:val="right"/>
      <w:pPr>
        <w:ind w:left="4160" w:hanging="440"/>
      </w:pPr>
      <w:rPr>
        <w:rFonts w:hint="eastAsia"/>
      </w:rPr>
    </w:lvl>
  </w:abstractNum>
  <w:abstractNum w:abstractNumId="1">
    <w:nsid w:val="342D66D4"/>
    <w:multiLevelType w:val="multilevel"/>
    <w:tmpl w:val="342D66D4"/>
    <w:lvl w:ilvl="0" w:tentative="0">
      <w:start w:val="1"/>
      <w:numFmt w:val="decimal"/>
      <w:pStyle w:val="15"/>
      <w:lvlText w:val="（%1）"/>
      <w:lvlJc w:val="left"/>
      <w:pPr>
        <w:ind w:left="640" w:hanging="440"/>
      </w:pPr>
      <w:rPr>
        <w:rFonts w:hint="eastAsia"/>
      </w:rPr>
    </w:lvl>
    <w:lvl w:ilvl="1" w:tentative="0">
      <w:start w:val="1"/>
      <w:numFmt w:val="lowerLetter"/>
      <w:lvlText w:val="%2)"/>
      <w:lvlJc w:val="left"/>
      <w:pPr>
        <w:ind w:left="1080" w:hanging="440"/>
      </w:pPr>
    </w:lvl>
    <w:lvl w:ilvl="2" w:tentative="0">
      <w:start w:val="1"/>
      <w:numFmt w:val="lowerRoman"/>
      <w:lvlText w:val="%3."/>
      <w:lvlJc w:val="right"/>
      <w:pPr>
        <w:ind w:left="1520" w:hanging="440"/>
      </w:pPr>
    </w:lvl>
    <w:lvl w:ilvl="3" w:tentative="0">
      <w:start w:val="1"/>
      <w:numFmt w:val="decimal"/>
      <w:lvlText w:val="%4."/>
      <w:lvlJc w:val="left"/>
      <w:pPr>
        <w:ind w:left="1960" w:hanging="440"/>
      </w:pPr>
    </w:lvl>
    <w:lvl w:ilvl="4" w:tentative="0">
      <w:start w:val="1"/>
      <w:numFmt w:val="lowerLetter"/>
      <w:lvlText w:val="%5)"/>
      <w:lvlJc w:val="left"/>
      <w:pPr>
        <w:ind w:left="2400" w:hanging="440"/>
      </w:pPr>
    </w:lvl>
    <w:lvl w:ilvl="5" w:tentative="0">
      <w:start w:val="1"/>
      <w:numFmt w:val="lowerRoman"/>
      <w:lvlText w:val="%6."/>
      <w:lvlJc w:val="right"/>
      <w:pPr>
        <w:ind w:left="2840" w:hanging="440"/>
      </w:pPr>
    </w:lvl>
    <w:lvl w:ilvl="6" w:tentative="0">
      <w:start w:val="1"/>
      <w:numFmt w:val="decimal"/>
      <w:lvlText w:val="%7."/>
      <w:lvlJc w:val="left"/>
      <w:pPr>
        <w:ind w:left="3280" w:hanging="440"/>
      </w:pPr>
    </w:lvl>
    <w:lvl w:ilvl="7" w:tentative="0">
      <w:start w:val="1"/>
      <w:numFmt w:val="lowerLetter"/>
      <w:lvlText w:val="%8)"/>
      <w:lvlJc w:val="left"/>
      <w:pPr>
        <w:ind w:left="3720" w:hanging="440"/>
      </w:pPr>
    </w:lvl>
    <w:lvl w:ilvl="8" w:tentative="0">
      <w:start w:val="1"/>
      <w:numFmt w:val="lowerRoman"/>
      <w:lvlText w:val="%9."/>
      <w:lvlJc w:val="right"/>
      <w:pPr>
        <w:ind w:left="4160" w:hanging="440"/>
      </w:pPr>
    </w:lvl>
  </w:abstractNum>
  <w:abstractNum w:abstractNumId="2">
    <w:nsid w:val="54D24375"/>
    <w:multiLevelType w:val="multilevel"/>
    <w:tmpl w:val="54D24375"/>
    <w:lvl w:ilvl="0" w:tentative="0">
      <w:start w:val="1"/>
      <w:numFmt w:val="decimal"/>
      <w:pStyle w:val="4"/>
      <w:lvlText w:val="%1."/>
      <w:lvlJc w:val="left"/>
      <w:pPr>
        <w:ind w:left="567" w:firstLine="1"/>
      </w:pPr>
      <w:rPr>
        <w:rFonts w:hint="eastAsia"/>
      </w:rPr>
    </w:lvl>
    <w:lvl w:ilvl="1" w:tentative="0">
      <w:start w:val="1"/>
      <w:numFmt w:val="lowerLetter"/>
      <w:lvlText w:val="%2)"/>
      <w:lvlJc w:val="left"/>
      <w:pPr>
        <w:ind w:left="1441" w:hanging="440"/>
      </w:pPr>
      <w:rPr>
        <w:rFonts w:hint="eastAsia"/>
      </w:rPr>
    </w:lvl>
    <w:lvl w:ilvl="2" w:tentative="0">
      <w:start w:val="1"/>
      <w:numFmt w:val="lowerRoman"/>
      <w:lvlText w:val="%3."/>
      <w:lvlJc w:val="right"/>
      <w:pPr>
        <w:ind w:left="1881" w:hanging="440"/>
      </w:pPr>
      <w:rPr>
        <w:rFonts w:hint="eastAsia"/>
      </w:rPr>
    </w:lvl>
    <w:lvl w:ilvl="3" w:tentative="0">
      <w:start w:val="1"/>
      <w:numFmt w:val="decimal"/>
      <w:lvlText w:val="%4."/>
      <w:lvlJc w:val="left"/>
      <w:pPr>
        <w:ind w:left="2321" w:hanging="440"/>
      </w:pPr>
      <w:rPr>
        <w:rFonts w:hint="eastAsia"/>
      </w:rPr>
    </w:lvl>
    <w:lvl w:ilvl="4" w:tentative="0">
      <w:start w:val="1"/>
      <w:numFmt w:val="lowerLetter"/>
      <w:lvlText w:val="%5)"/>
      <w:lvlJc w:val="left"/>
      <w:pPr>
        <w:ind w:left="2761" w:hanging="440"/>
      </w:pPr>
      <w:rPr>
        <w:rFonts w:hint="eastAsia"/>
      </w:rPr>
    </w:lvl>
    <w:lvl w:ilvl="5" w:tentative="0">
      <w:start w:val="1"/>
      <w:numFmt w:val="lowerRoman"/>
      <w:lvlText w:val="%6."/>
      <w:lvlJc w:val="right"/>
      <w:pPr>
        <w:ind w:left="3201" w:hanging="440"/>
      </w:pPr>
      <w:rPr>
        <w:rFonts w:hint="eastAsia"/>
      </w:rPr>
    </w:lvl>
    <w:lvl w:ilvl="6" w:tentative="0">
      <w:start w:val="1"/>
      <w:numFmt w:val="decimal"/>
      <w:lvlText w:val="%7."/>
      <w:lvlJc w:val="left"/>
      <w:pPr>
        <w:ind w:left="3641" w:hanging="440"/>
      </w:pPr>
      <w:rPr>
        <w:rFonts w:hint="eastAsia"/>
      </w:rPr>
    </w:lvl>
    <w:lvl w:ilvl="7" w:tentative="0">
      <w:start w:val="1"/>
      <w:numFmt w:val="lowerLetter"/>
      <w:lvlText w:val="%8)"/>
      <w:lvlJc w:val="left"/>
      <w:pPr>
        <w:ind w:left="4081" w:hanging="440"/>
      </w:pPr>
      <w:rPr>
        <w:rFonts w:hint="eastAsia"/>
      </w:rPr>
    </w:lvl>
    <w:lvl w:ilvl="8" w:tentative="0">
      <w:start w:val="1"/>
      <w:numFmt w:val="lowerRoman"/>
      <w:lvlText w:val="%9."/>
      <w:lvlJc w:val="right"/>
      <w:pPr>
        <w:ind w:left="4521" w:hanging="440"/>
      </w:pPr>
      <w:rPr>
        <w:rFonts w:hint="eastAsia"/>
      </w:rPr>
    </w:lvl>
  </w:abstractNum>
  <w:abstractNum w:abstractNumId="3">
    <w:nsid w:val="76C70969"/>
    <w:multiLevelType w:val="multilevel"/>
    <w:tmpl w:val="76C70969"/>
    <w:lvl w:ilvl="0" w:tentative="0">
      <w:start w:val="1"/>
      <w:numFmt w:val="chineseCountingThousand"/>
      <w:pStyle w:val="2"/>
      <w:lvlText w:val="%1、"/>
      <w:lvlJc w:val="left"/>
      <w:pPr>
        <w:ind w:left="1008" w:hanging="440"/>
      </w:p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kMWJkNzdkODFiMjE3ZDcyMTYzYTBjYzkxNGY2MTkifQ=="/>
  </w:docVars>
  <w:rsids>
    <w:rsidRoot w:val="72422AE2"/>
    <w:rsid w:val="0000184C"/>
    <w:rsid w:val="0000631C"/>
    <w:rsid w:val="00007179"/>
    <w:rsid w:val="0000763F"/>
    <w:rsid w:val="00010422"/>
    <w:rsid w:val="000108FD"/>
    <w:rsid w:val="00011646"/>
    <w:rsid w:val="00014034"/>
    <w:rsid w:val="00014FE8"/>
    <w:rsid w:val="0001519C"/>
    <w:rsid w:val="00017D46"/>
    <w:rsid w:val="000221B3"/>
    <w:rsid w:val="000229FB"/>
    <w:rsid w:val="00023D85"/>
    <w:rsid w:val="00024955"/>
    <w:rsid w:val="00030862"/>
    <w:rsid w:val="00032A55"/>
    <w:rsid w:val="00036260"/>
    <w:rsid w:val="000411ED"/>
    <w:rsid w:val="00042AB9"/>
    <w:rsid w:val="000439AC"/>
    <w:rsid w:val="00050797"/>
    <w:rsid w:val="000519FA"/>
    <w:rsid w:val="00052244"/>
    <w:rsid w:val="00053307"/>
    <w:rsid w:val="00053594"/>
    <w:rsid w:val="00053921"/>
    <w:rsid w:val="00054192"/>
    <w:rsid w:val="00055857"/>
    <w:rsid w:val="00060D8A"/>
    <w:rsid w:val="0006378A"/>
    <w:rsid w:val="00063973"/>
    <w:rsid w:val="00063BE9"/>
    <w:rsid w:val="00064043"/>
    <w:rsid w:val="000641FD"/>
    <w:rsid w:val="000655E7"/>
    <w:rsid w:val="0006739D"/>
    <w:rsid w:val="000679ED"/>
    <w:rsid w:val="000708F7"/>
    <w:rsid w:val="00070E63"/>
    <w:rsid w:val="00071FE6"/>
    <w:rsid w:val="0007249D"/>
    <w:rsid w:val="00073A84"/>
    <w:rsid w:val="00074FEC"/>
    <w:rsid w:val="0007594E"/>
    <w:rsid w:val="000767C4"/>
    <w:rsid w:val="000768E3"/>
    <w:rsid w:val="000772F3"/>
    <w:rsid w:val="00080E51"/>
    <w:rsid w:val="000810AE"/>
    <w:rsid w:val="00081D5F"/>
    <w:rsid w:val="00083306"/>
    <w:rsid w:val="000849E7"/>
    <w:rsid w:val="00087DFF"/>
    <w:rsid w:val="00090FCF"/>
    <w:rsid w:val="00090FFB"/>
    <w:rsid w:val="00093626"/>
    <w:rsid w:val="00094104"/>
    <w:rsid w:val="00094FD0"/>
    <w:rsid w:val="0009634C"/>
    <w:rsid w:val="00096664"/>
    <w:rsid w:val="000A0F31"/>
    <w:rsid w:val="000A2995"/>
    <w:rsid w:val="000A3693"/>
    <w:rsid w:val="000A4100"/>
    <w:rsid w:val="000A7055"/>
    <w:rsid w:val="000A7289"/>
    <w:rsid w:val="000B20E3"/>
    <w:rsid w:val="000B3072"/>
    <w:rsid w:val="000B72D5"/>
    <w:rsid w:val="000C04DE"/>
    <w:rsid w:val="000C3D3D"/>
    <w:rsid w:val="000C4DCB"/>
    <w:rsid w:val="000C563A"/>
    <w:rsid w:val="000D080C"/>
    <w:rsid w:val="000D2887"/>
    <w:rsid w:val="000D3013"/>
    <w:rsid w:val="000D3CBC"/>
    <w:rsid w:val="000D3E05"/>
    <w:rsid w:val="000D6284"/>
    <w:rsid w:val="000D691A"/>
    <w:rsid w:val="000E730D"/>
    <w:rsid w:val="000F5D20"/>
    <w:rsid w:val="000F7E0E"/>
    <w:rsid w:val="00101854"/>
    <w:rsid w:val="00105C22"/>
    <w:rsid w:val="0010697D"/>
    <w:rsid w:val="001113D6"/>
    <w:rsid w:val="0011305C"/>
    <w:rsid w:val="001134D8"/>
    <w:rsid w:val="001151B7"/>
    <w:rsid w:val="0011526E"/>
    <w:rsid w:val="00115951"/>
    <w:rsid w:val="00117886"/>
    <w:rsid w:val="00120D0B"/>
    <w:rsid w:val="00121C5F"/>
    <w:rsid w:val="00123DDC"/>
    <w:rsid w:val="00124D4C"/>
    <w:rsid w:val="0012644E"/>
    <w:rsid w:val="00127031"/>
    <w:rsid w:val="00130F2F"/>
    <w:rsid w:val="0013216A"/>
    <w:rsid w:val="0013312B"/>
    <w:rsid w:val="00134176"/>
    <w:rsid w:val="00134D23"/>
    <w:rsid w:val="001363CA"/>
    <w:rsid w:val="00136BBC"/>
    <w:rsid w:val="00137DA1"/>
    <w:rsid w:val="0014048F"/>
    <w:rsid w:val="00142069"/>
    <w:rsid w:val="00142EC3"/>
    <w:rsid w:val="0014324A"/>
    <w:rsid w:val="00143417"/>
    <w:rsid w:val="001439FD"/>
    <w:rsid w:val="001471E9"/>
    <w:rsid w:val="00147F7F"/>
    <w:rsid w:val="0015032E"/>
    <w:rsid w:val="00152C2F"/>
    <w:rsid w:val="00153164"/>
    <w:rsid w:val="00155C1F"/>
    <w:rsid w:val="00156736"/>
    <w:rsid w:val="00156C69"/>
    <w:rsid w:val="00160D20"/>
    <w:rsid w:val="00160D51"/>
    <w:rsid w:val="001619F6"/>
    <w:rsid w:val="001637E9"/>
    <w:rsid w:val="00166637"/>
    <w:rsid w:val="00171A4F"/>
    <w:rsid w:val="00171A57"/>
    <w:rsid w:val="00171BA7"/>
    <w:rsid w:val="00172290"/>
    <w:rsid w:val="001728F4"/>
    <w:rsid w:val="00173AB1"/>
    <w:rsid w:val="00173DAC"/>
    <w:rsid w:val="001741FC"/>
    <w:rsid w:val="00174C43"/>
    <w:rsid w:val="001760F7"/>
    <w:rsid w:val="00177BA1"/>
    <w:rsid w:val="00181FDF"/>
    <w:rsid w:val="001841D8"/>
    <w:rsid w:val="00184DC1"/>
    <w:rsid w:val="0018761D"/>
    <w:rsid w:val="00187F71"/>
    <w:rsid w:val="001924CE"/>
    <w:rsid w:val="00193794"/>
    <w:rsid w:val="001972AA"/>
    <w:rsid w:val="001A01DF"/>
    <w:rsid w:val="001A1110"/>
    <w:rsid w:val="001A1252"/>
    <w:rsid w:val="001A51B6"/>
    <w:rsid w:val="001A57F1"/>
    <w:rsid w:val="001A5C39"/>
    <w:rsid w:val="001A5FB9"/>
    <w:rsid w:val="001A65DB"/>
    <w:rsid w:val="001A7C67"/>
    <w:rsid w:val="001A7D8F"/>
    <w:rsid w:val="001B60C6"/>
    <w:rsid w:val="001C0EC8"/>
    <w:rsid w:val="001C1BEC"/>
    <w:rsid w:val="001C323E"/>
    <w:rsid w:val="001C4E9F"/>
    <w:rsid w:val="001C6EAE"/>
    <w:rsid w:val="001D0D08"/>
    <w:rsid w:val="001D1741"/>
    <w:rsid w:val="001D5C79"/>
    <w:rsid w:val="001D6EF4"/>
    <w:rsid w:val="001D7100"/>
    <w:rsid w:val="001E052D"/>
    <w:rsid w:val="001E05D0"/>
    <w:rsid w:val="001E2904"/>
    <w:rsid w:val="001E3B54"/>
    <w:rsid w:val="001E44F9"/>
    <w:rsid w:val="001E7B80"/>
    <w:rsid w:val="001F3835"/>
    <w:rsid w:val="001F3A90"/>
    <w:rsid w:val="001F5B92"/>
    <w:rsid w:val="001F6730"/>
    <w:rsid w:val="001F679C"/>
    <w:rsid w:val="001F7F9B"/>
    <w:rsid w:val="00201924"/>
    <w:rsid w:val="00203B13"/>
    <w:rsid w:val="0020436B"/>
    <w:rsid w:val="002046E7"/>
    <w:rsid w:val="00206312"/>
    <w:rsid w:val="0020691B"/>
    <w:rsid w:val="00207815"/>
    <w:rsid w:val="002110F6"/>
    <w:rsid w:val="002118A7"/>
    <w:rsid w:val="00214B63"/>
    <w:rsid w:val="00222C1C"/>
    <w:rsid w:val="00223CBB"/>
    <w:rsid w:val="002244FF"/>
    <w:rsid w:val="00224C80"/>
    <w:rsid w:val="00224D14"/>
    <w:rsid w:val="00225625"/>
    <w:rsid w:val="0022655F"/>
    <w:rsid w:val="002272E7"/>
    <w:rsid w:val="00231EB1"/>
    <w:rsid w:val="0023229C"/>
    <w:rsid w:val="00233691"/>
    <w:rsid w:val="00233DDD"/>
    <w:rsid w:val="00234601"/>
    <w:rsid w:val="0023530B"/>
    <w:rsid w:val="002360E1"/>
    <w:rsid w:val="002363D4"/>
    <w:rsid w:val="00236E32"/>
    <w:rsid w:val="00243295"/>
    <w:rsid w:val="0024338F"/>
    <w:rsid w:val="00247412"/>
    <w:rsid w:val="0025426D"/>
    <w:rsid w:val="00255D07"/>
    <w:rsid w:val="00256777"/>
    <w:rsid w:val="002604D9"/>
    <w:rsid w:val="00261444"/>
    <w:rsid w:val="00262933"/>
    <w:rsid w:val="002643DD"/>
    <w:rsid w:val="00266A32"/>
    <w:rsid w:val="00266AFE"/>
    <w:rsid w:val="00270091"/>
    <w:rsid w:val="002735D3"/>
    <w:rsid w:val="00275436"/>
    <w:rsid w:val="00277622"/>
    <w:rsid w:val="0028144A"/>
    <w:rsid w:val="002906FB"/>
    <w:rsid w:val="00290E75"/>
    <w:rsid w:val="0029149A"/>
    <w:rsid w:val="002916D3"/>
    <w:rsid w:val="002958AF"/>
    <w:rsid w:val="002974DE"/>
    <w:rsid w:val="00297C64"/>
    <w:rsid w:val="002A0FCB"/>
    <w:rsid w:val="002A2AB2"/>
    <w:rsid w:val="002A46DA"/>
    <w:rsid w:val="002A5EF2"/>
    <w:rsid w:val="002A676C"/>
    <w:rsid w:val="002A7326"/>
    <w:rsid w:val="002A7CD3"/>
    <w:rsid w:val="002A7E0E"/>
    <w:rsid w:val="002B0E66"/>
    <w:rsid w:val="002B2245"/>
    <w:rsid w:val="002B2FA9"/>
    <w:rsid w:val="002C0199"/>
    <w:rsid w:val="002C1C19"/>
    <w:rsid w:val="002C406E"/>
    <w:rsid w:val="002C4C7A"/>
    <w:rsid w:val="002C4F3C"/>
    <w:rsid w:val="002C4FA8"/>
    <w:rsid w:val="002C5068"/>
    <w:rsid w:val="002C5D20"/>
    <w:rsid w:val="002C725C"/>
    <w:rsid w:val="002D03A5"/>
    <w:rsid w:val="002D1C5F"/>
    <w:rsid w:val="002D30EC"/>
    <w:rsid w:val="002D7429"/>
    <w:rsid w:val="002D7AC1"/>
    <w:rsid w:val="002E2794"/>
    <w:rsid w:val="002E61B8"/>
    <w:rsid w:val="002E7298"/>
    <w:rsid w:val="002F2A9A"/>
    <w:rsid w:val="002F6593"/>
    <w:rsid w:val="003005E2"/>
    <w:rsid w:val="003013B2"/>
    <w:rsid w:val="003030A7"/>
    <w:rsid w:val="00306202"/>
    <w:rsid w:val="00310BAA"/>
    <w:rsid w:val="00310F1B"/>
    <w:rsid w:val="00311A20"/>
    <w:rsid w:val="00312145"/>
    <w:rsid w:val="003131CA"/>
    <w:rsid w:val="0031637D"/>
    <w:rsid w:val="00317851"/>
    <w:rsid w:val="0031793C"/>
    <w:rsid w:val="003208C8"/>
    <w:rsid w:val="00321A39"/>
    <w:rsid w:val="003234EB"/>
    <w:rsid w:val="00324308"/>
    <w:rsid w:val="003349F3"/>
    <w:rsid w:val="00334C38"/>
    <w:rsid w:val="003410D3"/>
    <w:rsid w:val="00343090"/>
    <w:rsid w:val="00346737"/>
    <w:rsid w:val="0034784D"/>
    <w:rsid w:val="00347A00"/>
    <w:rsid w:val="00351826"/>
    <w:rsid w:val="00351913"/>
    <w:rsid w:val="003519FE"/>
    <w:rsid w:val="00351B6F"/>
    <w:rsid w:val="00355081"/>
    <w:rsid w:val="00355436"/>
    <w:rsid w:val="003577CD"/>
    <w:rsid w:val="003579B0"/>
    <w:rsid w:val="00360FDF"/>
    <w:rsid w:val="0036389B"/>
    <w:rsid w:val="00363ABA"/>
    <w:rsid w:val="00363EEB"/>
    <w:rsid w:val="00363F3E"/>
    <w:rsid w:val="00365602"/>
    <w:rsid w:val="00365645"/>
    <w:rsid w:val="00365E84"/>
    <w:rsid w:val="00366252"/>
    <w:rsid w:val="003663C4"/>
    <w:rsid w:val="00367A2E"/>
    <w:rsid w:val="0037001C"/>
    <w:rsid w:val="00370411"/>
    <w:rsid w:val="00370B8C"/>
    <w:rsid w:val="003711CA"/>
    <w:rsid w:val="00373221"/>
    <w:rsid w:val="00375CEE"/>
    <w:rsid w:val="0037682F"/>
    <w:rsid w:val="00377440"/>
    <w:rsid w:val="00377D4A"/>
    <w:rsid w:val="00377E25"/>
    <w:rsid w:val="00380016"/>
    <w:rsid w:val="003811D9"/>
    <w:rsid w:val="00381C59"/>
    <w:rsid w:val="00381D07"/>
    <w:rsid w:val="00384881"/>
    <w:rsid w:val="00384E91"/>
    <w:rsid w:val="0038739E"/>
    <w:rsid w:val="00391696"/>
    <w:rsid w:val="00391769"/>
    <w:rsid w:val="003924E3"/>
    <w:rsid w:val="00395A43"/>
    <w:rsid w:val="00395AE6"/>
    <w:rsid w:val="003A0998"/>
    <w:rsid w:val="003A1936"/>
    <w:rsid w:val="003A19D1"/>
    <w:rsid w:val="003A1A0D"/>
    <w:rsid w:val="003A206A"/>
    <w:rsid w:val="003A2602"/>
    <w:rsid w:val="003A2FCC"/>
    <w:rsid w:val="003A4730"/>
    <w:rsid w:val="003A73EC"/>
    <w:rsid w:val="003A7789"/>
    <w:rsid w:val="003B173D"/>
    <w:rsid w:val="003B59EC"/>
    <w:rsid w:val="003B790A"/>
    <w:rsid w:val="003C0CF0"/>
    <w:rsid w:val="003C211D"/>
    <w:rsid w:val="003C3353"/>
    <w:rsid w:val="003C696D"/>
    <w:rsid w:val="003C72A9"/>
    <w:rsid w:val="003C75A0"/>
    <w:rsid w:val="003D0D0E"/>
    <w:rsid w:val="003D0F64"/>
    <w:rsid w:val="003D3240"/>
    <w:rsid w:val="003D3F54"/>
    <w:rsid w:val="003E0136"/>
    <w:rsid w:val="003E0D1E"/>
    <w:rsid w:val="003E2424"/>
    <w:rsid w:val="003E267C"/>
    <w:rsid w:val="003E378E"/>
    <w:rsid w:val="003E3B11"/>
    <w:rsid w:val="003E5215"/>
    <w:rsid w:val="003E74A7"/>
    <w:rsid w:val="003E7FD7"/>
    <w:rsid w:val="003F27B1"/>
    <w:rsid w:val="003F58CB"/>
    <w:rsid w:val="003F697F"/>
    <w:rsid w:val="003F69B2"/>
    <w:rsid w:val="004030B5"/>
    <w:rsid w:val="00403870"/>
    <w:rsid w:val="004039DD"/>
    <w:rsid w:val="004045B1"/>
    <w:rsid w:val="00404C6D"/>
    <w:rsid w:val="0040526B"/>
    <w:rsid w:val="00412E34"/>
    <w:rsid w:val="0041311F"/>
    <w:rsid w:val="00413672"/>
    <w:rsid w:val="00413D40"/>
    <w:rsid w:val="00414631"/>
    <w:rsid w:val="004156B8"/>
    <w:rsid w:val="00417574"/>
    <w:rsid w:val="0041759A"/>
    <w:rsid w:val="004177AE"/>
    <w:rsid w:val="00420019"/>
    <w:rsid w:val="004209AE"/>
    <w:rsid w:val="00422299"/>
    <w:rsid w:val="004235BA"/>
    <w:rsid w:val="004237D7"/>
    <w:rsid w:val="004249F7"/>
    <w:rsid w:val="00425061"/>
    <w:rsid w:val="00426DFA"/>
    <w:rsid w:val="00426F22"/>
    <w:rsid w:val="00430420"/>
    <w:rsid w:val="00430D37"/>
    <w:rsid w:val="0043165E"/>
    <w:rsid w:val="00432262"/>
    <w:rsid w:val="004328DB"/>
    <w:rsid w:val="0043383F"/>
    <w:rsid w:val="004338BD"/>
    <w:rsid w:val="00434809"/>
    <w:rsid w:val="00443950"/>
    <w:rsid w:val="004448F7"/>
    <w:rsid w:val="004462F3"/>
    <w:rsid w:val="00452E4A"/>
    <w:rsid w:val="00454DB4"/>
    <w:rsid w:val="00460F0D"/>
    <w:rsid w:val="00462E9E"/>
    <w:rsid w:val="00463A7B"/>
    <w:rsid w:val="00463DEA"/>
    <w:rsid w:val="004655A0"/>
    <w:rsid w:val="00465B15"/>
    <w:rsid w:val="00465BAD"/>
    <w:rsid w:val="004660FF"/>
    <w:rsid w:val="0046734B"/>
    <w:rsid w:val="00467B42"/>
    <w:rsid w:val="00470699"/>
    <w:rsid w:val="004710AA"/>
    <w:rsid w:val="004710FD"/>
    <w:rsid w:val="00473436"/>
    <w:rsid w:val="0047359A"/>
    <w:rsid w:val="004746CD"/>
    <w:rsid w:val="00474AC7"/>
    <w:rsid w:val="004755DD"/>
    <w:rsid w:val="00475938"/>
    <w:rsid w:val="00476B01"/>
    <w:rsid w:val="00476E0B"/>
    <w:rsid w:val="0048047A"/>
    <w:rsid w:val="004816C4"/>
    <w:rsid w:val="004847D6"/>
    <w:rsid w:val="00486503"/>
    <w:rsid w:val="00486D9C"/>
    <w:rsid w:val="0049383C"/>
    <w:rsid w:val="00495119"/>
    <w:rsid w:val="00496AE1"/>
    <w:rsid w:val="00496B82"/>
    <w:rsid w:val="00496BC4"/>
    <w:rsid w:val="004A00E1"/>
    <w:rsid w:val="004A0744"/>
    <w:rsid w:val="004A1C0F"/>
    <w:rsid w:val="004A233C"/>
    <w:rsid w:val="004A261C"/>
    <w:rsid w:val="004A2894"/>
    <w:rsid w:val="004A3434"/>
    <w:rsid w:val="004A6B8D"/>
    <w:rsid w:val="004A796A"/>
    <w:rsid w:val="004A7DE3"/>
    <w:rsid w:val="004B2A32"/>
    <w:rsid w:val="004B4558"/>
    <w:rsid w:val="004B46FB"/>
    <w:rsid w:val="004B5E9D"/>
    <w:rsid w:val="004B652D"/>
    <w:rsid w:val="004B73F9"/>
    <w:rsid w:val="004C03FB"/>
    <w:rsid w:val="004C0932"/>
    <w:rsid w:val="004C63FA"/>
    <w:rsid w:val="004C6F26"/>
    <w:rsid w:val="004D0ADE"/>
    <w:rsid w:val="004D0E87"/>
    <w:rsid w:val="004D178D"/>
    <w:rsid w:val="004D2492"/>
    <w:rsid w:val="004D2887"/>
    <w:rsid w:val="004D48CA"/>
    <w:rsid w:val="004D5DFD"/>
    <w:rsid w:val="004D78B4"/>
    <w:rsid w:val="004D7E8F"/>
    <w:rsid w:val="004E13D2"/>
    <w:rsid w:val="004E2CD9"/>
    <w:rsid w:val="004E3519"/>
    <w:rsid w:val="004E3D3A"/>
    <w:rsid w:val="004E3F23"/>
    <w:rsid w:val="004F05AF"/>
    <w:rsid w:val="004F0E3C"/>
    <w:rsid w:val="004F2F89"/>
    <w:rsid w:val="005000F2"/>
    <w:rsid w:val="005018F5"/>
    <w:rsid w:val="00503A26"/>
    <w:rsid w:val="005110C2"/>
    <w:rsid w:val="00511D7E"/>
    <w:rsid w:val="00513DE2"/>
    <w:rsid w:val="00514B0B"/>
    <w:rsid w:val="00514D77"/>
    <w:rsid w:val="00516B91"/>
    <w:rsid w:val="00516C9C"/>
    <w:rsid w:val="005221E8"/>
    <w:rsid w:val="00527DB1"/>
    <w:rsid w:val="00531338"/>
    <w:rsid w:val="00532953"/>
    <w:rsid w:val="0053611C"/>
    <w:rsid w:val="00537799"/>
    <w:rsid w:val="00541457"/>
    <w:rsid w:val="00543CFA"/>
    <w:rsid w:val="00546903"/>
    <w:rsid w:val="00551567"/>
    <w:rsid w:val="00552AB7"/>
    <w:rsid w:val="00552ED5"/>
    <w:rsid w:val="00553166"/>
    <w:rsid w:val="005546C1"/>
    <w:rsid w:val="00560604"/>
    <w:rsid w:val="00562FFD"/>
    <w:rsid w:val="00565002"/>
    <w:rsid w:val="005666DE"/>
    <w:rsid w:val="00566B02"/>
    <w:rsid w:val="00570056"/>
    <w:rsid w:val="00572166"/>
    <w:rsid w:val="0057335C"/>
    <w:rsid w:val="00577376"/>
    <w:rsid w:val="00581837"/>
    <w:rsid w:val="0058604D"/>
    <w:rsid w:val="005860D0"/>
    <w:rsid w:val="0058656A"/>
    <w:rsid w:val="00586834"/>
    <w:rsid w:val="00587108"/>
    <w:rsid w:val="00592318"/>
    <w:rsid w:val="005963F4"/>
    <w:rsid w:val="00597D0A"/>
    <w:rsid w:val="005A42E8"/>
    <w:rsid w:val="005A5985"/>
    <w:rsid w:val="005A6638"/>
    <w:rsid w:val="005A7538"/>
    <w:rsid w:val="005A7621"/>
    <w:rsid w:val="005A765A"/>
    <w:rsid w:val="005B1250"/>
    <w:rsid w:val="005B1A77"/>
    <w:rsid w:val="005B1A7A"/>
    <w:rsid w:val="005B4E3B"/>
    <w:rsid w:val="005B5BAF"/>
    <w:rsid w:val="005B5F59"/>
    <w:rsid w:val="005B70FF"/>
    <w:rsid w:val="005C255B"/>
    <w:rsid w:val="005C2FC1"/>
    <w:rsid w:val="005C4D42"/>
    <w:rsid w:val="005C51E7"/>
    <w:rsid w:val="005C578A"/>
    <w:rsid w:val="005C5B4F"/>
    <w:rsid w:val="005C6CAD"/>
    <w:rsid w:val="005C6FE5"/>
    <w:rsid w:val="005D08F3"/>
    <w:rsid w:val="005D0E22"/>
    <w:rsid w:val="005D2180"/>
    <w:rsid w:val="005D604A"/>
    <w:rsid w:val="005D6746"/>
    <w:rsid w:val="005E038D"/>
    <w:rsid w:val="005E0DE9"/>
    <w:rsid w:val="005E14AD"/>
    <w:rsid w:val="005E154C"/>
    <w:rsid w:val="005E17B0"/>
    <w:rsid w:val="005E2FDE"/>
    <w:rsid w:val="005E479F"/>
    <w:rsid w:val="005E7AC0"/>
    <w:rsid w:val="005F279F"/>
    <w:rsid w:val="005F29F5"/>
    <w:rsid w:val="005F3610"/>
    <w:rsid w:val="005F49D6"/>
    <w:rsid w:val="005F4D96"/>
    <w:rsid w:val="005F7FC7"/>
    <w:rsid w:val="0060040B"/>
    <w:rsid w:val="00600990"/>
    <w:rsid w:val="00605885"/>
    <w:rsid w:val="006112F7"/>
    <w:rsid w:val="0061197E"/>
    <w:rsid w:val="00613943"/>
    <w:rsid w:val="00614C97"/>
    <w:rsid w:val="0061629F"/>
    <w:rsid w:val="00616682"/>
    <w:rsid w:val="0061780B"/>
    <w:rsid w:val="00621505"/>
    <w:rsid w:val="00621DBC"/>
    <w:rsid w:val="00622B00"/>
    <w:rsid w:val="00623494"/>
    <w:rsid w:val="006243E3"/>
    <w:rsid w:val="0062792E"/>
    <w:rsid w:val="00630C81"/>
    <w:rsid w:val="0063153B"/>
    <w:rsid w:val="00632590"/>
    <w:rsid w:val="0063290E"/>
    <w:rsid w:val="00633103"/>
    <w:rsid w:val="0063365A"/>
    <w:rsid w:val="0063403C"/>
    <w:rsid w:val="006367B3"/>
    <w:rsid w:val="006369F9"/>
    <w:rsid w:val="00637C4C"/>
    <w:rsid w:val="00641069"/>
    <w:rsid w:val="00641423"/>
    <w:rsid w:val="00646424"/>
    <w:rsid w:val="006467D2"/>
    <w:rsid w:val="00646D19"/>
    <w:rsid w:val="00650746"/>
    <w:rsid w:val="0065164E"/>
    <w:rsid w:val="006519AE"/>
    <w:rsid w:val="006541E9"/>
    <w:rsid w:val="0065428F"/>
    <w:rsid w:val="00654361"/>
    <w:rsid w:val="00655432"/>
    <w:rsid w:val="0065595F"/>
    <w:rsid w:val="00655B9B"/>
    <w:rsid w:val="00655ECB"/>
    <w:rsid w:val="00655F1A"/>
    <w:rsid w:val="0066047D"/>
    <w:rsid w:val="00661D20"/>
    <w:rsid w:val="006635CA"/>
    <w:rsid w:val="0066549E"/>
    <w:rsid w:val="00671AA4"/>
    <w:rsid w:val="006731BF"/>
    <w:rsid w:val="00673FEF"/>
    <w:rsid w:val="00674796"/>
    <w:rsid w:val="00674DD5"/>
    <w:rsid w:val="00675C41"/>
    <w:rsid w:val="006806D9"/>
    <w:rsid w:val="006818D1"/>
    <w:rsid w:val="006842EE"/>
    <w:rsid w:val="006844DD"/>
    <w:rsid w:val="00685883"/>
    <w:rsid w:val="00690C5D"/>
    <w:rsid w:val="00692733"/>
    <w:rsid w:val="00694834"/>
    <w:rsid w:val="006973F2"/>
    <w:rsid w:val="00697CFC"/>
    <w:rsid w:val="006A0077"/>
    <w:rsid w:val="006A13EF"/>
    <w:rsid w:val="006A279D"/>
    <w:rsid w:val="006A5E32"/>
    <w:rsid w:val="006A7042"/>
    <w:rsid w:val="006B014F"/>
    <w:rsid w:val="006B04AD"/>
    <w:rsid w:val="006B1120"/>
    <w:rsid w:val="006B2B34"/>
    <w:rsid w:val="006B36FD"/>
    <w:rsid w:val="006B55B7"/>
    <w:rsid w:val="006C4B7C"/>
    <w:rsid w:val="006C6AA1"/>
    <w:rsid w:val="006D15A2"/>
    <w:rsid w:val="006D36FC"/>
    <w:rsid w:val="006D573E"/>
    <w:rsid w:val="006E0854"/>
    <w:rsid w:val="006E24AD"/>
    <w:rsid w:val="006E5CF7"/>
    <w:rsid w:val="006E66CD"/>
    <w:rsid w:val="006E6D45"/>
    <w:rsid w:val="006F2553"/>
    <w:rsid w:val="006F2D0F"/>
    <w:rsid w:val="006F3B94"/>
    <w:rsid w:val="006F3FEA"/>
    <w:rsid w:val="006F4AD1"/>
    <w:rsid w:val="006F4F87"/>
    <w:rsid w:val="006F7915"/>
    <w:rsid w:val="00705352"/>
    <w:rsid w:val="00705A13"/>
    <w:rsid w:val="00712B70"/>
    <w:rsid w:val="00712BDF"/>
    <w:rsid w:val="007131BB"/>
    <w:rsid w:val="00713A39"/>
    <w:rsid w:val="00714A18"/>
    <w:rsid w:val="00714BD0"/>
    <w:rsid w:val="007154DF"/>
    <w:rsid w:val="00715B9A"/>
    <w:rsid w:val="00716394"/>
    <w:rsid w:val="00717A13"/>
    <w:rsid w:val="00720AD9"/>
    <w:rsid w:val="00722759"/>
    <w:rsid w:val="00723FCB"/>
    <w:rsid w:val="007255C2"/>
    <w:rsid w:val="00730517"/>
    <w:rsid w:val="00732119"/>
    <w:rsid w:val="00736803"/>
    <w:rsid w:val="00737DE9"/>
    <w:rsid w:val="0074040E"/>
    <w:rsid w:val="007419B1"/>
    <w:rsid w:val="0074724F"/>
    <w:rsid w:val="00751C0F"/>
    <w:rsid w:val="0075368D"/>
    <w:rsid w:val="007537DE"/>
    <w:rsid w:val="0075514B"/>
    <w:rsid w:val="00762CA4"/>
    <w:rsid w:val="00764D4A"/>
    <w:rsid w:val="0076722C"/>
    <w:rsid w:val="00772090"/>
    <w:rsid w:val="00773AEE"/>
    <w:rsid w:val="00774FC7"/>
    <w:rsid w:val="0077535C"/>
    <w:rsid w:val="00776713"/>
    <w:rsid w:val="007808EE"/>
    <w:rsid w:val="00781C4A"/>
    <w:rsid w:val="00784D2D"/>
    <w:rsid w:val="0079467E"/>
    <w:rsid w:val="00794BC6"/>
    <w:rsid w:val="007950B6"/>
    <w:rsid w:val="007952FB"/>
    <w:rsid w:val="007956D3"/>
    <w:rsid w:val="0079789E"/>
    <w:rsid w:val="007A16EF"/>
    <w:rsid w:val="007A3CF6"/>
    <w:rsid w:val="007A5BF7"/>
    <w:rsid w:val="007B1CD9"/>
    <w:rsid w:val="007B251E"/>
    <w:rsid w:val="007B38B7"/>
    <w:rsid w:val="007B41CE"/>
    <w:rsid w:val="007B44BA"/>
    <w:rsid w:val="007B491D"/>
    <w:rsid w:val="007B5191"/>
    <w:rsid w:val="007B544E"/>
    <w:rsid w:val="007B5E57"/>
    <w:rsid w:val="007B6408"/>
    <w:rsid w:val="007B66C3"/>
    <w:rsid w:val="007B6A6A"/>
    <w:rsid w:val="007B7386"/>
    <w:rsid w:val="007B7FCE"/>
    <w:rsid w:val="007C0551"/>
    <w:rsid w:val="007C13C5"/>
    <w:rsid w:val="007C165C"/>
    <w:rsid w:val="007C16EF"/>
    <w:rsid w:val="007C1E0D"/>
    <w:rsid w:val="007C324E"/>
    <w:rsid w:val="007C5F77"/>
    <w:rsid w:val="007C6029"/>
    <w:rsid w:val="007C695C"/>
    <w:rsid w:val="007C782F"/>
    <w:rsid w:val="007C7F7F"/>
    <w:rsid w:val="007D42D0"/>
    <w:rsid w:val="007D482E"/>
    <w:rsid w:val="007D4CB3"/>
    <w:rsid w:val="007D558E"/>
    <w:rsid w:val="007D58E4"/>
    <w:rsid w:val="007D7C69"/>
    <w:rsid w:val="007E1336"/>
    <w:rsid w:val="007E1D10"/>
    <w:rsid w:val="007E1E4A"/>
    <w:rsid w:val="007E2D9F"/>
    <w:rsid w:val="007E5840"/>
    <w:rsid w:val="007E6465"/>
    <w:rsid w:val="007E71CA"/>
    <w:rsid w:val="007F06A5"/>
    <w:rsid w:val="007F3259"/>
    <w:rsid w:val="007F3785"/>
    <w:rsid w:val="007F52F0"/>
    <w:rsid w:val="007F5D17"/>
    <w:rsid w:val="007F5D9D"/>
    <w:rsid w:val="008008CA"/>
    <w:rsid w:val="00801539"/>
    <w:rsid w:val="00802674"/>
    <w:rsid w:val="00802798"/>
    <w:rsid w:val="00804727"/>
    <w:rsid w:val="00805CC0"/>
    <w:rsid w:val="00806841"/>
    <w:rsid w:val="00806B0A"/>
    <w:rsid w:val="008118F6"/>
    <w:rsid w:val="008119DF"/>
    <w:rsid w:val="00812826"/>
    <w:rsid w:val="00814767"/>
    <w:rsid w:val="008153B8"/>
    <w:rsid w:val="0081588A"/>
    <w:rsid w:val="00815EB7"/>
    <w:rsid w:val="008166E6"/>
    <w:rsid w:val="00816E68"/>
    <w:rsid w:val="00817AC6"/>
    <w:rsid w:val="00817D8F"/>
    <w:rsid w:val="00820E83"/>
    <w:rsid w:val="00822355"/>
    <w:rsid w:val="00822A76"/>
    <w:rsid w:val="0082387A"/>
    <w:rsid w:val="00824980"/>
    <w:rsid w:val="008271F4"/>
    <w:rsid w:val="00827C66"/>
    <w:rsid w:val="00831005"/>
    <w:rsid w:val="00833680"/>
    <w:rsid w:val="0083415D"/>
    <w:rsid w:val="0083480E"/>
    <w:rsid w:val="00834D08"/>
    <w:rsid w:val="00835236"/>
    <w:rsid w:val="008364F1"/>
    <w:rsid w:val="008367A9"/>
    <w:rsid w:val="00842DBC"/>
    <w:rsid w:val="0084356F"/>
    <w:rsid w:val="008439D1"/>
    <w:rsid w:val="0084414F"/>
    <w:rsid w:val="00846494"/>
    <w:rsid w:val="00852F9D"/>
    <w:rsid w:val="00854129"/>
    <w:rsid w:val="00860AE9"/>
    <w:rsid w:val="00864255"/>
    <w:rsid w:val="00864299"/>
    <w:rsid w:val="008650B5"/>
    <w:rsid w:val="00865592"/>
    <w:rsid w:val="00865B0B"/>
    <w:rsid w:val="00867491"/>
    <w:rsid w:val="00872F6F"/>
    <w:rsid w:val="008747F1"/>
    <w:rsid w:val="00874B2C"/>
    <w:rsid w:val="00881445"/>
    <w:rsid w:val="00882192"/>
    <w:rsid w:val="0088298E"/>
    <w:rsid w:val="0088352A"/>
    <w:rsid w:val="00884D5B"/>
    <w:rsid w:val="00886011"/>
    <w:rsid w:val="00886B38"/>
    <w:rsid w:val="00890549"/>
    <w:rsid w:val="00892835"/>
    <w:rsid w:val="008932C1"/>
    <w:rsid w:val="00893432"/>
    <w:rsid w:val="00893788"/>
    <w:rsid w:val="00894447"/>
    <w:rsid w:val="00894D02"/>
    <w:rsid w:val="00896FF5"/>
    <w:rsid w:val="008A28E0"/>
    <w:rsid w:val="008A2CA0"/>
    <w:rsid w:val="008A3290"/>
    <w:rsid w:val="008A3E34"/>
    <w:rsid w:val="008A5B68"/>
    <w:rsid w:val="008B191E"/>
    <w:rsid w:val="008B25A6"/>
    <w:rsid w:val="008B68EA"/>
    <w:rsid w:val="008B6A27"/>
    <w:rsid w:val="008B7B40"/>
    <w:rsid w:val="008C0A0F"/>
    <w:rsid w:val="008C2FE1"/>
    <w:rsid w:val="008C4E43"/>
    <w:rsid w:val="008C4FA6"/>
    <w:rsid w:val="008C549E"/>
    <w:rsid w:val="008C6B8D"/>
    <w:rsid w:val="008D078F"/>
    <w:rsid w:val="008D1324"/>
    <w:rsid w:val="008E5A06"/>
    <w:rsid w:val="008E5A27"/>
    <w:rsid w:val="008E64C5"/>
    <w:rsid w:val="008E679A"/>
    <w:rsid w:val="008F23E9"/>
    <w:rsid w:val="008F2F4A"/>
    <w:rsid w:val="008F4330"/>
    <w:rsid w:val="008F4A42"/>
    <w:rsid w:val="00900E58"/>
    <w:rsid w:val="00902589"/>
    <w:rsid w:val="0090299D"/>
    <w:rsid w:val="00902E85"/>
    <w:rsid w:val="0090475E"/>
    <w:rsid w:val="00905034"/>
    <w:rsid w:val="009074DF"/>
    <w:rsid w:val="009107D8"/>
    <w:rsid w:val="009119CA"/>
    <w:rsid w:val="00911B0A"/>
    <w:rsid w:val="00917AE6"/>
    <w:rsid w:val="00922AA6"/>
    <w:rsid w:val="009237C2"/>
    <w:rsid w:val="00924CC6"/>
    <w:rsid w:val="00927735"/>
    <w:rsid w:val="0093291E"/>
    <w:rsid w:val="00934EDF"/>
    <w:rsid w:val="009358B2"/>
    <w:rsid w:val="0094027E"/>
    <w:rsid w:val="00941C0D"/>
    <w:rsid w:val="009426AB"/>
    <w:rsid w:val="00952FA5"/>
    <w:rsid w:val="009537FB"/>
    <w:rsid w:val="00954CE7"/>
    <w:rsid w:val="009560D3"/>
    <w:rsid w:val="009577B9"/>
    <w:rsid w:val="00957C76"/>
    <w:rsid w:val="0096067D"/>
    <w:rsid w:val="00961412"/>
    <w:rsid w:val="00961464"/>
    <w:rsid w:val="00962998"/>
    <w:rsid w:val="009638F2"/>
    <w:rsid w:val="00963CB4"/>
    <w:rsid w:val="00963DE5"/>
    <w:rsid w:val="00966F73"/>
    <w:rsid w:val="00967157"/>
    <w:rsid w:val="0096747D"/>
    <w:rsid w:val="00970588"/>
    <w:rsid w:val="009707F2"/>
    <w:rsid w:val="00971A89"/>
    <w:rsid w:val="0097431C"/>
    <w:rsid w:val="00975C8E"/>
    <w:rsid w:val="00977A5A"/>
    <w:rsid w:val="009808ED"/>
    <w:rsid w:val="00980E7A"/>
    <w:rsid w:val="00981E2C"/>
    <w:rsid w:val="0098429E"/>
    <w:rsid w:val="00985CDE"/>
    <w:rsid w:val="00991FC1"/>
    <w:rsid w:val="00992C5E"/>
    <w:rsid w:val="009953E0"/>
    <w:rsid w:val="00995D2D"/>
    <w:rsid w:val="00995D56"/>
    <w:rsid w:val="0099612C"/>
    <w:rsid w:val="00996EF7"/>
    <w:rsid w:val="0099722C"/>
    <w:rsid w:val="009A1A1F"/>
    <w:rsid w:val="009A22EF"/>
    <w:rsid w:val="009A2FE7"/>
    <w:rsid w:val="009A317F"/>
    <w:rsid w:val="009A5C31"/>
    <w:rsid w:val="009A5C64"/>
    <w:rsid w:val="009B49F2"/>
    <w:rsid w:val="009B580D"/>
    <w:rsid w:val="009B5A07"/>
    <w:rsid w:val="009B66A1"/>
    <w:rsid w:val="009B719E"/>
    <w:rsid w:val="009C0CB6"/>
    <w:rsid w:val="009C1DD8"/>
    <w:rsid w:val="009C225E"/>
    <w:rsid w:val="009C228F"/>
    <w:rsid w:val="009C4544"/>
    <w:rsid w:val="009D09EC"/>
    <w:rsid w:val="009D27E0"/>
    <w:rsid w:val="009E0529"/>
    <w:rsid w:val="009E0F10"/>
    <w:rsid w:val="009E3212"/>
    <w:rsid w:val="009E6BDA"/>
    <w:rsid w:val="009F110A"/>
    <w:rsid w:val="009F163B"/>
    <w:rsid w:val="009F1AF9"/>
    <w:rsid w:val="009F2BEC"/>
    <w:rsid w:val="009F2FA4"/>
    <w:rsid w:val="009F30AA"/>
    <w:rsid w:val="009F4FBE"/>
    <w:rsid w:val="009F5356"/>
    <w:rsid w:val="009F5BAC"/>
    <w:rsid w:val="009F5C14"/>
    <w:rsid w:val="009F7AB6"/>
    <w:rsid w:val="00A0102C"/>
    <w:rsid w:val="00A0311C"/>
    <w:rsid w:val="00A05A24"/>
    <w:rsid w:val="00A0650D"/>
    <w:rsid w:val="00A06D5F"/>
    <w:rsid w:val="00A13D37"/>
    <w:rsid w:val="00A1734F"/>
    <w:rsid w:val="00A24F48"/>
    <w:rsid w:val="00A25918"/>
    <w:rsid w:val="00A26A7F"/>
    <w:rsid w:val="00A274FC"/>
    <w:rsid w:val="00A278AF"/>
    <w:rsid w:val="00A337E9"/>
    <w:rsid w:val="00A35CD9"/>
    <w:rsid w:val="00A40C8C"/>
    <w:rsid w:val="00A40D7F"/>
    <w:rsid w:val="00A44F87"/>
    <w:rsid w:val="00A453C3"/>
    <w:rsid w:val="00A479E3"/>
    <w:rsid w:val="00A47C78"/>
    <w:rsid w:val="00A5076B"/>
    <w:rsid w:val="00A50AC5"/>
    <w:rsid w:val="00A5122C"/>
    <w:rsid w:val="00A51D97"/>
    <w:rsid w:val="00A537D9"/>
    <w:rsid w:val="00A55538"/>
    <w:rsid w:val="00A55B33"/>
    <w:rsid w:val="00A561C2"/>
    <w:rsid w:val="00A573E4"/>
    <w:rsid w:val="00A60B97"/>
    <w:rsid w:val="00A62CA7"/>
    <w:rsid w:val="00A6365F"/>
    <w:rsid w:val="00A646F7"/>
    <w:rsid w:val="00A65FFE"/>
    <w:rsid w:val="00A70A73"/>
    <w:rsid w:val="00A71769"/>
    <w:rsid w:val="00A71A7A"/>
    <w:rsid w:val="00A72845"/>
    <w:rsid w:val="00A73E50"/>
    <w:rsid w:val="00A748B1"/>
    <w:rsid w:val="00A76F61"/>
    <w:rsid w:val="00A80CDD"/>
    <w:rsid w:val="00A80F01"/>
    <w:rsid w:val="00A818F2"/>
    <w:rsid w:val="00A81940"/>
    <w:rsid w:val="00A831A9"/>
    <w:rsid w:val="00A873EC"/>
    <w:rsid w:val="00A9198D"/>
    <w:rsid w:val="00A94F72"/>
    <w:rsid w:val="00A95C39"/>
    <w:rsid w:val="00A95FA8"/>
    <w:rsid w:val="00A97025"/>
    <w:rsid w:val="00A971B9"/>
    <w:rsid w:val="00AA01B0"/>
    <w:rsid w:val="00AA07FA"/>
    <w:rsid w:val="00AA08C0"/>
    <w:rsid w:val="00AA2CA8"/>
    <w:rsid w:val="00AA4451"/>
    <w:rsid w:val="00AA5DE0"/>
    <w:rsid w:val="00AB15A2"/>
    <w:rsid w:val="00AB1634"/>
    <w:rsid w:val="00AB1650"/>
    <w:rsid w:val="00AB4608"/>
    <w:rsid w:val="00AB699B"/>
    <w:rsid w:val="00AB6EFB"/>
    <w:rsid w:val="00AC00DC"/>
    <w:rsid w:val="00AC0439"/>
    <w:rsid w:val="00AC129F"/>
    <w:rsid w:val="00AC13CF"/>
    <w:rsid w:val="00AC36CF"/>
    <w:rsid w:val="00AC4383"/>
    <w:rsid w:val="00AD1017"/>
    <w:rsid w:val="00AD3EE4"/>
    <w:rsid w:val="00AD4D18"/>
    <w:rsid w:val="00AD5ECB"/>
    <w:rsid w:val="00AD64DF"/>
    <w:rsid w:val="00AD6D85"/>
    <w:rsid w:val="00AD7094"/>
    <w:rsid w:val="00AE0A5E"/>
    <w:rsid w:val="00AE0C05"/>
    <w:rsid w:val="00AE10E0"/>
    <w:rsid w:val="00AE2335"/>
    <w:rsid w:val="00AE3660"/>
    <w:rsid w:val="00AE5317"/>
    <w:rsid w:val="00AE5F04"/>
    <w:rsid w:val="00AE60C9"/>
    <w:rsid w:val="00AE7DDF"/>
    <w:rsid w:val="00AF1C3E"/>
    <w:rsid w:val="00AF24E7"/>
    <w:rsid w:val="00AF26C1"/>
    <w:rsid w:val="00AF29F8"/>
    <w:rsid w:val="00AF424A"/>
    <w:rsid w:val="00AF4325"/>
    <w:rsid w:val="00AF51FF"/>
    <w:rsid w:val="00AF5374"/>
    <w:rsid w:val="00AF5A8E"/>
    <w:rsid w:val="00AF6E72"/>
    <w:rsid w:val="00B00B7D"/>
    <w:rsid w:val="00B05144"/>
    <w:rsid w:val="00B10D3F"/>
    <w:rsid w:val="00B12930"/>
    <w:rsid w:val="00B1655B"/>
    <w:rsid w:val="00B2391E"/>
    <w:rsid w:val="00B26D11"/>
    <w:rsid w:val="00B27F33"/>
    <w:rsid w:val="00B30A4E"/>
    <w:rsid w:val="00B33887"/>
    <w:rsid w:val="00B35314"/>
    <w:rsid w:val="00B35543"/>
    <w:rsid w:val="00B360E5"/>
    <w:rsid w:val="00B361C1"/>
    <w:rsid w:val="00B37B71"/>
    <w:rsid w:val="00B4006C"/>
    <w:rsid w:val="00B43883"/>
    <w:rsid w:val="00B44871"/>
    <w:rsid w:val="00B462B5"/>
    <w:rsid w:val="00B46E90"/>
    <w:rsid w:val="00B46E95"/>
    <w:rsid w:val="00B528C1"/>
    <w:rsid w:val="00B5290E"/>
    <w:rsid w:val="00B53E7E"/>
    <w:rsid w:val="00B5407E"/>
    <w:rsid w:val="00B54BFC"/>
    <w:rsid w:val="00B5595F"/>
    <w:rsid w:val="00B57BF5"/>
    <w:rsid w:val="00B63B60"/>
    <w:rsid w:val="00B64374"/>
    <w:rsid w:val="00B700B7"/>
    <w:rsid w:val="00B72FD3"/>
    <w:rsid w:val="00B73171"/>
    <w:rsid w:val="00B7385A"/>
    <w:rsid w:val="00B74457"/>
    <w:rsid w:val="00B77640"/>
    <w:rsid w:val="00B82963"/>
    <w:rsid w:val="00B83490"/>
    <w:rsid w:val="00B83DEA"/>
    <w:rsid w:val="00B85858"/>
    <w:rsid w:val="00B861FF"/>
    <w:rsid w:val="00B862AF"/>
    <w:rsid w:val="00B87A1B"/>
    <w:rsid w:val="00B90835"/>
    <w:rsid w:val="00B910A4"/>
    <w:rsid w:val="00B92505"/>
    <w:rsid w:val="00B9291F"/>
    <w:rsid w:val="00B9387C"/>
    <w:rsid w:val="00B94FE1"/>
    <w:rsid w:val="00B956D9"/>
    <w:rsid w:val="00B9585B"/>
    <w:rsid w:val="00B97B71"/>
    <w:rsid w:val="00BA0CED"/>
    <w:rsid w:val="00BA3467"/>
    <w:rsid w:val="00BA482F"/>
    <w:rsid w:val="00BA59E3"/>
    <w:rsid w:val="00BA5DCB"/>
    <w:rsid w:val="00BA669A"/>
    <w:rsid w:val="00BA6B36"/>
    <w:rsid w:val="00BA7154"/>
    <w:rsid w:val="00BB0445"/>
    <w:rsid w:val="00BB523E"/>
    <w:rsid w:val="00BB6EE0"/>
    <w:rsid w:val="00BB7E60"/>
    <w:rsid w:val="00BC2393"/>
    <w:rsid w:val="00BC353D"/>
    <w:rsid w:val="00BD16BD"/>
    <w:rsid w:val="00BD2956"/>
    <w:rsid w:val="00BD30BF"/>
    <w:rsid w:val="00BD4331"/>
    <w:rsid w:val="00BD458B"/>
    <w:rsid w:val="00BD6D3E"/>
    <w:rsid w:val="00BD79CB"/>
    <w:rsid w:val="00BE43BF"/>
    <w:rsid w:val="00BE4B65"/>
    <w:rsid w:val="00BF01B9"/>
    <w:rsid w:val="00BF057C"/>
    <w:rsid w:val="00BF08D3"/>
    <w:rsid w:val="00BF120B"/>
    <w:rsid w:val="00BF17AD"/>
    <w:rsid w:val="00BF3D30"/>
    <w:rsid w:val="00BF4871"/>
    <w:rsid w:val="00BF56DB"/>
    <w:rsid w:val="00BF6950"/>
    <w:rsid w:val="00C0217A"/>
    <w:rsid w:val="00C03BF1"/>
    <w:rsid w:val="00C04395"/>
    <w:rsid w:val="00C056DA"/>
    <w:rsid w:val="00C057FE"/>
    <w:rsid w:val="00C10029"/>
    <w:rsid w:val="00C103A0"/>
    <w:rsid w:val="00C11B92"/>
    <w:rsid w:val="00C12380"/>
    <w:rsid w:val="00C135E4"/>
    <w:rsid w:val="00C14345"/>
    <w:rsid w:val="00C209AE"/>
    <w:rsid w:val="00C209CE"/>
    <w:rsid w:val="00C2191D"/>
    <w:rsid w:val="00C21C89"/>
    <w:rsid w:val="00C220AB"/>
    <w:rsid w:val="00C226A5"/>
    <w:rsid w:val="00C22F66"/>
    <w:rsid w:val="00C2334C"/>
    <w:rsid w:val="00C248AF"/>
    <w:rsid w:val="00C24A42"/>
    <w:rsid w:val="00C265E3"/>
    <w:rsid w:val="00C27F30"/>
    <w:rsid w:val="00C33061"/>
    <w:rsid w:val="00C3312C"/>
    <w:rsid w:val="00C33313"/>
    <w:rsid w:val="00C3505D"/>
    <w:rsid w:val="00C36A42"/>
    <w:rsid w:val="00C37938"/>
    <w:rsid w:val="00C407F9"/>
    <w:rsid w:val="00C424B4"/>
    <w:rsid w:val="00C42F6F"/>
    <w:rsid w:val="00C4304C"/>
    <w:rsid w:val="00C47926"/>
    <w:rsid w:val="00C4797D"/>
    <w:rsid w:val="00C50048"/>
    <w:rsid w:val="00C50E3E"/>
    <w:rsid w:val="00C56288"/>
    <w:rsid w:val="00C577B4"/>
    <w:rsid w:val="00C579B8"/>
    <w:rsid w:val="00C60237"/>
    <w:rsid w:val="00C61203"/>
    <w:rsid w:val="00C652F9"/>
    <w:rsid w:val="00C66159"/>
    <w:rsid w:val="00C70C1D"/>
    <w:rsid w:val="00C73F20"/>
    <w:rsid w:val="00C740B3"/>
    <w:rsid w:val="00C74F74"/>
    <w:rsid w:val="00C760E6"/>
    <w:rsid w:val="00C76448"/>
    <w:rsid w:val="00C77662"/>
    <w:rsid w:val="00C80AAF"/>
    <w:rsid w:val="00C834A0"/>
    <w:rsid w:val="00C86731"/>
    <w:rsid w:val="00C87C5D"/>
    <w:rsid w:val="00C90B4F"/>
    <w:rsid w:val="00C948F2"/>
    <w:rsid w:val="00C95210"/>
    <w:rsid w:val="00C96110"/>
    <w:rsid w:val="00CA2D74"/>
    <w:rsid w:val="00CA4325"/>
    <w:rsid w:val="00CA555F"/>
    <w:rsid w:val="00CA66FE"/>
    <w:rsid w:val="00CB2E4E"/>
    <w:rsid w:val="00CB347B"/>
    <w:rsid w:val="00CB57FB"/>
    <w:rsid w:val="00CB5BFA"/>
    <w:rsid w:val="00CB6801"/>
    <w:rsid w:val="00CB7489"/>
    <w:rsid w:val="00CC00D2"/>
    <w:rsid w:val="00CC0FE2"/>
    <w:rsid w:val="00CC2CD8"/>
    <w:rsid w:val="00CC3120"/>
    <w:rsid w:val="00CC4596"/>
    <w:rsid w:val="00CC5571"/>
    <w:rsid w:val="00CC5E71"/>
    <w:rsid w:val="00CC66B8"/>
    <w:rsid w:val="00CC686E"/>
    <w:rsid w:val="00CC6DCB"/>
    <w:rsid w:val="00CD0A8A"/>
    <w:rsid w:val="00CD49FB"/>
    <w:rsid w:val="00CD4FE6"/>
    <w:rsid w:val="00CD59FB"/>
    <w:rsid w:val="00CD5E08"/>
    <w:rsid w:val="00CD62A8"/>
    <w:rsid w:val="00CD6CAC"/>
    <w:rsid w:val="00CD7B38"/>
    <w:rsid w:val="00CE301E"/>
    <w:rsid w:val="00CE32C2"/>
    <w:rsid w:val="00CE34AC"/>
    <w:rsid w:val="00CE6562"/>
    <w:rsid w:val="00CE675D"/>
    <w:rsid w:val="00CE6AA7"/>
    <w:rsid w:val="00CF025E"/>
    <w:rsid w:val="00CF1CCF"/>
    <w:rsid w:val="00CF1F56"/>
    <w:rsid w:val="00CF4FDF"/>
    <w:rsid w:val="00D00A41"/>
    <w:rsid w:val="00D02068"/>
    <w:rsid w:val="00D04AD4"/>
    <w:rsid w:val="00D07D6E"/>
    <w:rsid w:val="00D10528"/>
    <w:rsid w:val="00D14D92"/>
    <w:rsid w:val="00D16670"/>
    <w:rsid w:val="00D167F3"/>
    <w:rsid w:val="00D171F2"/>
    <w:rsid w:val="00D2036C"/>
    <w:rsid w:val="00D238B1"/>
    <w:rsid w:val="00D253D3"/>
    <w:rsid w:val="00D255FE"/>
    <w:rsid w:val="00D266DB"/>
    <w:rsid w:val="00D26C06"/>
    <w:rsid w:val="00D2718C"/>
    <w:rsid w:val="00D2790D"/>
    <w:rsid w:val="00D303D5"/>
    <w:rsid w:val="00D34F42"/>
    <w:rsid w:val="00D36A3B"/>
    <w:rsid w:val="00D37337"/>
    <w:rsid w:val="00D434D3"/>
    <w:rsid w:val="00D4466C"/>
    <w:rsid w:val="00D45EA8"/>
    <w:rsid w:val="00D46E67"/>
    <w:rsid w:val="00D520E3"/>
    <w:rsid w:val="00D54BCC"/>
    <w:rsid w:val="00D56DB1"/>
    <w:rsid w:val="00D62BD9"/>
    <w:rsid w:val="00D6629D"/>
    <w:rsid w:val="00D67F12"/>
    <w:rsid w:val="00D706A4"/>
    <w:rsid w:val="00D70D98"/>
    <w:rsid w:val="00D73726"/>
    <w:rsid w:val="00D73B35"/>
    <w:rsid w:val="00D762F2"/>
    <w:rsid w:val="00D76CFE"/>
    <w:rsid w:val="00D774EA"/>
    <w:rsid w:val="00D81AF5"/>
    <w:rsid w:val="00D82C88"/>
    <w:rsid w:val="00D86CC4"/>
    <w:rsid w:val="00D8713E"/>
    <w:rsid w:val="00D90117"/>
    <w:rsid w:val="00D92BCD"/>
    <w:rsid w:val="00D95477"/>
    <w:rsid w:val="00D97F5F"/>
    <w:rsid w:val="00DA06C7"/>
    <w:rsid w:val="00DA5D9B"/>
    <w:rsid w:val="00DA777B"/>
    <w:rsid w:val="00DA77E1"/>
    <w:rsid w:val="00DB08C3"/>
    <w:rsid w:val="00DB4601"/>
    <w:rsid w:val="00DB4D1C"/>
    <w:rsid w:val="00DB5A06"/>
    <w:rsid w:val="00DB5C80"/>
    <w:rsid w:val="00DB62BB"/>
    <w:rsid w:val="00DB650B"/>
    <w:rsid w:val="00DB747D"/>
    <w:rsid w:val="00DC0565"/>
    <w:rsid w:val="00DC098A"/>
    <w:rsid w:val="00DC196E"/>
    <w:rsid w:val="00DC2FE4"/>
    <w:rsid w:val="00DC3F0E"/>
    <w:rsid w:val="00DC4CB8"/>
    <w:rsid w:val="00DC4F78"/>
    <w:rsid w:val="00DD00D1"/>
    <w:rsid w:val="00DD1C5A"/>
    <w:rsid w:val="00DD2B6D"/>
    <w:rsid w:val="00DD326D"/>
    <w:rsid w:val="00DD7D45"/>
    <w:rsid w:val="00DE1149"/>
    <w:rsid w:val="00DE159E"/>
    <w:rsid w:val="00DE333E"/>
    <w:rsid w:val="00DE454A"/>
    <w:rsid w:val="00DE5278"/>
    <w:rsid w:val="00DE6D16"/>
    <w:rsid w:val="00DE7486"/>
    <w:rsid w:val="00DF2051"/>
    <w:rsid w:val="00DF40C2"/>
    <w:rsid w:val="00DF6465"/>
    <w:rsid w:val="00E011BD"/>
    <w:rsid w:val="00E0135E"/>
    <w:rsid w:val="00E04B3D"/>
    <w:rsid w:val="00E07F28"/>
    <w:rsid w:val="00E1078B"/>
    <w:rsid w:val="00E11970"/>
    <w:rsid w:val="00E1284E"/>
    <w:rsid w:val="00E12854"/>
    <w:rsid w:val="00E12C20"/>
    <w:rsid w:val="00E13757"/>
    <w:rsid w:val="00E137B5"/>
    <w:rsid w:val="00E160B9"/>
    <w:rsid w:val="00E1776D"/>
    <w:rsid w:val="00E20743"/>
    <w:rsid w:val="00E220D1"/>
    <w:rsid w:val="00E22A9B"/>
    <w:rsid w:val="00E23825"/>
    <w:rsid w:val="00E25FB2"/>
    <w:rsid w:val="00E260F3"/>
    <w:rsid w:val="00E273CD"/>
    <w:rsid w:val="00E27C93"/>
    <w:rsid w:val="00E30126"/>
    <w:rsid w:val="00E311E3"/>
    <w:rsid w:val="00E32607"/>
    <w:rsid w:val="00E330ED"/>
    <w:rsid w:val="00E336D9"/>
    <w:rsid w:val="00E33826"/>
    <w:rsid w:val="00E33A28"/>
    <w:rsid w:val="00E3410B"/>
    <w:rsid w:val="00E34E06"/>
    <w:rsid w:val="00E35D8C"/>
    <w:rsid w:val="00E370CA"/>
    <w:rsid w:val="00E37435"/>
    <w:rsid w:val="00E409FC"/>
    <w:rsid w:val="00E40CAC"/>
    <w:rsid w:val="00E42859"/>
    <w:rsid w:val="00E432E9"/>
    <w:rsid w:val="00E46213"/>
    <w:rsid w:val="00E4775D"/>
    <w:rsid w:val="00E50378"/>
    <w:rsid w:val="00E53434"/>
    <w:rsid w:val="00E542B2"/>
    <w:rsid w:val="00E577B3"/>
    <w:rsid w:val="00E649CE"/>
    <w:rsid w:val="00E654F3"/>
    <w:rsid w:val="00E65792"/>
    <w:rsid w:val="00E65D7E"/>
    <w:rsid w:val="00E67F5A"/>
    <w:rsid w:val="00E70E0E"/>
    <w:rsid w:val="00E71786"/>
    <w:rsid w:val="00E72319"/>
    <w:rsid w:val="00E76BA2"/>
    <w:rsid w:val="00E8215C"/>
    <w:rsid w:val="00E8273D"/>
    <w:rsid w:val="00E82CB0"/>
    <w:rsid w:val="00E833F9"/>
    <w:rsid w:val="00E83E90"/>
    <w:rsid w:val="00E84566"/>
    <w:rsid w:val="00E91CB5"/>
    <w:rsid w:val="00E936C9"/>
    <w:rsid w:val="00E9558B"/>
    <w:rsid w:val="00E957B2"/>
    <w:rsid w:val="00EA0E4A"/>
    <w:rsid w:val="00EA11B0"/>
    <w:rsid w:val="00EA1F23"/>
    <w:rsid w:val="00EA4763"/>
    <w:rsid w:val="00EA6177"/>
    <w:rsid w:val="00EA689C"/>
    <w:rsid w:val="00EA6ED0"/>
    <w:rsid w:val="00EA7D9C"/>
    <w:rsid w:val="00EB0A20"/>
    <w:rsid w:val="00EB279E"/>
    <w:rsid w:val="00EB335B"/>
    <w:rsid w:val="00EB36C7"/>
    <w:rsid w:val="00EB3D19"/>
    <w:rsid w:val="00EB53AA"/>
    <w:rsid w:val="00EB730E"/>
    <w:rsid w:val="00EC1D89"/>
    <w:rsid w:val="00EC3916"/>
    <w:rsid w:val="00EC6824"/>
    <w:rsid w:val="00EC687C"/>
    <w:rsid w:val="00EC7315"/>
    <w:rsid w:val="00ED0F2E"/>
    <w:rsid w:val="00ED1439"/>
    <w:rsid w:val="00ED14C4"/>
    <w:rsid w:val="00ED14FE"/>
    <w:rsid w:val="00ED20FD"/>
    <w:rsid w:val="00ED243A"/>
    <w:rsid w:val="00ED2D33"/>
    <w:rsid w:val="00ED5EE9"/>
    <w:rsid w:val="00ED7B80"/>
    <w:rsid w:val="00EE0B26"/>
    <w:rsid w:val="00EE0B9D"/>
    <w:rsid w:val="00EE0E44"/>
    <w:rsid w:val="00EE3836"/>
    <w:rsid w:val="00EE5477"/>
    <w:rsid w:val="00EE54E0"/>
    <w:rsid w:val="00EE611C"/>
    <w:rsid w:val="00EE657E"/>
    <w:rsid w:val="00EE6FC3"/>
    <w:rsid w:val="00EF03BA"/>
    <w:rsid w:val="00EF77C3"/>
    <w:rsid w:val="00F058F4"/>
    <w:rsid w:val="00F07810"/>
    <w:rsid w:val="00F1024B"/>
    <w:rsid w:val="00F10B56"/>
    <w:rsid w:val="00F11C4D"/>
    <w:rsid w:val="00F11E06"/>
    <w:rsid w:val="00F12CD5"/>
    <w:rsid w:val="00F131A3"/>
    <w:rsid w:val="00F1325D"/>
    <w:rsid w:val="00F13CF6"/>
    <w:rsid w:val="00F141BE"/>
    <w:rsid w:val="00F14C5B"/>
    <w:rsid w:val="00F14F25"/>
    <w:rsid w:val="00F16C06"/>
    <w:rsid w:val="00F17BB5"/>
    <w:rsid w:val="00F17CEE"/>
    <w:rsid w:val="00F20C1F"/>
    <w:rsid w:val="00F21EEB"/>
    <w:rsid w:val="00F22D72"/>
    <w:rsid w:val="00F240D8"/>
    <w:rsid w:val="00F26008"/>
    <w:rsid w:val="00F26BD0"/>
    <w:rsid w:val="00F31DDC"/>
    <w:rsid w:val="00F32A19"/>
    <w:rsid w:val="00F32E64"/>
    <w:rsid w:val="00F350D7"/>
    <w:rsid w:val="00F3595E"/>
    <w:rsid w:val="00F35AB3"/>
    <w:rsid w:val="00F369C8"/>
    <w:rsid w:val="00F36B80"/>
    <w:rsid w:val="00F36C2E"/>
    <w:rsid w:val="00F40767"/>
    <w:rsid w:val="00F40F07"/>
    <w:rsid w:val="00F42114"/>
    <w:rsid w:val="00F43F98"/>
    <w:rsid w:val="00F46104"/>
    <w:rsid w:val="00F47A46"/>
    <w:rsid w:val="00F52CC3"/>
    <w:rsid w:val="00F5566F"/>
    <w:rsid w:val="00F605EB"/>
    <w:rsid w:val="00F60A3F"/>
    <w:rsid w:val="00F64B75"/>
    <w:rsid w:val="00F70480"/>
    <w:rsid w:val="00F713BA"/>
    <w:rsid w:val="00F71EB0"/>
    <w:rsid w:val="00F72741"/>
    <w:rsid w:val="00F72A34"/>
    <w:rsid w:val="00F730B8"/>
    <w:rsid w:val="00F73CDE"/>
    <w:rsid w:val="00F7536E"/>
    <w:rsid w:val="00F7663B"/>
    <w:rsid w:val="00F77558"/>
    <w:rsid w:val="00F838C7"/>
    <w:rsid w:val="00F841C0"/>
    <w:rsid w:val="00F85DF3"/>
    <w:rsid w:val="00F8771E"/>
    <w:rsid w:val="00F87EE5"/>
    <w:rsid w:val="00F901CE"/>
    <w:rsid w:val="00F91363"/>
    <w:rsid w:val="00F934B6"/>
    <w:rsid w:val="00FA0CCE"/>
    <w:rsid w:val="00FA0E3C"/>
    <w:rsid w:val="00FA20EA"/>
    <w:rsid w:val="00FA307F"/>
    <w:rsid w:val="00FA7E71"/>
    <w:rsid w:val="00FB1244"/>
    <w:rsid w:val="00FB21C8"/>
    <w:rsid w:val="00FB4D5D"/>
    <w:rsid w:val="00FB5430"/>
    <w:rsid w:val="00FB64A1"/>
    <w:rsid w:val="00FB6A09"/>
    <w:rsid w:val="00FB75A6"/>
    <w:rsid w:val="00FC12D4"/>
    <w:rsid w:val="00FC198A"/>
    <w:rsid w:val="00FC2750"/>
    <w:rsid w:val="00FC6ECF"/>
    <w:rsid w:val="00FC713E"/>
    <w:rsid w:val="00FC7DFA"/>
    <w:rsid w:val="00FD11DD"/>
    <w:rsid w:val="00FD220B"/>
    <w:rsid w:val="00FD3A14"/>
    <w:rsid w:val="00FD3DF0"/>
    <w:rsid w:val="00FD4673"/>
    <w:rsid w:val="00FD4B9E"/>
    <w:rsid w:val="00FD789A"/>
    <w:rsid w:val="00FD7A39"/>
    <w:rsid w:val="00FE14EC"/>
    <w:rsid w:val="00FE2AC1"/>
    <w:rsid w:val="00FE5A00"/>
    <w:rsid w:val="00FE7F94"/>
    <w:rsid w:val="00FF1227"/>
    <w:rsid w:val="00FF2649"/>
    <w:rsid w:val="00FF4495"/>
    <w:rsid w:val="00FF4818"/>
    <w:rsid w:val="01CC1A40"/>
    <w:rsid w:val="0216715F"/>
    <w:rsid w:val="025039E1"/>
    <w:rsid w:val="03595555"/>
    <w:rsid w:val="04081968"/>
    <w:rsid w:val="05054C8B"/>
    <w:rsid w:val="051E77F4"/>
    <w:rsid w:val="05580C83"/>
    <w:rsid w:val="06F947E6"/>
    <w:rsid w:val="094E18C4"/>
    <w:rsid w:val="09B4115B"/>
    <w:rsid w:val="09C3032C"/>
    <w:rsid w:val="09F65A96"/>
    <w:rsid w:val="0C2506CA"/>
    <w:rsid w:val="0EB140DD"/>
    <w:rsid w:val="0FBF585C"/>
    <w:rsid w:val="10D75E44"/>
    <w:rsid w:val="11B67681"/>
    <w:rsid w:val="12117246"/>
    <w:rsid w:val="12E0359D"/>
    <w:rsid w:val="16A83361"/>
    <w:rsid w:val="178B3958"/>
    <w:rsid w:val="19AE476B"/>
    <w:rsid w:val="19F82AFF"/>
    <w:rsid w:val="1A2A3350"/>
    <w:rsid w:val="1A5C7852"/>
    <w:rsid w:val="1AB77B50"/>
    <w:rsid w:val="1B5D6EDB"/>
    <w:rsid w:val="1C7479D2"/>
    <w:rsid w:val="1C9D46DC"/>
    <w:rsid w:val="1CF806C3"/>
    <w:rsid w:val="1DE77CD7"/>
    <w:rsid w:val="1F1F7F88"/>
    <w:rsid w:val="1F7142BB"/>
    <w:rsid w:val="201E5F05"/>
    <w:rsid w:val="20D714C9"/>
    <w:rsid w:val="20EF0E4F"/>
    <w:rsid w:val="213056EF"/>
    <w:rsid w:val="23472730"/>
    <w:rsid w:val="23B440F0"/>
    <w:rsid w:val="254758A3"/>
    <w:rsid w:val="25D34863"/>
    <w:rsid w:val="265A320F"/>
    <w:rsid w:val="26EF7B95"/>
    <w:rsid w:val="27C85860"/>
    <w:rsid w:val="28BE2E43"/>
    <w:rsid w:val="29D364EB"/>
    <w:rsid w:val="2AAF1D7B"/>
    <w:rsid w:val="2AC65B3D"/>
    <w:rsid w:val="2C8D33D4"/>
    <w:rsid w:val="2CDF621C"/>
    <w:rsid w:val="2DA07C26"/>
    <w:rsid w:val="2EA10CD8"/>
    <w:rsid w:val="2FA63B62"/>
    <w:rsid w:val="2FCF4DFD"/>
    <w:rsid w:val="319A4B1E"/>
    <w:rsid w:val="320E59EA"/>
    <w:rsid w:val="34684C5B"/>
    <w:rsid w:val="34CC3529"/>
    <w:rsid w:val="34D47D54"/>
    <w:rsid w:val="350C7DCA"/>
    <w:rsid w:val="362853ED"/>
    <w:rsid w:val="375630CB"/>
    <w:rsid w:val="38D676C9"/>
    <w:rsid w:val="393F2E43"/>
    <w:rsid w:val="39A607ED"/>
    <w:rsid w:val="39E862DD"/>
    <w:rsid w:val="39EC6E57"/>
    <w:rsid w:val="3A6479D5"/>
    <w:rsid w:val="3B295B82"/>
    <w:rsid w:val="3C173538"/>
    <w:rsid w:val="3C8368C4"/>
    <w:rsid w:val="3E472DE6"/>
    <w:rsid w:val="3E664BC9"/>
    <w:rsid w:val="3E8C50D4"/>
    <w:rsid w:val="3EF44A8C"/>
    <w:rsid w:val="41682402"/>
    <w:rsid w:val="41852526"/>
    <w:rsid w:val="428A31E3"/>
    <w:rsid w:val="436808C1"/>
    <w:rsid w:val="43E02B4D"/>
    <w:rsid w:val="44A20857"/>
    <w:rsid w:val="460355F1"/>
    <w:rsid w:val="46E30137"/>
    <w:rsid w:val="4B321EE0"/>
    <w:rsid w:val="4B7614FD"/>
    <w:rsid w:val="4B810673"/>
    <w:rsid w:val="4BE63515"/>
    <w:rsid w:val="4C6C1422"/>
    <w:rsid w:val="4D2B34E9"/>
    <w:rsid w:val="4E6A2BDB"/>
    <w:rsid w:val="4E6A7BE3"/>
    <w:rsid w:val="4FA1148B"/>
    <w:rsid w:val="50263465"/>
    <w:rsid w:val="512B1A49"/>
    <w:rsid w:val="520605DB"/>
    <w:rsid w:val="570515DE"/>
    <w:rsid w:val="58555E2B"/>
    <w:rsid w:val="58AF078D"/>
    <w:rsid w:val="5AA224B3"/>
    <w:rsid w:val="5C2956DB"/>
    <w:rsid w:val="5CFD10CB"/>
    <w:rsid w:val="5F294F51"/>
    <w:rsid w:val="614D518B"/>
    <w:rsid w:val="61E12853"/>
    <w:rsid w:val="62FD40BD"/>
    <w:rsid w:val="63593AA3"/>
    <w:rsid w:val="638929C2"/>
    <w:rsid w:val="649E25E0"/>
    <w:rsid w:val="668352A7"/>
    <w:rsid w:val="668B51BE"/>
    <w:rsid w:val="67FC4F5C"/>
    <w:rsid w:val="68620580"/>
    <w:rsid w:val="68C116C8"/>
    <w:rsid w:val="6A07014E"/>
    <w:rsid w:val="6A2A361C"/>
    <w:rsid w:val="6C5F0204"/>
    <w:rsid w:val="6D8B3589"/>
    <w:rsid w:val="6E6813FF"/>
    <w:rsid w:val="6EF72976"/>
    <w:rsid w:val="6F9438C6"/>
    <w:rsid w:val="6FE436CB"/>
    <w:rsid w:val="71451292"/>
    <w:rsid w:val="722A4E10"/>
    <w:rsid w:val="72422AE2"/>
    <w:rsid w:val="72DC1889"/>
    <w:rsid w:val="72DF026D"/>
    <w:rsid w:val="730C76FE"/>
    <w:rsid w:val="75D349E1"/>
    <w:rsid w:val="76BD2199"/>
    <w:rsid w:val="778139C7"/>
    <w:rsid w:val="79D816A4"/>
    <w:rsid w:val="7A1775D3"/>
    <w:rsid w:val="7A5F5873"/>
    <w:rsid w:val="7C963097"/>
    <w:rsid w:val="7ECF2FC7"/>
    <w:rsid w:val="DF8BC5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8"/>
      <w:lang w:val="en-US" w:eastAsia="zh-CN" w:bidi="ar-SA"/>
    </w:rPr>
  </w:style>
  <w:style w:type="paragraph" w:styleId="2">
    <w:name w:val="heading 1"/>
    <w:basedOn w:val="1"/>
    <w:next w:val="1"/>
    <w:link w:val="28"/>
    <w:qFormat/>
    <w:uiPriority w:val="0"/>
    <w:pPr>
      <w:keepNext/>
      <w:keepLines/>
      <w:numPr>
        <w:ilvl w:val="0"/>
        <w:numId w:val="1"/>
      </w:numPr>
      <w:spacing w:before="100" w:beforeLines="100"/>
      <w:ind w:firstLine="0" w:firstLineChars="0"/>
      <w:outlineLvl w:val="0"/>
    </w:pPr>
    <w:rPr>
      <w:b/>
      <w:bCs/>
      <w:kern w:val="44"/>
      <w:szCs w:val="44"/>
    </w:rPr>
  </w:style>
  <w:style w:type="paragraph" w:styleId="3">
    <w:name w:val="heading 2"/>
    <w:basedOn w:val="1"/>
    <w:next w:val="1"/>
    <w:link w:val="29"/>
    <w:unhideWhenUsed/>
    <w:qFormat/>
    <w:uiPriority w:val="0"/>
    <w:pPr>
      <w:keepNext/>
      <w:keepLines/>
      <w:numPr>
        <w:ilvl w:val="0"/>
        <w:numId w:val="2"/>
      </w:numPr>
      <w:ind w:firstLine="0" w:firstLineChars="0"/>
      <w:jc w:val="left"/>
      <w:outlineLvl w:val="1"/>
    </w:pPr>
    <w:rPr>
      <w:rFonts w:asciiTheme="majorHAnsi" w:hAnsiTheme="majorHAnsi" w:cstheme="majorBidi"/>
      <w:b/>
      <w:bCs/>
      <w:szCs w:val="32"/>
    </w:rPr>
  </w:style>
  <w:style w:type="paragraph" w:styleId="4">
    <w:name w:val="heading 3"/>
    <w:basedOn w:val="1"/>
    <w:next w:val="1"/>
    <w:link w:val="30"/>
    <w:unhideWhenUsed/>
    <w:qFormat/>
    <w:uiPriority w:val="0"/>
    <w:pPr>
      <w:keepNext/>
      <w:keepLines/>
      <w:numPr>
        <w:ilvl w:val="0"/>
        <w:numId w:val="3"/>
      </w:numPr>
      <w:spacing w:line="240" w:lineRule="auto"/>
      <w:ind w:firstLine="0" w:firstLineChars="0"/>
      <w:outlineLvl w:val="2"/>
    </w:pPr>
    <w:rPr>
      <w:b/>
      <w:bCs/>
      <w:szCs w:val="32"/>
    </w:rPr>
  </w:style>
  <w:style w:type="paragraph" w:styleId="5">
    <w:name w:val="heading 4"/>
    <w:basedOn w:val="1"/>
    <w:next w:val="1"/>
    <w:link w:val="32"/>
    <w:semiHidden/>
    <w:unhideWhenUsed/>
    <w:qFormat/>
    <w:uiPriority w:val="0"/>
    <w:pPr>
      <w:keepNext/>
      <w:keepLines/>
      <w:spacing w:before="280" w:after="290" w:line="376" w:lineRule="auto"/>
      <w:outlineLvl w:val="3"/>
    </w:pPr>
    <w:rPr>
      <w:rFonts w:asciiTheme="majorHAnsi" w:hAnsiTheme="majorHAnsi" w:eastAsiaTheme="majorEastAsia" w:cstheme="majorBidi"/>
      <w:b/>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text"/>
    <w:basedOn w:val="1"/>
    <w:link w:val="26"/>
    <w:qFormat/>
    <w:uiPriority w:val="0"/>
    <w:pPr>
      <w:jc w:val="left"/>
    </w:pPr>
  </w:style>
  <w:style w:type="paragraph" w:styleId="7">
    <w:name w:val="Body Text"/>
    <w:basedOn w:val="1"/>
    <w:unhideWhenUsed/>
    <w:qFormat/>
    <w:uiPriority w:val="0"/>
    <w:pPr>
      <w:spacing w:after="120"/>
    </w:pPr>
  </w:style>
  <w:style w:type="paragraph" w:styleId="8">
    <w:name w:val="Body Text Indent"/>
    <w:basedOn w:val="1"/>
    <w:link w:val="42"/>
    <w:qFormat/>
    <w:uiPriority w:val="0"/>
    <w:pPr>
      <w:spacing w:after="120"/>
      <w:ind w:left="420" w:leftChars="200"/>
    </w:pPr>
  </w:style>
  <w:style w:type="paragraph" w:styleId="9">
    <w:name w:val="Plain Text"/>
    <w:basedOn w:val="1"/>
    <w:qFormat/>
    <w:uiPriority w:val="0"/>
    <w:rPr>
      <w:rFonts w:ascii="宋体" w:hAnsi="Courier New"/>
    </w:rPr>
  </w:style>
  <w:style w:type="paragraph" w:styleId="10">
    <w:name w:val="endnote text"/>
    <w:basedOn w:val="1"/>
    <w:link w:val="33"/>
    <w:qFormat/>
    <w:uiPriority w:val="0"/>
    <w:pPr>
      <w:snapToGrid w:val="0"/>
      <w:jc w:val="left"/>
    </w:pPr>
  </w:style>
  <w:style w:type="paragraph" w:styleId="11">
    <w:name w:val="Balloon Text"/>
    <w:basedOn w:val="1"/>
    <w:link w:val="41"/>
    <w:qFormat/>
    <w:uiPriority w:val="0"/>
    <w:pPr>
      <w:spacing w:line="240" w:lineRule="auto"/>
    </w:pPr>
    <w:rPr>
      <w:sz w:val="18"/>
      <w:szCs w:val="18"/>
    </w:rPr>
  </w:style>
  <w:style w:type="paragraph" w:styleId="12">
    <w:name w:val="footer"/>
    <w:basedOn w:val="1"/>
    <w:link w:val="40"/>
    <w:qFormat/>
    <w:uiPriority w:val="99"/>
    <w:pPr>
      <w:tabs>
        <w:tab w:val="center" w:pos="4153"/>
        <w:tab w:val="right" w:pos="8306"/>
      </w:tabs>
      <w:snapToGrid w:val="0"/>
      <w:jc w:val="left"/>
    </w:pPr>
    <w:rPr>
      <w:sz w:val="18"/>
      <w:szCs w:val="18"/>
    </w:rPr>
  </w:style>
  <w:style w:type="paragraph" w:styleId="13">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styleId="15">
    <w:name w:val="Title"/>
    <w:basedOn w:val="1"/>
    <w:next w:val="1"/>
    <w:link w:val="31"/>
    <w:qFormat/>
    <w:uiPriority w:val="0"/>
    <w:pPr>
      <w:numPr>
        <w:ilvl w:val="0"/>
        <w:numId w:val="4"/>
      </w:numPr>
      <w:spacing w:line="240" w:lineRule="auto"/>
      <w:ind w:firstLine="0" w:firstLineChars="0"/>
      <w:outlineLvl w:val="3"/>
    </w:pPr>
    <w:rPr>
      <w:rFonts w:asciiTheme="majorHAnsi" w:hAnsiTheme="majorHAnsi" w:cstheme="majorBidi"/>
      <w:bCs/>
      <w:szCs w:val="32"/>
    </w:rPr>
  </w:style>
  <w:style w:type="paragraph" w:styleId="16">
    <w:name w:val="annotation subject"/>
    <w:basedOn w:val="6"/>
    <w:next w:val="6"/>
    <w:link w:val="27"/>
    <w:qFormat/>
    <w:uiPriority w:val="0"/>
    <w:rPr>
      <w:b/>
      <w:bCs/>
    </w:rPr>
  </w:style>
  <w:style w:type="paragraph" w:styleId="17">
    <w:name w:val="Body Text First Indent 2"/>
    <w:basedOn w:val="8"/>
    <w:link w:val="43"/>
    <w:qFormat/>
    <w:uiPriority w:val="0"/>
    <w:pPr>
      <w:ind w:firstLine="420"/>
    </w:p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endnote reference"/>
    <w:basedOn w:val="20"/>
    <w:qFormat/>
    <w:uiPriority w:val="0"/>
    <w:rPr>
      <w:vertAlign w:val="superscript"/>
    </w:rPr>
  </w:style>
  <w:style w:type="character" w:styleId="22">
    <w:name w:val="page number"/>
    <w:qFormat/>
    <w:uiPriority w:val="0"/>
  </w:style>
  <w:style w:type="character" w:styleId="23">
    <w:name w:val="Hyperlink"/>
    <w:basedOn w:val="20"/>
    <w:unhideWhenUsed/>
    <w:qFormat/>
    <w:uiPriority w:val="0"/>
    <w:rPr>
      <w:color w:val="0000FF"/>
      <w:u w:val="single"/>
    </w:rPr>
  </w:style>
  <w:style w:type="character" w:styleId="24">
    <w:name w:val="annotation reference"/>
    <w:basedOn w:val="20"/>
    <w:qFormat/>
    <w:uiPriority w:val="0"/>
    <w:rPr>
      <w:sz w:val="21"/>
      <w:szCs w:val="21"/>
    </w:rPr>
  </w:style>
  <w:style w:type="paragraph" w:styleId="25">
    <w:name w:val="List Paragraph"/>
    <w:basedOn w:val="1"/>
    <w:qFormat/>
    <w:uiPriority w:val="34"/>
    <w:pPr>
      <w:ind w:firstLine="420"/>
    </w:pPr>
  </w:style>
  <w:style w:type="character" w:customStyle="1" w:styleId="26">
    <w:name w:val="批注文字 字符"/>
    <w:basedOn w:val="20"/>
    <w:link w:val="6"/>
    <w:qFormat/>
    <w:uiPriority w:val="0"/>
    <w:rPr>
      <w:kern w:val="2"/>
      <w:sz w:val="21"/>
    </w:rPr>
  </w:style>
  <w:style w:type="character" w:customStyle="1" w:styleId="27">
    <w:name w:val="批注主题 字符"/>
    <w:basedOn w:val="26"/>
    <w:link w:val="16"/>
    <w:qFormat/>
    <w:uiPriority w:val="0"/>
    <w:rPr>
      <w:b/>
      <w:bCs/>
      <w:kern w:val="2"/>
      <w:sz w:val="21"/>
    </w:rPr>
  </w:style>
  <w:style w:type="character" w:customStyle="1" w:styleId="28">
    <w:name w:val="标题 1 字符"/>
    <w:basedOn w:val="20"/>
    <w:link w:val="2"/>
    <w:qFormat/>
    <w:uiPriority w:val="0"/>
    <w:rPr>
      <w:b/>
      <w:bCs/>
      <w:kern w:val="44"/>
      <w:sz w:val="28"/>
      <w:szCs w:val="44"/>
    </w:rPr>
  </w:style>
  <w:style w:type="character" w:customStyle="1" w:styleId="29">
    <w:name w:val="标题 2 字符"/>
    <w:basedOn w:val="20"/>
    <w:link w:val="3"/>
    <w:qFormat/>
    <w:uiPriority w:val="0"/>
    <w:rPr>
      <w:rFonts w:asciiTheme="majorHAnsi" w:hAnsiTheme="majorHAnsi" w:cstheme="majorBidi"/>
      <w:b/>
      <w:bCs/>
      <w:kern w:val="2"/>
      <w:sz w:val="28"/>
      <w:szCs w:val="32"/>
    </w:rPr>
  </w:style>
  <w:style w:type="character" w:customStyle="1" w:styleId="30">
    <w:name w:val="标题 3 字符"/>
    <w:basedOn w:val="20"/>
    <w:link w:val="4"/>
    <w:qFormat/>
    <w:uiPriority w:val="0"/>
    <w:rPr>
      <w:b/>
      <w:bCs/>
      <w:kern w:val="2"/>
      <w:sz w:val="28"/>
      <w:szCs w:val="32"/>
    </w:rPr>
  </w:style>
  <w:style w:type="character" w:customStyle="1" w:styleId="31">
    <w:name w:val="标题 字符"/>
    <w:basedOn w:val="20"/>
    <w:link w:val="15"/>
    <w:qFormat/>
    <w:uiPriority w:val="0"/>
    <w:rPr>
      <w:rFonts w:asciiTheme="majorHAnsi" w:hAnsiTheme="majorHAnsi" w:cstheme="majorBidi"/>
      <w:bCs/>
      <w:kern w:val="2"/>
      <w:sz w:val="28"/>
      <w:szCs w:val="32"/>
    </w:rPr>
  </w:style>
  <w:style w:type="character" w:customStyle="1" w:styleId="32">
    <w:name w:val="标题 4 字符"/>
    <w:basedOn w:val="20"/>
    <w:link w:val="5"/>
    <w:semiHidden/>
    <w:qFormat/>
    <w:uiPriority w:val="0"/>
    <w:rPr>
      <w:rFonts w:asciiTheme="majorHAnsi" w:hAnsiTheme="majorHAnsi" w:eastAsiaTheme="majorEastAsia" w:cstheme="majorBidi"/>
      <w:b/>
      <w:bCs/>
      <w:kern w:val="2"/>
      <w:sz w:val="28"/>
      <w:szCs w:val="28"/>
    </w:rPr>
  </w:style>
  <w:style w:type="character" w:customStyle="1" w:styleId="33">
    <w:name w:val="尾注文本 字符"/>
    <w:basedOn w:val="20"/>
    <w:link w:val="10"/>
    <w:qFormat/>
    <w:uiPriority w:val="0"/>
    <w:rPr>
      <w:kern w:val="2"/>
      <w:sz w:val="28"/>
    </w:rPr>
  </w:style>
  <w:style w:type="character" w:customStyle="1" w:styleId="34">
    <w:name w:val="页眉 字符"/>
    <w:basedOn w:val="20"/>
    <w:link w:val="13"/>
    <w:qFormat/>
    <w:uiPriority w:val="99"/>
    <w:rPr>
      <w:kern w:val="2"/>
      <w:sz w:val="18"/>
      <w:szCs w:val="18"/>
    </w:rPr>
  </w:style>
  <w:style w:type="character" w:customStyle="1" w:styleId="35">
    <w:name w:val="16"/>
    <w:basedOn w:val="20"/>
    <w:qFormat/>
    <w:uiPriority w:val="0"/>
    <w:rPr>
      <w:rFonts w:hint="default" w:ascii="Arial" w:hAnsi="Arial" w:cs="Arial"/>
    </w:rPr>
  </w:style>
  <w:style w:type="paragraph" w:customStyle="1" w:styleId="36">
    <w:name w:val="修订1"/>
    <w:hidden/>
    <w:semiHidden/>
    <w:qFormat/>
    <w:uiPriority w:val="99"/>
    <w:rPr>
      <w:rFonts w:ascii="Times New Roman" w:hAnsi="Times New Roman" w:eastAsia="宋体" w:cs="Times New Roman"/>
      <w:kern w:val="2"/>
      <w:sz w:val="28"/>
      <w:lang w:val="en-US" w:eastAsia="zh-CN" w:bidi="ar-SA"/>
    </w:rPr>
  </w:style>
  <w:style w:type="paragraph" w:customStyle="1" w:styleId="37">
    <w:name w:val="列表段落1"/>
    <w:basedOn w:val="1"/>
    <w:qFormat/>
    <w:uiPriority w:val="0"/>
    <w:pPr>
      <w:spacing w:line="240" w:lineRule="auto"/>
      <w:ind w:firstLine="420"/>
    </w:pPr>
    <w:rPr>
      <w:rFonts w:ascii="Calibri" w:hAnsi="Calibri" w:cs="宋体"/>
      <w:sz w:val="21"/>
      <w:szCs w:val="21"/>
    </w:rPr>
  </w:style>
  <w:style w:type="paragraph" w:customStyle="1" w:styleId="38">
    <w:name w:val="列出段落1"/>
    <w:basedOn w:val="1"/>
    <w:qFormat/>
    <w:uiPriority w:val="0"/>
    <w:pPr>
      <w:widowControl/>
      <w:spacing w:line="240" w:lineRule="auto"/>
      <w:ind w:firstLine="420"/>
      <w:jc w:val="left"/>
    </w:pPr>
    <w:rPr>
      <w:sz w:val="21"/>
      <w:szCs w:val="21"/>
    </w:rPr>
  </w:style>
  <w:style w:type="paragraph" w:customStyle="1" w:styleId="39">
    <w:name w:val="修订2"/>
    <w:hidden/>
    <w:semiHidden/>
    <w:qFormat/>
    <w:uiPriority w:val="99"/>
    <w:rPr>
      <w:rFonts w:ascii="Times New Roman" w:hAnsi="Times New Roman" w:eastAsia="宋体" w:cs="Times New Roman"/>
      <w:kern w:val="2"/>
      <w:sz w:val="28"/>
      <w:lang w:val="en-US" w:eastAsia="zh-CN" w:bidi="ar-SA"/>
    </w:rPr>
  </w:style>
  <w:style w:type="character" w:customStyle="1" w:styleId="40">
    <w:name w:val="页脚 字符"/>
    <w:basedOn w:val="20"/>
    <w:link w:val="12"/>
    <w:qFormat/>
    <w:uiPriority w:val="99"/>
    <w:rPr>
      <w:kern w:val="2"/>
      <w:sz w:val="18"/>
      <w:szCs w:val="18"/>
    </w:rPr>
  </w:style>
  <w:style w:type="character" w:customStyle="1" w:styleId="41">
    <w:name w:val="批注框文本 字符"/>
    <w:basedOn w:val="20"/>
    <w:link w:val="11"/>
    <w:qFormat/>
    <w:uiPriority w:val="0"/>
    <w:rPr>
      <w:kern w:val="2"/>
      <w:sz w:val="18"/>
      <w:szCs w:val="18"/>
    </w:rPr>
  </w:style>
  <w:style w:type="character" w:customStyle="1" w:styleId="42">
    <w:name w:val="正文文本缩进 字符"/>
    <w:basedOn w:val="20"/>
    <w:link w:val="8"/>
    <w:qFormat/>
    <w:uiPriority w:val="0"/>
    <w:rPr>
      <w:kern w:val="2"/>
      <w:sz w:val="28"/>
    </w:rPr>
  </w:style>
  <w:style w:type="character" w:customStyle="1" w:styleId="43">
    <w:name w:val="正文文本首行缩进 2 字符"/>
    <w:basedOn w:val="42"/>
    <w:link w:val="17"/>
    <w:qFormat/>
    <w:uiPriority w:val="0"/>
    <w:rPr>
      <w:kern w:val="2"/>
      <w:sz w:val="28"/>
    </w:rPr>
  </w:style>
  <w:style w:type="paragraph" w:customStyle="1" w:styleId="44">
    <w:name w:val="修订3"/>
    <w:hidden/>
    <w:unhideWhenUsed/>
    <w:qFormat/>
    <w:uiPriority w:val="99"/>
    <w:rPr>
      <w:rFonts w:ascii="Times New Roman" w:hAnsi="Times New Roman" w:eastAsia="宋体" w:cs="Times New Roman"/>
      <w:kern w:val="2"/>
      <w:sz w:val="28"/>
      <w:lang w:val="en-US" w:eastAsia="zh-CN" w:bidi="ar-SA"/>
    </w:rPr>
  </w:style>
  <w:style w:type="character" w:customStyle="1" w:styleId="45">
    <w:name w:val="font11"/>
    <w:basedOn w:val="20"/>
    <w:qFormat/>
    <w:uiPriority w:val="0"/>
    <w:rPr>
      <w:rFonts w:hint="eastAsia" w:ascii="宋体" w:hAnsi="宋体" w:eastAsia="宋体"/>
      <w:color w:val="000000"/>
      <w:sz w:val="21"/>
      <w:szCs w:val="21"/>
      <w:u w:val="none"/>
    </w:rPr>
  </w:style>
  <w:style w:type="paragraph" w:customStyle="1" w:styleId="46">
    <w:name w:val="修订4"/>
    <w:hidden/>
    <w:unhideWhenUsed/>
    <w:qFormat/>
    <w:uiPriority w:val="99"/>
    <w:rPr>
      <w:rFonts w:ascii="Times New Roman" w:hAnsi="Times New Roman" w:eastAsia="宋体" w:cs="Times New Roman"/>
      <w:kern w:val="2"/>
      <w:sz w:val="28"/>
      <w:lang w:val="en-US" w:eastAsia="zh-CN" w:bidi="ar-SA"/>
    </w:rPr>
  </w:style>
  <w:style w:type="paragraph" w:customStyle="1" w:styleId="47">
    <w:name w:val="修订5"/>
    <w:hidden/>
    <w:unhideWhenUsed/>
    <w:qFormat/>
    <w:uiPriority w:val="99"/>
    <w:rPr>
      <w:rFonts w:ascii="Times New Roman" w:hAnsi="Times New Roman" w:eastAsia="宋体" w:cs="Times New Roman"/>
      <w:kern w:val="2"/>
      <w:sz w:val="28"/>
      <w:lang w:val="en-US" w:eastAsia="zh-CN" w:bidi="ar-SA"/>
    </w:rPr>
  </w:style>
  <w:style w:type="character" w:customStyle="1" w:styleId="48">
    <w:name w:val="font61"/>
    <w:basedOn w:val="20"/>
    <w:qFormat/>
    <w:uiPriority w:val="0"/>
    <w:rPr>
      <w:rFonts w:hint="default" w:ascii="Cambria Math" w:hAnsi="Cambria Math"/>
      <w:color w:val="000000"/>
      <w:sz w:val="18"/>
      <w:szCs w:val="18"/>
      <w:u w:val="none"/>
    </w:rPr>
  </w:style>
  <w:style w:type="character" w:customStyle="1" w:styleId="49">
    <w:name w:val="font21"/>
    <w:basedOn w:val="20"/>
    <w:qFormat/>
    <w:uiPriority w:val="0"/>
    <w:rPr>
      <w:rFonts w:hint="eastAsia" w:ascii="方正仿宋_GBK" w:eastAsia="方正仿宋_GBK"/>
      <w:color w:val="000000"/>
      <w:sz w:val="18"/>
      <w:szCs w:val="18"/>
      <w:u w:val="none"/>
    </w:rPr>
  </w:style>
  <w:style w:type="character" w:customStyle="1" w:styleId="50">
    <w:name w:val="font51"/>
    <w:basedOn w:val="20"/>
    <w:qFormat/>
    <w:uiPriority w:val="0"/>
    <w:rPr>
      <w:rFonts w:hint="default" w:ascii="Cambria Math" w:hAnsi="Cambria Math"/>
      <w:color w:val="000000"/>
      <w:sz w:val="18"/>
      <w:szCs w:val="18"/>
      <w:u w:val="none"/>
    </w:rPr>
  </w:style>
  <w:style w:type="character" w:customStyle="1" w:styleId="51">
    <w:name w:val="font71"/>
    <w:basedOn w:val="20"/>
    <w:qFormat/>
    <w:uiPriority w:val="0"/>
    <w:rPr>
      <w:rFonts w:ascii="Cambria Math" w:hAnsi="Cambria Math" w:eastAsia="Cambria Math" w:cs="Cambria Math"/>
      <w:color w:val="000000"/>
      <w:sz w:val="18"/>
      <w:szCs w:val="18"/>
      <w:u w:val="none"/>
    </w:rPr>
  </w:style>
  <w:style w:type="character" w:customStyle="1" w:styleId="52">
    <w:name w:val="font31"/>
    <w:basedOn w:val="20"/>
    <w:qFormat/>
    <w:uiPriority w:val="0"/>
    <w:rPr>
      <w:rFonts w:hint="default" w:ascii="方正仿宋_GBK" w:hAnsi="方正仿宋_GBK" w:eastAsia="方正仿宋_GBK" w:cs="方正仿宋_GBK"/>
      <w:color w:val="FF0000"/>
      <w:sz w:val="18"/>
      <w:szCs w:val="18"/>
      <w:u w:val="none"/>
    </w:rPr>
  </w:style>
  <w:style w:type="paragraph" w:customStyle="1" w:styleId="53">
    <w:name w:val="修订6"/>
    <w:hidden/>
    <w:unhideWhenUsed/>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D66BC1-BAB3-426C-B709-4BE01E0E3F36}">
  <ds:schemaRefs/>
</ds:datastoreItem>
</file>

<file path=docProps/app.xml><?xml version="1.0" encoding="utf-8"?>
<Properties xmlns="http://schemas.openxmlformats.org/officeDocument/2006/extended-properties" xmlns:vt="http://schemas.openxmlformats.org/officeDocument/2006/docPropsVTypes">
  <Template>Normal</Template>
  <Pages>18</Pages>
  <Words>5391</Words>
  <Characters>5781</Characters>
  <Lines>67</Lines>
  <Paragraphs>19</Paragraphs>
  <TotalTime>39</TotalTime>
  <ScaleCrop>false</ScaleCrop>
  <LinksUpToDate>false</LinksUpToDate>
  <CharactersWithSpaces>5800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2023-12-22T02:53:00Z</dcterms:created>
  <dc:creator>ThinkPad</dc:creator>
  <cp:lastModifiedBy>HP</cp:lastModifiedBy>
  <cp:lastPrinted>2023-10-23T15:36:00Z</cp:lastPrinted>
  <dcterms:modified xsi:type="dcterms:W3CDTF">2024-11-11T08:58:25Z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57A71751CCCE490EAF343956FB8B2222_12</vt:lpwstr>
  </property>
</Properties>
</file>