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560" w:lineRule="exact"/>
        <w:ind w:left="560" w:firstLine="0" w:firstLineChars="0"/>
        <w:jc w:val="center"/>
        <w:rPr>
          <w:b/>
          <w:sz w:val="32"/>
          <w:szCs w:val="32"/>
        </w:rPr>
      </w:pPr>
      <w:r>
        <w:rPr>
          <w:rFonts w:hint="eastAsia"/>
          <w:b/>
          <w:sz w:val="32"/>
          <w:szCs w:val="32"/>
        </w:rPr>
        <w:t>重庆市铜梁区中医院单建式人防工程</w:t>
      </w:r>
    </w:p>
    <w:p>
      <w:pPr>
        <w:spacing w:line="560" w:lineRule="exact"/>
        <w:ind w:left="560" w:firstLine="0" w:firstLineChars="0"/>
        <w:jc w:val="center"/>
        <w:rPr>
          <w:b/>
          <w:sz w:val="32"/>
          <w:szCs w:val="32"/>
        </w:rPr>
      </w:pPr>
      <w:r>
        <w:rPr>
          <w:rFonts w:hint="eastAsia"/>
          <w:b/>
          <w:sz w:val="32"/>
          <w:szCs w:val="32"/>
        </w:rPr>
        <w:t>绩效评价报告</w:t>
      </w: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632" w:firstLineChars="300"/>
        <w:jc w:val="center"/>
        <w:rPr>
          <w:rFonts w:ascii="Arial Narrow" w:hAnsi="Arial Narrow"/>
          <w:sz w:val="21"/>
        </w:rPr>
      </w:pPr>
      <w:r>
        <w:rPr>
          <w:rFonts w:hint="eastAsia" w:ascii="宋体" w:hAnsi="宋体"/>
          <w:b/>
          <w:bCs/>
          <w:kern w:val="0"/>
          <w:sz w:val="21"/>
          <w:szCs w:val="21"/>
        </w:rPr>
        <w:t>凯弘会所咨[2024]</w:t>
      </w:r>
      <w:r>
        <w:rPr>
          <w:rFonts w:hint="eastAsia" w:ascii="宋体" w:hAnsi="宋体"/>
          <w:b/>
          <w:bCs/>
          <w:kern w:val="0"/>
          <w:sz w:val="21"/>
          <w:szCs w:val="21"/>
          <w:lang w:val="en-US" w:eastAsia="zh-CN"/>
        </w:rPr>
        <w:t>013</w:t>
      </w:r>
      <w:r>
        <w:rPr>
          <w:rFonts w:hint="eastAsia" w:ascii="宋体" w:hAnsi="宋体"/>
          <w:b/>
          <w:bCs/>
          <w:kern w:val="0"/>
          <w:sz w:val="21"/>
          <w:szCs w:val="21"/>
        </w:rPr>
        <w:t>号</w:t>
      </w: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jc w:val="center"/>
        <w:rPr>
          <w:rFonts w:ascii="Arial Narrow" w:hAnsi="Arial Narrow"/>
          <w:sz w:val="21"/>
        </w:rPr>
      </w:pPr>
      <w:r>
        <w:rPr>
          <w:rFonts w:hint="eastAsia" w:ascii="Arial Narrow" w:hAnsi="宋体"/>
          <w:b/>
          <w:spacing w:val="40"/>
          <w:sz w:val="30"/>
          <w:szCs w:val="30"/>
        </w:rPr>
        <w:t>重庆凯弘会计师事务所有限公司</w:t>
      </w:r>
    </w:p>
    <w:p>
      <w:pPr>
        <w:spacing w:line="240" w:lineRule="auto"/>
        <w:ind w:firstLine="0" w:firstLineChars="0"/>
        <w:jc w:val="center"/>
        <w:rPr>
          <w:spacing w:val="-8"/>
          <w:sz w:val="24"/>
        </w:rPr>
      </w:pPr>
      <w:r>
        <w:rPr>
          <w:spacing w:val="-8"/>
          <w:sz w:val="24"/>
        </w:rPr>
        <w:t>CHONGQING KAIHONG CERTIFIED PUBLIC ACCOUNTANTS CO.,LTD.</w:t>
      </w: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adjustRightInd w:val="0"/>
        <w:snapToGrid w:val="0"/>
        <w:spacing w:line="560" w:lineRule="exact"/>
        <w:ind w:firstLine="643"/>
        <w:rPr>
          <w:rFonts w:ascii="宋体" w:hAnsi="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pPr>
        <w:adjustRightInd w:val="0"/>
        <w:snapToGrid w:val="0"/>
        <w:spacing w:line="560" w:lineRule="exact"/>
        <w:ind w:firstLine="643"/>
        <w:rPr>
          <w:rFonts w:ascii="宋体" w:hAnsi="宋体"/>
          <w:b/>
          <w:sz w:val="32"/>
          <w:szCs w:val="32"/>
        </w:rPr>
      </w:pPr>
    </w:p>
    <w:p>
      <w:pPr>
        <w:spacing w:line="560" w:lineRule="exact"/>
        <w:ind w:left="560" w:firstLine="0" w:firstLineChars="0"/>
        <w:jc w:val="center"/>
        <w:rPr>
          <w:b/>
          <w:sz w:val="32"/>
          <w:szCs w:val="32"/>
        </w:rPr>
      </w:pPr>
      <w:r>
        <w:rPr>
          <w:rFonts w:hint="eastAsia"/>
          <w:b/>
          <w:sz w:val="32"/>
          <w:szCs w:val="32"/>
        </w:rPr>
        <w:t>重庆市铜梁区中医院单建式人防工程</w:t>
      </w:r>
    </w:p>
    <w:p>
      <w:pPr>
        <w:spacing w:line="560" w:lineRule="exact"/>
        <w:ind w:left="560" w:firstLine="0" w:firstLineChars="0"/>
        <w:jc w:val="center"/>
        <w:rPr>
          <w:b/>
          <w:sz w:val="32"/>
          <w:szCs w:val="32"/>
        </w:rPr>
      </w:pPr>
      <w:r>
        <w:rPr>
          <w:rFonts w:hint="eastAsia"/>
          <w:b/>
          <w:sz w:val="32"/>
          <w:szCs w:val="32"/>
        </w:rPr>
        <w:t>绩效评价报告</w:t>
      </w:r>
    </w:p>
    <w:p>
      <w:pPr>
        <w:adjustRightInd w:val="0"/>
        <w:snapToGrid w:val="0"/>
        <w:spacing w:line="560" w:lineRule="exact"/>
        <w:ind w:firstLine="643"/>
        <w:jc w:val="left"/>
        <w:rPr>
          <w:rFonts w:ascii="宋体" w:hAnsi="宋体"/>
          <w:b/>
          <w:sz w:val="32"/>
          <w:szCs w:val="32"/>
        </w:rPr>
      </w:pPr>
    </w:p>
    <w:tbl>
      <w:tblPr>
        <w:tblStyle w:val="18"/>
        <w:tblW w:w="8647" w:type="dxa"/>
        <w:jc w:val="center"/>
        <w:tblInd w:w="0" w:type="dxa"/>
        <w:tblLayout w:type="fixed"/>
        <w:tblCellMar>
          <w:top w:w="0" w:type="dxa"/>
          <w:left w:w="108" w:type="dxa"/>
          <w:bottom w:w="0" w:type="dxa"/>
          <w:right w:w="108" w:type="dxa"/>
        </w:tblCellMar>
      </w:tblPr>
      <w:tblGrid>
        <w:gridCol w:w="883"/>
        <w:gridCol w:w="5838"/>
        <w:gridCol w:w="372"/>
        <w:gridCol w:w="1554"/>
      </w:tblGrid>
      <w:tr>
        <w:tblPrEx>
          <w:tblLayout w:type="fixed"/>
        </w:tblPrEx>
        <w:trPr>
          <w:jc w:val="center"/>
        </w:trPr>
        <w:tc>
          <w:tcPr>
            <w:tcW w:w="883" w:type="dxa"/>
          </w:tcPr>
          <w:p>
            <w:pPr>
              <w:keepLines/>
              <w:tabs>
                <w:tab w:val="right" w:pos="8280"/>
              </w:tabs>
              <w:spacing w:line="560" w:lineRule="exact"/>
              <w:ind w:firstLine="560"/>
              <w:rPr>
                <w:rFonts w:ascii="宋体" w:hAnsi="宋体"/>
                <w:szCs w:val="28"/>
              </w:rPr>
            </w:pPr>
          </w:p>
        </w:tc>
        <w:tc>
          <w:tcPr>
            <w:tcW w:w="5838" w:type="dxa"/>
          </w:tcPr>
          <w:p>
            <w:pPr>
              <w:keepLines/>
              <w:tabs>
                <w:tab w:val="right" w:pos="8280"/>
              </w:tabs>
              <w:spacing w:line="560" w:lineRule="exact"/>
              <w:ind w:firstLine="562"/>
              <w:jc w:val="center"/>
              <w:rPr>
                <w:rFonts w:ascii="宋体" w:hAnsi="宋体"/>
                <w:b/>
                <w:szCs w:val="28"/>
              </w:rPr>
            </w:pPr>
            <w:r>
              <w:rPr>
                <w:rFonts w:ascii="宋体" w:hAnsi="宋体"/>
                <w:b/>
                <w:szCs w:val="28"/>
              </w:rPr>
              <w:t>目录</w:t>
            </w:r>
          </w:p>
          <w:p>
            <w:pPr>
              <w:keepLines/>
              <w:tabs>
                <w:tab w:val="right" w:pos="8280"/>
              </w:tabs>
              <w:spacing w:line="560" w:lineRule="exact"/>
              <w:ind w:firstLine="562"/>
              <w:jc w:val="center"/>
              <w:rPr>
                <w:rFonts w:ascii="宋体" w:hAnsi="宋体"/>
                <w:b/>
                <w:szCs w:val="28"/>
              </w:rPr>
            </w:pPr>
          </w:p>
        </w:tc>
        <w:tc>
          <w:tcPr>
            <w:tcW w:w="372" w:type="dxa"/>
          </w:tcPr>
          <w:p>
            <w:pPr>
              <w:keepLines/>
              <w:tabs>
                <w:tab w:val="right" w:pos="8280"/>
              </w:tabs>
              <w:spacing w:line="560" w:lineRule="exact"/>
              <w:ind w:firstLine="562"/>
              <w:jc w:val="right"/>
              <w:rPr>
                <w:rFonts w:ascii="宋体" w:hAnsi="宋体"/>
                <w:b/>
                <w:szCs w:val="28"/>
              </w:rPr>
            </w:pPr>
          </w:p>
        </w:tc>
        <w:tc>
          <w:tcPr>
            <w:tcW w:w="1554" w:type="dxa"/>
          </w:tcPr>
          <w:p>
            <w:pPr>
              <w:keepLines/>
              <w:tabs>
                <w:tab w:val="right" w:pos="8280"/>
              </w:tabs>
              <w:spacing w:line="560" w:lineRule="exact"/>
              <w:ind w:firstLine="562"/>
              <w:jc w:val="center"/>
              <w:rPr>
                <w:rFonts w:ascii="宋体" w:hAnsi="宋体"/>
                <w:b/>
                <w:szCs w:val="28"/>
              </w:rPr>
            </w:pPr>
            <w:r>
              <w:rPr>
                <w:rFonts w:ascii="宋体" w:hAnsi="宋体"/>
                <w:b/>
                <w:szCs w:val="28"/>
              </w:rPr>
              <w:t>页次</w:t>
            </w:r>
          </w:p>
        </w:tc>
      </w:tr>
      <w:tr>
        <w:tblPrEx>
          <w:tblLayout w:type="fixed"/>
          <w:tblCellMar>
            <w:top w:w="0" w:type="dxa"/>
            <w:left w:w="108" w:type="dxa"/>
            <w:bottom w:w="0" w:type="dxa"/>
            <w:right w:w="108" w:type="dxa"/>
          </w:tblCellMar>
        </w:tblPrEx>
        <w:trPr>
          <w:trHeight w:val="90" w:hRule="atLeast"/>
          <w:jc w:val="center"/>
        </w:trPr>
        <w:tc>
          <w:tcPr>
            <w:tcW w:w="883" w:type="dxa"/>
          </w:tcPr>
          <w:p>
            <w:pPr>
              <w:keepLines/>
              <w:tabs>
                <w:tab w:val="right" w:pos="8280"/>
              </w:tabs>
              <w:spacing w:line="560" w:lineRule="exact"/>
              <w:ind w:firstLine="0" w:firstLineChars="0"/>
              <w:rPr>
                <w:rFonts w:ascii="宋体" w:hAnsi="宋体"/>
                <w:b/>
                <w:szCs w:val="28"/>
              </w:rPr>
            </w:pPr>
            <w:r>
              <w:rPr>
                <w:rFonts w:ascii="宋体" w:hAnsi="宋体"/>
                <w:b/>
                <w:szCs w:val="28"/>
              </w:rPr>
              <w:t>一、</w:t>
            </w:r>
          </w:p>
        </w:tc>
        <w:tc>
          <w:tcPr>
            <w:tcW w:w="5838" w:type="dxa"/>
          </w:tcPr>
          <w:p>
            <w:pPr>
              <w:keepLines/>
              <w:tabs>
                <w:tab w:val="right" w:pos="8280"/>
              </w:tabs>
              <w:spacing w:line="560" w:lineRule="exact"/>
              <w:ind w:firstLine="0" w:firstLineChars="0"/>
              <w:rPr>
                <w:rFonts w:ascii="宋体" w:hAnsi="宋体"/>
                <w:b/>
                <w:szCs w:val="28"/>
              </w:rPr>
            </w:pPr>
            <w:r>
              <w:rPr>
                <w:rFonts w:hint="eastAsia" w:ascii="宋体" w:hAnsi="宋体"/>
                <w:b/>
                <w:szCs w:val="28"/>
              </w:rPr>
              <w:t>报告正文</w:t>
            </w:r>
          </w:p>
        </w:tc>
        <w:tc>
          <w:tcPr>
            <w:tcW w:w="372" w:type="dxa"/>
          </w:tcPr>
          <w:p>
            <w:pPr>
              <w:keepLines/>
              <w:tabs>
                <w:tab w:val="right" w:pos="8280"/>
              </w:tabs>
              <w:spacing w:line="560" w:lineRule="exact"/>
              <w:ind w:firstLine="562"/>
              <w:jc w:val="right"/>
              <w:rPr>
                <w:rFonts w:ascii="宋体" w:hAnsi="宋体"/>
                <w:b/>
                <w:szCs w:val="28"/>
              </w:rPr>
            </w:pPr>
          </w:p>
        </w:tc>
        <w:tc>
          <w:tcPr>
            <w:tcW w:w="1554" w:type="dxa"/>
          </w:tcPr>
          <w:p>
            <w:pPr>
              <w:keepLines/>
              <w:tabs>
                <w:tab w:val="right" w:pos="8280"/>
              </w:tabs>
              <w:spacing w:line="560" w:lineRule="exact"/>
              <w:ind w:firstLine="560"/>
              <w:jc w:val="center"/>
              <w:rPr>
                <w:rFonts w:hint="eastAsia" w:ascii="宋体" w:hAnsi="宋体"/>
                <w:szCs w:val="28"/>
              </w:rPr>
            </w:pPr>
            <w:r>
              <w:rPr>
                <w:rFonts w:ascii="宋体" w:hAnsi="宋体"/>
                <w:szCs w:val="28"/>
              </w:rPr>
              <w:t>1-1</w:t>
            </w:r>
            <w:r>
              <w:rPr>
                <w:rFonts w:hint="eastAsia" w:ascii="宋体" w:hAnsi="宋体"/>
                <w:szCs w:val="28"/>
              </w:rPr>
              <w:t>7</w:t>
            </w:r>
          </w:p>
        </w:tc>
      </w:tr>
      <w:tr>
        <w:tblPrEx>
          <w:tblLayout w:type="fixed"/>
          <w:tblCellMar>
            <w:top w:w="0" w:type="dxa"/>
            <w:left w:w="108" w:type="dxa"/>
            <w:bottom w:w="0" w:type="dxa"/>
            <w:right w:w="108" w:type="dxa"/>
          </w:tblCellMar>
        </w:tblPrEx>
        <w:trPr>
          <w:trHeight w:val="991" w:hRule="atLeast"/>
          <w:jc w:val="center"/>
        </w:trPr>
        <w:tc>
          <w:tcPr>
            <w:tcW w:w="883" w:type="dxa"/>
          </w:tcPr>
          <w:p>
            <w:pPr>
              <w:keepLines/>
              <w:tabs>
                <w:tab w:val="right" w:pos="8280"/>
              </w:tabs>
              <w:spacing w:line="560" w:lineRule="exact"/>
              <w:ind w:firstLine="0" w:firstLineChars="0"/>
              <w:rPr>
                <w:rFonts w:ascii="宋体" w:hAnsi="宋体"/>
                <w:b/>
                <w:szCs w:val="28"/>
              </w:rPr>
            </w:pPr>
            <w:r>
              <w:rPr>
                <w:rFonts w:hint="eastAsia" w:ascii="宋体" w:hAnsi="宋体"/>
                <w:b/>
                <w:szCs w:val="28"/>
              </w:rPr>
              <w:t>二、</w:t>
            </w:r>
          </w:p>
        </w:tc>
        <w:tc>
          <w:tcPr>
            <w:tcW w:w="5838" w:type="dxa"/>
          </w:tcPr>
          <w:p>
            <w:pPr>
              <w:keepLines/>
              <w:tabs>
                <w:tab w:val="right" w:pos="8280"/>
              </w:tabs>
              <w:spacing w:line="560" w:lineRule="exact"/>
              <w:ind w:firstLine="0" w:firstLineChars="0"/>
              <w:rPr>
                <w:rFonts w:ascii="宋体" w:hAnsi="宋体"/>
                <w:b/>
                <w:szCs w:val="28"/>
              </w:rPr>
            </w:pPr>
            <w:r>
              <w:rPr>
                <w:rFonts w:hint="eastAsia" w:ascii="宋体" w:hAnsi="宋体"/>
                <w:b/>
                <w:szCs w:val="28"/>
              </w:rPr>
              <w:t>报告附件</w:t>
            </w:r>
          </w:p>
        </w:tc>
        <w:tc>
          <w:tcPr>
            <w:tcW w:w="372" w:type="dxa"/>
          </w:tcPr>
          <w:p>
            <w:pPr>
              <w:keepLines/>
              <w:tabs>
                <w:tab w:val="right" w:pos="8280"/>
              </w:tabs>
              <w:spacing w:line="560" w:lineRule="exact"/>
              <w:ind w:firstLine="562"/>
              <w:jc w:val="right"/>
              <w:rPr>
                <w:rFonts w:ascii="宋体" w:hAnsi="宋体"/>
                <w:b/>
                <w:szCs w:val="28"/>
              </w:rPr>
            </w:pPr>
          </w:p>
        </w:tc>
        <w:tc>
          <w:tcPr>
            <w:tcW w:w="1554" w:type="dxa"/>
          </w:tcPr>
          <w:p>
            <w:pPr>
              <w:keepLines/>
              <w:tabs>
                <w:tab w:val="right" w:pos="8280"/>
              </w:tabs>
              <w:spacing w:line="560" w:lineRule="exact"/>
              <w:ind w:firstLine="0" w:firstLineChars="0"/>
              <w:rPr>
                <w:rFonts w:ascii="宋体" w:hAnsi="宋体"/>
                <w:b/>
                <w:szCs w:val="28"/>
                <w:highlight w:val="yellow"/>
              </w:rPr>
            </w:pPr>
          </w:p>
        </w:tc>
      </w:tr>
      <w:tr>
        <w:tblPrEx>
          <w:tblLayout w:type="fixed"/>
          <w:tblCellMar>
            <w:top w:w="0" w:type="dxa"/>
            <w:left w:w="108" w:type="dxa"/>
            <w:bottom w:w="0" w:type="dxa"/>
            <w:right w:w="108" w:type="dxa"/>
          </w:tblCellMar>
        </w:tblPrEx>
        <w:trPr>
          <w:jc w:val="center"/>
        </w:trPr>
        <w:tc>
          <w:tcPr>
            <w:tcW w:w="883" w:type="dxa"/>
            <w:vAlign w:val="center"/>
          </w:tcPr>
          <w:p>
            <w:pPr>
              <w:keepLines/>
              <w:tabs>
                <w:tab w:val="right" w:pos="8280"/>
              </w:tabs>
              <w:spacing w:line="560" w:lineRule="exact"/>
              <w:ind w:firstLine="0" w:firstLineChars="0"/>
              <w:rPr>
                <w:rFonts w:ascii="宋体" w:hAnsi="宋体"/>
                <w:szCs w:val="28"/>
              </w:rPr>
            </w:pPr>
            <w:r>
              <w:rPr>
                <w:rFonts w:hint="eastAsia" w:ascii="宋体" w:hAnsi="宋体"/>
                <w:szCs w:val="28"/>
              </w:rPr>
              <w:t>1、</w:t>
            </w:r>
          </w:p>
          <w:p>
            <w:pPr>
              <w:keepLines/>
              <w:tabs>
                <w:tab w:val="right" w:pos="8280"/>
              </w:tabs>
              <w:spacing w:line="560" w:lineRule="exact"/>
              <w:ind w:firstLine="0" w:firstLineChars="0"/>
              <w:rPr>
                <w:rFonts w:ascii="宋体" w:hAnsi="宋体"/>
                <w:szCs w:val="28"/>
              </w:rPr>
            </w:pPr>
          </w:p>
          <w:p>
            <w:pPr>
              <w:keepLines/>
              <w:tabs>
                <w:tab w:val="right" w:pos="8280"/>
              </w:tabs>
              <w:spacing w:line="560" w:lineRule="exact"/>
              <w:ind w:firstLine="0" w:firstLineChars="0"/>
              <w:rPr>
                <w:rFonts w:ascii="宋体" w:hAnsi="宋体"/>
                <w:szCs w:val="28"/>
              </w:rPr>
            </w:pPr>
          </w:p>
        </w:tc>
        <w:tc>
          <w:tcPr>
            <w:tcW w:w="5838" w:type="dxa"/>
          </w:tcPr>
          <w:p>
            <w:pPr>
              <w:keepLines/>
              <w:tabs>
                <w:tab w:val="right" w:pos="8280"/>
              </w:tabs>
              <w:spacing w:line="560" w:lineRule="exact"/>
              <w:ind w:firstLine="0" w:firstLineChars="0"/>
              <w:jc w:val="left"/>
              <w:rPr>
                <w:rFonts w:ascii="宋体" w:hAnsi="宋体"/>
                <w:b/>
                <w:szCs w:val="28"/>
              </w:rPr>
            </w:pPr>
            <w:r>
              <w:rPr>
                <w:rFonts w:hint="eastAsia" w:ascii="宋体" w:hAnsi="宋体"/>
                <w:b/>
                <w:szCs w:val="28"/>
              </w:rPr>
              <w:t>重庆市铜梁区中医院单建式人防项目绩效评价指标表</w:t>
            </w:r>
          </w:p>
          <w:p>
            <w:pPr>
              <w:keepLines/>
              <w:tabs>
                <w:tab w:val="right" w:pos="8280"/>
              </w:tabs>
              <w:spacing w:line="560" w:lineRule="exact"/>
              <w:ind w:firstLine="0" w:firstLineChars="0"/>
              <w:jc w:val="left"/>
              <w:rPr>
                <w:rFonts w:ascii="宋体" w:hAnsi="宋体"/>
                <w:b/>
                <w:szCs w:val="28"/>
              </w:rPr>
            </w:pPr>
          </w:p>
        </w:tc>
        <w:tc>
          <w:tcPr>
            <w:tcW w:w="372" w:type="dxa"/>
          </w:tcPr>
          <w:p>
            <w:pPr>
              <w:keepLines/>
              <w:tabs>
                <w:tab w:val="right" w:pos="8280"/>
              </w:tabs>
              <w:spacing w:line="560" w:lineRule="exact"/>
              <w:ind w:firstLine="562"/>
              <w:jc w:val="right"/>
              <w:rPr>
                <w:rFonts w:ascii="宋体" w:hAnsi="宋体"/>
                <w:b/>
                <w:szCs w:val="28"/>
              </w:rPr>
            </w:pPr>
          </w:p>
          <w:p>
            <w:pPr>
              <w:keepLines/>
              <w:tabs>
                <w:tab w:val="right" w:pos="8280"/>
              </w:tabs>
              <w:spacing w:line="560" w:lineRule="exact"/>
              <w:ind w:firstLine="562"/>
              <w:jc w:val="right"/>
              <w:rPr>
                <w:rFonts w:ascii="宋体" w:hAnsi="宋体"/>
                <w:b/>
                <w:szCs w:val="28"/>
              </w:rPr>
            </w:pPr>
          </w:p>
        </w:tc>
        <w:tc>
          <w:tcPr>
            <w:tcW w:w="1554" w:type="dxa"/>
          </w:tcPr>
          <w:p>
            <w:pPr>
              <w:keepLines/>
              <w:tabs>
                <w:tab w:val="right" w:pos="8280"/>
              </w:tabs>
              <w:spacing w:line="560" w:lineRule="exact"/>
              <w:ind w:firstLine="560"/>
              <w:jc w:val="center"/>
              <w:rPr>
                <w:rFonts w:ascii="宋体" w:hAnsi="宋体"/>
                <w:szCs w:val="28"/>
                <w:highlight w:val="yellow"/>
              </w:rPr>
            </w:pPr>
          </w:p>
        </w:tc>
      </w:tr>
    </w:tbl>
    <w:p>
      <w:pPr>
        <w:spacing w:line="560" w:lineRule="exact"/>
        <w:ind w:firstLine="723"/>
        <w:rPr>
          <w:rFonts w:ascii="宋体" w:hAnsi="宋体"/>
          <w:b/>
          <w:bCs/>
          <w:sz w:val="36"/>
          <w:szCs w:val="32"/>
        </w:rPr>
      </w:pPr>
    </w:p>
    <w:p>
      <w:pPr>
        <w:ind w:firstLine="723"/>
        <w:jc w:val="center"/>
        <w:rPr>
          <w:rFonts w:ascii="宋体" w:hAnsi="宋体"/>
          <w:b/>
          <w:bCs/>
          <w:sz w:val="36"/>
          <w:szCs w:val="32"/>
        </w:rPr>
      </w:pPr>
    </w:p>
    <w:p>
      <w:pPr>
        <w:tabs>
          <w:tab w:val="center" w:pos="4514"/>
        </w:tabs>
        <w:ind w:firstLine="720"/>
        <w:rPr>
          <w:rFonts w:ascii="宋体" w:hAnsi="宋体"/>
          <w:sz w:val="36"/>
          <w:szCs w:val="32"/>
        </w:rPr>
        <w:sectPr>
          <w:pgSz w:w="11906" w:h="16838"/>
          <w:pgMar w:top="1440" w:right="1800" w:bottom="1440" w:left="1800" w:header="851" w:footer="992" w:gutter="0"/>
          <w:cols w:space="720" w:num="1"/>
          <w:docGrid w:type="lines" w:linePitch="312" w:charSpace="0"/>
        </w:sectPr>
      </w:pPr>
      <w:r>
        <w:rPr>
          <w:rFonts w:ascii="宋体" w:hAnsi="宋体"/>
          <w:sz w:val="36"/>
          <w:szCs w:val="32"/>
        </w:rPr>
        <w:tab/>
      </w:r>
    </w:p>
    <w:p>
      <w:pPr>
        <w:spacing w:line="560" w:lineRule="exact"/>
        <w:ind w:left="560" w:firstLine="0" w:firstLineChars="0"/>
        <w:jc w:val="center"/>
        <w:rPr>
          <w:b/>
          <w:sz w:val="32"/>
          <w:szCs w:val="32"/>
        </w:rPr>
      </w:pPr>
      <w:r>
        <w:rPr>
          <w:rFonts w:hint="eastAsia"/>
          <w:b/>
          <w:sz w:val="32"/>
          <w:szCs w:val="32"/>
        </w:rPr>
        <w:t>重庆市铜梁区中医院单建式人防工程</w:t>
      </w:r>
    </w:p>
    <w:p>
      <w:pPr>
        <w:spacing w:line="560" w:lineRule="exact"/>
        <w:ind w:left="560" w:firstLine="0" w:firstLineChars="0"/>
        <w:jc w:val="center"/>
        <w:rPr>
          <w:b/>
          <w:sz w:val="32"/>
          <w:szCs w:val="32"/>
        </w:rPr>
      </w:pPr>
      <w:r>
        <w:rPr>
          <w:rFonts w:hint="eastAsia"/>
          <w:b/>
          <w:sz w:val="32"/>
          <w:szCs w:val="32"/>
        </w:rPr>
        <w:t>绩效评价报告</w:t>
      </w:r>
    </w:p>
    <w:p>
      <w:pPr>
        <w:spacing w:line="560" w:lineRule="exact"/>
        <w:ind w:firstLine="640"/>
        <w:jc w:val="center"/>
        <w:rPr>
          <w:rFonts w:ascii="宋体" w:hAnsi="宋体" w:cs="仿宋"/>
          <w:sz w:val="32"/>
          <w:szCs w:val="32"/>
        </w:rPr>
      </w:pPr>
    </w:p>
    <w:p>
      <w:pPr>
        <w:autoSpaceDE w:val="0"/>
        <w:autoSpaceDN w:val="0"/>
        <w:adjustRightInd w:val="0"/>
        <w:snapToGrid w:val="0"/>
        <w:spacing w:line="560" w:lineRule="exact"/>
        <w:ind w:firstLine="422"/>
        <w:jc w:val="center"/>
        <w:rPr>
          <w:rFonts w:ascii="宋体" w:hAnsi="宋体"/>
          <w:b/>
          <w:kern w:val="0"/>
          <w:sz w:val="21"/>
          <w:szCs w:val="21"/>
        </w:rPr>
      </w:pPr>
      <w:r>
        <w:rPr>
          <w:rFonts w:hint="eastAsia" w:ascii="宋体" w:hAnsi="宋体"/>
          <w:b/>
          <w:kern w:val="0"/>
          <w:sz w:val="21"/>
          <w:szCs w:val="21"/>
        </w:rPr>
        <w:t>凯弘会所咨[2024]</w:t>
      </w:r>
      <w:r>
        <w:rPr>
          <w:rFonts w:hint="eastAsia" w:ascii="宋体" w:hAnsi="宋体"/>
          <w:b/>
          <w:kern w:val="0"/>
          <w:sz w:val="21"/>
          <w:szCs w:val="21"/>
          <w:lang w:val="en-US" w:eastAsia="zh-CN"/>
        </w:rPr>
        <w:t>013</w:t>
      </w:r>
      <w:r>
        <w:rPr>
          <w:rFonts w:hint="eastAsia" w:ascii="宋体" w:hAnsi="宋体"/>
          <w:b/>
          <w:kern w:val="0"/>
          <w:sz w:val="21"/>
          <w:szCs w:val="21"/>
        </w:rPr>
        <w:t>号</w:t>
      </w:r>
    </w:p>
    <w:p>
      <w:pPr>
        <w:spacing w:line="560" w:lineRule="exact"/>
        <w:ind w:firstLine="560"/>
        <w:jc w:val="left"/>
        <w:rPr>
          <w:rFonts w:ascii="宋体" w:hAnsi="宋体" w:cs="仿宋"/>
          <w:szCs w:val="28"/>
        </w:rPr>
      </w:pPr>
    </w:p>
    <w:p>
      <w:pPr>
        <w:spacing w:line="560" w:lineRule="exact"/>
        <w:ind w:firstLine="560"/>
        <w:jc w:val="left"/>
        <w:rPr>
          <w:rFonts w:ascii="宋体" w:hAnsi="宋体" w:cs="仿宋"/>
          <w:szCs w:val="28"/>
        </w:rPr>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pPr>
    </w:p>
    <w:p>
      <w:pPr>
        <w:spacing w:line="560" w:lineRule="exact"/>
        <w:ind w:firstLine="560"/>
        <w:rPr>
          <w:rFonts w:ascii="宋体" w:hAnsi="宋体"/>
          <w:szCs w:val="28"/>
        </w:rPr>
      </w:pPr>
      <w:r>
        <w:rPr>
          <w:rFonts w:hint="eastAsia" w:ascii="宋体" w:hAnsi="宋体"/>
          <w:szCs w:val="28"/>
        </w:rPr>
        <w:t>我们接受重庆市铜梁区财政局委托，于2024年6月3日至2024年6月28日对重庆市铜梁区中医院单建式人防工程进行了绩效评价。现将评价工作报告如下：</w:t>
      </w:r>
    </w:p>
    <w:p>
      <w:pPr>
        <w:spacing w:line="560" w:lineRule="exact"/>
        <w:ind w:firstLine="562"/>
        <w:jc w:val="center"/>
        <w:rPr>
          <w:rFonts w:ascii="宋体" w:hAnsi="宋体"/>
          <w:b/>
          <w:bCs/>
          <w:szCs w:val="28"/>
        </w:rPr>
      </w:pPr>
      <w:r>
        <w:rPr>
          <w:rFonts w:hint="eastAsia" w:ascii="宋体" w:hAnsi="宋体"/>
          <w:b/>
          <w:bCs/>
          <w:szCs w:val="28"/>
        </w:rPr>
        <w:t>摘要</w:t>
      </w:r>
    </w:p>
    <w:p>
      <w:pPr>
        <w:pStyle w:val="25"/>
        <w:snapToGrid w:val="0"/>
        <w:spacing w:line="560" w:lineRule="exact"/>
        <w:ind w:left="562" w:firstLine="0" w:firstLineChars="0"/>
        <w:outlineLvl w:val="0"/>
        <w:rPr>
          <w:rFonts w:ascii="宋体" w:hAnsi="宋体"/>
          <w:b/>
          <w:szCs w:val="28"/>
        </w:rPr>
      </w:pPr>
      <w:r>
        <w:rPr>
          <w:rFonts w:ascii="宋体" w:hAnsi="宋体"/>
          <w:b/>
          <w:szCs w:val="28"/>
        </w:rPr>
        <w:t>一、基本情况</w:t>
      </w:r>
    </w:p>
    <w:p>
      <w:pPr>
        <w:snapToGrid w:val="0"/>
        <w:spacing w:line="560" w:lineRule="atLeast"/>
        <w:ind w:firstLine="560"/>
        <w:rPr>
          <w:rFonts w:ascii="宋体" w:hAnsi="宋体"/>
          <w:szCs w:val="28"/>
        </w:rPr>
      </w:pPr>
      <w:r>
        <w:rPr>
          <w:rFonts w:hint="eastAsia" w:ascii="宋体" w:hAnsi="宋体"/>
          <w:szCs w:val="28"/>
        </w:rPr>
        <w:t>根据《中华人民共和国人民防空法》、《重庆市人民防空条例》的有关规定和《重庆市人防工程建设总体规划(修编)及部分公共人防工程控制性详细规划(2013~2020)》，为贯彻落实中共中央《关于加强人民防空工作的决定》(中发[2001]9号)和中共重庆市委《关于加强人民防空工作的决定》(渝委发[2001]35号)的文件精神，经过充分研究、实地勘察和项目前期论证，批准实施“重庆市铜梁区中医院单建式人</w:t>
      </w:r>
      <w:r>
        <w:rPr>
          <w:rFonts w:hint="eastAsia" w:ascii="宋体" w:hAnsi="宋体"/>
          <w:szCs w:val="28"/>
          <w:lang w:eastAsia="zh-CN"/>
        </w:rPr>
        <w:t>防</w:t>
      </w:r>
      <w:r>
        <w:rPr>
          <w:rFonts w:hint="eastAsia" w:ascii="宋体" w:hAnsi="宋体"/>
          <w:szCs w:val="28"/>
        </w:rPr>
        <w:t>工程”。</w:t>
      </w:r>
    </w:p>
    <w:p>
      <w:pPr>
        <w:snapToGrid w:val="0"/>
        <w:spacing w:line="560" w:lineRule="atLeast"/>
        <w:ind w:firstLine="560"/>
        <w:rPr>
          <w:rFonts w:ascii="宋体" w:hAnsi="宋体"/>
          <w:szCs w:val="28"/>
        </w:rPr>
      </w:pPr>
      <w:r>
        <w:rPr>
          <w:rFonts w:hint="eastAsia" w:ascii="宋体" w:hAnsi="宋体"/>
          <w:szCs w:val="28"/>
        </w:rPr>
        <w:t>人防工程建设地址为重庆市铜梁区中医院整体迁建及外科大楼建设项目地块内，铜梁区中医院停车位需求大，但医院以及周边市政停车位配套严重不足。人防工程建成后，平时能作为大型车库，战时还能给周边约200米范围内的居民提供就近掩蔽场所、医疗场所。</w:t>
      </w:r>
    </w:p>
    <w:p>
      <w:pPr>
        <w:snapToGrid w:val="0"/>
        <w:spacing w:line="560" w:lineRule="atLeast"/>
        <w:ind w:firstLine="560"/>
        <w:rPr>
          <w:rFonts w:ascii="宋体" w:hAnsi="宋体"/>
          <w:szCs w:val="28"/>
        </w:rPr>
      </w:pPr>
      <w:r>
        <w:rPr>
          <w:rFonts w:hint="eastAsia" w:ascii="宋体" w:hAnsi="宋体"/>
          <w:szCs w:val="28"/>
        </w:rPr>
        <w:t>本次对重庆市铜梁区中医院单建式人防工程实施效果进行客观、公正的评价，通过绩效评价，找出实施过程中存在的问题，总结经验做法与教训。</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rPr>
        <w:t>二、绩效评价结果</w:t>
      </w:r>
    </w:p>
    <w:p>
      <w:pPr>
        <w:snapToGrid w:val="0"/>
        <w:spacing w:line="560" w:lineRule="atLeast"/>
        <w:ind w:firstLine="560"/>
        <w:rPr>
          <w:rFonts w:ascii="宋体" w:hAnsi="宋体"/>
          <w:szCs w:val="28"/>
        </w:rPr>
      </w:pPr>
      <w:r>
        <w:rPr>
          <w:rFonts w:hint="eastAsia" w:ascii="宋体" w:hAnsi="宋体"/>
          <w:szCs w:val="28"/>
        </w:rPr>
        <w:t>经对重庆市铜梁区中医院单建式人防工程投入类、管理类、产出类、效益类四个方面进行综合评价，重庆市铜梁区中医院单建式人防工程绩效评价得分为8</w:t>
      </w:r>
      <w:r>
        <w:rPr>
          <w:rFonts w:ascii="宋体" w:hAnsi="宋体"/>
          <w:szCs w:val="28"/>
        </w:rPr>
        <w:t>5</w:t>
      </w:r>
      <w:r>
        <w:rPr>
          <w:rFonts w:hint="eastAsia" w:ascii="宋体" w:hAnsi="宋体"/>
          <w:szCs w:val="28"/>
        </w:rPr>
        <w:t>.28分，评定等级为“良”。</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rPr>
        <w:t>三、发现的主要问题及建议</w:t>
      </w:r>
    </w:p>
    <w:p>
      <w:pPr>
        <w:snapToGrid w:val="0"/>
        <w:spacing w:line="560" w:lineRule="atLeast"/>
        <w:ind w:firstLine="560"/>
        <w:rPr>
          <w:rFonts w:ascii="宋体" w:hAnsi="宋体"/>
          <w:szCs w:val="28"/>
        </w:rPr>
      </w:pPr>
      <w:r>
        <w:rPr>
          <w:rFonts w:hint="eastAsia" w:ascii="宋体" w:hAnsi="宋体"/>
          <w:szCs w:val="28"/>
        </w:rPr>
        <w:t>1、项目绩效评价指标填写不规范。《铜梁区中医院单建式人防工程工作绩效目标表》数量指标和时效指标填写不规范，数量指标未进行量化而是以“整个工程”来表示指标值，指标性质“=”。时效</w:t>
      </w:r>
      <w:r>
        <w:rPr>
          <w:rFonts w:hint="eastAsia" w:ascii="宋体" w:hAnsi="宋体"/>
          <w:szCs w:val="28"/>
          <w:lang w:eastAsia="zh-CN"/>
        </w:rPr>
        <w:t>指标值</w:t>
      </w:r>
      <w:r>
        <w:rPr>
          <w:rFonts w:hint="eastAsia" w:ascii="宋体" w:hAnsi="宋体"/>
          <w:szCs w:val="28"/>
        </w:rPr>
        <w:t>“年内完工”，指标性质“=”。</w:t>
      </w:r>
    </w:p>
    <w:p>
      <w:pPr>
        <w:snapToGrid w:val="0"/>
        <w:spacing w:line="560" w:lineRule="atLeast"/>
        <w:ind w:firstLine="560"/>
        <w:rPr>
          <w:rFonts w:ascii="宋体" w:hAnsi="宋体"/>
          <w:szCs w:val="28"/>
        </w:rPr>
      </w:pPr>
      <w:r>
        <w:rPr>
          <w:rFonts w:hint="eastAsia" w:ascii="宋体" w:hAnsi="宋体"/>
          <w:szCs w:val="28"/>
        </w:rPr>
        <w:t>建议按照《铜梁区区级政策和项目预算绩效管理办法》的要求，指标值用数字或合格、达标等第三方可衡量的文字表示。指标值为文字的，指标性质用“无”表示。</w:t>
      </w:r>
    </w:p>
    <w:p>
      <w:pPr>
        <w:snapToGrid w:val="0"/>
        <w:spacing w:line="560" w:lineRule="atLeast"/>
        <w:ind w:firstLine="560"/>
        <w:rPr>
          <w:rFonts w:ascii="宋体" w:hAnsi="宋体"/>
          <w:szCs w:val="28"/>
        </w:rPr>
      </w:pPr>
      <w:r>
        <w:rPr>
          <w:rFonts w:hint="eastAsia" w:ascii="宋体" w:hAnsi="宋体"/>
          <w:szCs w:val="28"/>
        </w:rPr>
        <w:t>2、未制定本级部门的项目管理制度。铜梁区人防办执行市级和区级的相关工程项目管理制度，未结合自身实际情况分解工作流程，细化管理规范。</w:t>
      </w:r>
    </w:p>
    <w:p>
      <w:pPr>
        <w:snapToGrid w:val="0"/>
        <w:spacing w:line="560" w:lineRule="atLeast"/>
        <w:ind w:firstLine="560"/>
        <w:rPr>
          <w:rFonts w:ascii="宋体" w:hAnsi="宋体"/>
          <w:szCs w:val="28"/>
        </w:rPr>
      </w:pPr>
      <w:r>
        <w:rPr>
          <w:rFonts w:hint="eastAsia" w:ascii="宋体" w:hAnsi="宋体"/>
          <w:szCs w:val="28"/>
        </w:rPr>
        <w:t>建议全面梳理本部门工作环节，在市级和区级管理制度框架下，制定符合自身实际情况的工程项目管理制度，以加强项目管理，规避法律风险，确保建设项目活动合法合规地开展。</w:t>
      </w:r>
    </w:p>
    <w:p>
      <w:pPr>
        <w:snapToGrid w:val="0"/>
        <w:spacing w:line="560" w:lineRule="atLeast"/>
        <w:ind w:firstLine="560"/>
        <w:rPr>
          <w:rFonts w:ascii="宋体" w:hAnsi="宋体"/>
          <w:szCs w:val="28"/>
        </w:rPr>
      </w:pPr>
      <w:r>
        <w:rPr>
          <w:rFonts w:hint="eastAsia" w:ascii="宋体" w:hAnsi="宋体"/>
          <w:szCs w:val="28"/>
        </w:rPr>
        <w:t>3、项目建设进度滞后。施工合同约定本项目工期365天，项目于2023年5月30日开工，截至2024年6月28日完工进度约86%，预计7月底完工。</w:t>
      </w:r>
    </w:p>
    <w:p>
      <w:pPr>
        <w:snapToGrid w:val="0"/>
        <w:spacing w:line="560" w:lineRule="atLeast"/>
        <w:ind w:firstLine="560"/>
        <w:rPr>
          <w:rFonts w:ascii="宋体" w:hAnsi="宋体"/>
          <w:szCs w:val="28"/>
        </w:rPr>
      </w:pPr>
      <w:r>
        <w:rPr>
          <w:rFonts w:hint="eastAsia" w:ascii="宋体" w:hAnsi="宋体"/>
          <w:szCs w:val="28"/>
        </w:rPr>
        <w:t>建议合理安排工程进度款支付，同时加强与代建单位、施工单位的沟通，对施工中遇到的影响进度的问题及时提出解决方案，明确各方责任。对于因施工方原因导致的工程延期，按合同约定依法追究相应责任。</w:t>
      </w:r>
    </w:p>
    <w:p>
      <w:pPr>
        <w:snapToGrid w:val="0"/>
        <w:spacing w:line="560" w:lineRule="atLeast"/>
        <w:ind w:firstLine="560"/>
        <w:rPr>
          <w:rFonts w:ascii="宋体" w:hAnsi="宋体"/>
          <w:szCs w:val="28"/>
        </w:rPr>
      </w:pPr>
      <w:r>
        <w:rPr>
          <w:rFonts w:ascii="宋体" w:hAnsi="宋体"/>
          <w:szCs w:val="28"/>
        </w:rPr>
        <w:br w:type="page"/>
      </w:r>
    </w:p>
    <w:p>
      <w:pPr>
        <w:spacing w:line="560" w:lineRule="exact"/>
        <w:ind w:left="560" w:firstLine="0" w:firstLineChars="0"/>
        <w:jc w:val="center"/>
        <w:rPr>
          <w:b/>
          <w:sz w:val="32"/>
          <w:szCs w:val="32"/>
        </w:rPr>
      </w:pPr>
    </w:p>
    <w:p>
      <w:pPr>
        <w:spacing w:line="560" w:lineRule="exact"/>
        <w:ind w:firstLine="643"/>
        <w:jc w:val="center"/>
        <w:rPr>
          <w:b/>
          <w:sz w:val="32"/>
          <w:szCs w:val="32"/>
        </w:rPr>
      </w:pPr>
      <w:r>
        <w:rPr>
          <w:rFonts w:hint="eastAsia"/>
          <w:b/>
          <w:sz w:val="32"/>
          <w:szCs w:val="32"/>
        </w:rPr>
        <w:t>重庆市铜梁区中医院单建式人防工程</w:t>
      </w:r>
    </w:p>
    <w:p>
      <w:pPr>
        <w:spacing w:line="560" w:lineRule="exact"/>
        <w:ind w:firstLine="643"/>
        <w:jc w:val="center"/>
        <w:rPr>
          <w:rFonts w:ascii="宋体" w:hAnsi="宋体" w:cs="仿宋"/>
          <w:sz w:val="32"/>
          <w:szCs w:val="32"/>
        </w:rPr>
      </w:pPr>
      <w:r>
        <w:rPr>
          <w:rFonts w:hint="eastAsia"/>
          <w:b/>
          <w:sz w:val="32"/>
          <w:szCs w:val="32"/>
        </w:rPr>
        <w:t>绩效评价报告</w:t>
      </w:r>
    </w:p>
    <w:p>
      <w:pPr>
        <w:autoSpaceDE w:val="0"/>
        <w:autoSpaceDN w:val="0"/>
        <w:adjustRightInd w:val="0"/>
        <w:snapToGrid w:val="0"/>
        <w:spacing w:line="560" w:lineRule="exact"/>
        <w:ind w:firstLine="422"/>
        <w:jc w:val="right"/>
        <w:rPr>
          <w:rFonts w:ascii="宋体" w:hAnsi="宋体"/>
          <w:b/>
          <w:kern w:val="0"/>
          <w:sz w:val="21"/>
          <w:szCs w:val="21"/>
        </w:rPr>
      </w:pPr>
      <w:r>
        <w:rPr>
          <w:rFonts w:hint="eastAsia" w:ascii="宋体" w:hAnsi="宋体"/>
          <w:b/>
          <w:kern w:val="0"/>
          <w:sz w:val="21"/>
          <w:szCs w:val="21"/>
        </w:rPr>
        <w:t>凯弘会所咨[2024]</w:t>
      </w:r>
      <w:r>
        <w:rPr>
          <w:rFonts w:hint="eastAsia" w:ascii="宋体" w:hAnsi="宋体"/>
          <w:b/>
          <w:kern w:val="0"/>
          <w:sz w:val="21"/>
          <w:szCs w:val="21"/>
          <w:lang w:val="en-US" w:eastAsia="zh-CN"/>
        </w:rPr>
        <w:t>013</w:t>
      </w:r>
      <w:r>
        <w:rPr>
          <w:rFonts w:hint="eastAsia" w:ascii="宋体" w:hAnsi="宋体"/>
          <w:b/>
          <w:kern w:val="0"/>
          <w:sz w:val="21"/>
          <w:szCs w:val="21"/>
        </w:rPr>
        <w:t>号</w:t>
      </w:r>
    </w:p>
    <w:p>
      <w:pPr>
        <w:snapToGrid w:val="0"/>
        <w:spacing w:before="312" w:beforeLines="100" w:line="560" w:lineRule="exact"/>
        <w:ind w:firstLine="0" w:firstLineChars="0"/>
        <w:jc w:val="left"/>
        <w:outlineLvl w:val="0"/>
        <w:rPr>
          <w:rFonts w:ascii="宋体" w:hAnsi="宋体"/>
          <w:b/>
          <w:szCs w:val="28"/>
        </w:rPr>
      </w:pPr>
      <w:r>
        <w:rPr>
          <w:rFonts w:hint="eastAsia" w:ascii="宋体" w:hAnsi="宋体"/>
          <w:b/>
          <w:szCs w:val="28"/>
        </w:rPr>
        <w:t>重庆市铜梁区财政局：</w:t>
      </w:r>
    </w:p>
    <w:p>
      <w:pPr>
        <w:snapToGrid w:val="0"/>
        <w:spacing w:line="560" w:lineRule="atLeast"/>
        <w:ind w:firstLine="560"/>
        <w:rPr>
          <w:rFonts w:ascii="宋体" w:hAnsi="宋体"/>
          <w:szCs w:val="28"/>
        </w:rPr>
      </w:pPr>
      <w:r>
        <w:rPr>
          <w:rFonts w:hint="eastAsia" w:ascii="宋体" w:hAnsi="宋体"/>
          <w:szCs w:val="28"/>
        </w:rPr>
        <w:t>我们受贵中心委托，对“重庆市铜梁区中医院单建式人防工程”的绩效进行评价。该评价项目由重庆市铜梁区人民防空办公室负责提供真实、合法、完整的绩效评价资料。我们的责任是按相关规定和委托协议书的要求出具绩效评价报告，并对绩效评价报告的真实性、合法性负责。在评价过程中，我们遵循客观公正、实事求是的原则，按照财政支出绩效评价管理有关文件规定及标准，结合本项目的实际情况，经过对绩效目标和指标的梳理、实地查验、数据采集、合规性检查、访谈、社会调查等评价程序。现将绩效评价情况报告如下：</w:t>
      </w:r>
    </w:p>
    <w:p>
      <w:pPr>
        <w:pStyle w:val="25"/>
        <w:numPr>
          <w:ilvl w:val="0"/>
          <w:numId w:val="5"/>
        </w:numPr>
        <w:snapToGrid w:val="0"/>
        <w:spacing w:line="560" w:lineRule="exact"/>
        <w:ind w:left="562" w:firstLine="0" w:firstLineChars="0"/>
        <w:outlineLvl w:val="0"/>
        <w:rPr>
          <w:rFonts w:ascii="宋体" w:hAnsi="宋体"/>
          <w:b/>
          <w:szCs w:val="28"/>
        </w:rPr>
      </w:pPr>
      <w:r>
        <w:rPr>
          <w:rFonts w:hint="eastAsia" w:ascii="宋体" w:hAnsi="宋体"/>
          <w:b/>
          <w:szCs w:val="28"/>
        </w:rPr>
        <w:t>基本情况</w:t>
      </w:r>
    </w:p>
    <w:p>
      <w:pPr>
        <w:snapToGrid w:val="0"/>
        <w:spacing w:line="560" w:lineRule="atLeast"/>
        <w:ind w:firstLine="560"/>
        <w:rPr>
          <w:rFonts w:ascii="宋体" w:hAnsi="宋体"/>
          <w:szCs w:val="28"/>
        </w:rPr>
      </w:pPr>
      <w:r>
        <w:rPr>
          <w:rFonts w:hint="eastAsia" w:ascii="宋体" w:hAnsi="宋体"/>
          <w:szCs w:val="28"/>
        </w:rPr>
        <w:t>2020年5月19日，根据重庆市铜梁区发展和改革委员会《关于重庆市铜梁区中医院单建式人防工程立项的批复》（铜发改委审〔2020〕260号），本项目获批立项</w:t>
      </w:r>
      <w:r>
        <w:rPr>
          <w:rFonts w:hint="eastAsia" w:ascii="宋体" w:hAnsi="宋体"/>
          <w:szCs w:val="28"/>
          <w:lang w:eastAsia="zh-CN"/>
        </w:rPr>
        <w:t>，</w:t>
      </w:r>
      <w:r>
        <w:rPr>
          <w:rFonts w:hint="eastAsia" w:ascii="宋体" w:hAnsi="宋体"/>
          <w:szCs w:val="28"/>
        </w:rPr>
        <w:t>项目业主：重庆市铜梁区人民防空办公室</w:t>
      </w:r>
      <w:r>
        <w:rPr>
          <w:rFonts w:hint="eastAsia" w:ascii="宋体" w:hAnsi="宋体"/>
          <w:szCs w:val="28"/>
          <w:lang w:eastAsia="zh-CN"/>
        </w:rPr>
        <w:t>，</w:t>
      </w:r>
      <w:r>
        <w:rPr>
          <w:rFonts w:hint="eastAsia" w:ascii="宋体" w:hAnsi="宋体"/>
          <w:szCs w:val="28"/>
        </w:rPr>
        <w:t>项目建设工期：2020年10月至2022年10月。根据《重庆市铜梁区发展和改革委员会关于调整重庆市铜梁区中医院单建式人防工程立项的批复》（铜发改委审〔2022〕11号），同意将项目总投资调整为10,286.30万元。</w:t>
      </w:r>
    </w:p>
    <w:p>
      <w:pPr>
        <w:snapToGrid w:val="0"/>
        <w:spacing w:line="560" w:lineRule="atLeast"/>
        <w:ind w:firstLine="560"/>
        <w:rPr>
          <w:rFonts w:ascii="宋体" w:hAnsi="宋体"/>
          <w:szCs w:val="28"/>
        </w:rPr>
      </w:pPr>
      <w:r>
        <w:rPr>
          <w:rFonts w:hint="eastAsia" w:ascii="宋体" w:hAnsi="宋体"/>
          <w:szCs w:val="28"/>
        </w:rPr>
        <w:t>项目2021年12月2日取得《建设用地规划许可证》，土地取得方式为划拨。2022年1月25日取得《建设工程规划许可证》，2022年4月28日取得《建筑工程施工许可证》。2023年2月28日通过公开招标确定广东金辉华集团有限公司为工程施工单位。工程于2023年5月30日正式开工，合同工期365天，截至2024年6月28日，工程完工进度约86%，预计7月底完工。</w:t>
      </w:r>
    </w:p>
    <w:p>
      <w:pPr>
        <w:snapToGrid w:val="0"/>
        <w:spacing w:line="560" w:lineRule="atLeast"/>
        <w:ind w:firstLine="560"/>
        <w:rPr>
          <w:rFonts w:ascii="宋体" w:hAnsi="宋体"/>
          <w:szCs w:val="28"/>
        </w:rPr>
      </w:pPr>
      <w:r>
        <w:rPr>
          <w:rFonts w:hint="eastAsia" w:ascii="宋体" w:hAnsi="宋体"/>
          <w:szCs w:val="28"/>
        </w:rPr>
        <w:t>根据重庆市铜梁区财政局《关于下达2024年区中医院单建式人防工程项目预算和2023年区中医院单建式人防工程项目清算预算资金的通知》（铜财〔2024〕86号），2023年项目清算资金733.392224万元。</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rPr>
        <w:t>二、绩效评价工作情况</w:t>
      </w:r>
    </w:p>
    <w:p>
      <w:pPr>
        <w:snapToGrid w:val="0"/>
        <w:spacing w:line="560" w:lineRule="exact"/>
        <w:ind w:firstLine="560" w:firstLineChars="0"/>
        <w:outlineLvl w:val="1"/>
        <w:rPr>
          <w:rFonts w:ascii="宋体" w:hAnsi="宋体"/>
          <w:b/>
          <w:szCs w:val="28"/>
        </w:rPr>
      </w:pPr>
      <w:r>
        <w:rPr>
          <w:rFonts w:hint="eastAsia" w:ascii="宋体" w:hAnsi="宋体"/>
          <w:b/>
          <w:szCs w:val="28"/>
        </w:rPr>
        <w:t>（一）绩效评价目的和范围</w:t>
      </w:r>
    </w:p>
    <w:p>
      <w:pPr>
        <w:snapToGrid w:val="0"/>
        <w:spacing w:line="560" w:lineRule="atLeast"/>
        <w:ind w:firstLine="560"/>
        <w:rPr>
          <w:rFonts w:ascii="宋体" w:hAnsi="宋体"/>
          <w:szCs w:val="28"/>
        </w:rPr>
      </w:pPr>
      <w:r>
        <w:rPr>
          <w:rFonts w:hint="eastAsia" w:ascii="宋体" w:hAnsi="宋体"/>
          <w:szCs w:val="28"/>
        </w:rPr>
        <w:t>本次绩效评价目的是进一步加强重庆市铜梁区中医院单建式人防工程绩效管理，提高财政资金使用效率和管理水平。本次绩效评价范围为重庆市铜梁区中医院单建式人防工程的投入、管理、产出和效益情况。</w:t>
      </w:r>
    </w:p>
    <w:p>
      <w:pPr>
        <w:snapToGrid w:val="0"/>
        <w:spacing w:line="560" w:lineRule="exact"/>
        <w:ind w:firstLine="560" w:firstLineChars="0"/>
        <w:outlineLvl w:val="1"/>
        <w:rPr>
          <w:rFonts w:ascii="宋体" w:hAnsi="宋体"/>
          <w:b/>
          <w:szCs w:val="28"/>
        </w:rPr>
      </w:pPr>
      <w:r>
        <w:rPr>
          <w:rFonts w:hint="eastAsia" w:ascii="宋体" w:hAnsi="宋体"/>
          <w:b/>
          <w:szCs w:val="28"/>
        </w:rPr>
        <w:t>（二）绩效评价依据、评价指标体系及其评价方法</w:t>
      </w:r>
    </w:p>
    <w:p>
      <w:pPr>
        <w:snapToGrid w:val="0"/>
        <w:spacing w:line="560" w:lineRule="exact"/>
        <w:ind w:firstLine="561" w:firstLineChars="0"/>
        <w:outlineLvl w:val="3"/>
        <w:rPr>
          <w:rFonts w:ascii="宋体" w:hAnsi="宋体" w:cs="宋体"/>
          <w:b/>
          <w:bCs/>
          <w:kern w:val="0"/>
          <w:szCs w:val="28"/>
        </w:rPr>
      </w:pPr>
      <w:r>
        <w:rPr>
          <w:rFonts w:hint="eastAsia" w:ascii="宋体" w:hAnsi="宋体" w:cs="宋体"/>
          <w:b/>
          <w:bCs/>
          <w:kern w:val="0"/>
          <w:szCs w:val="28"/>
        </w:rPr>
        <w:t>1</w:t>
      </w:r>
      <w:r>
        <w:rPr>
          <w:rFonts w:ascii="宋体" w:hAnsi="宋体" w:cs="宋体"/>
          <w:b/>
          <w:bCs/>
          <w:kern w:val="0"/>
          <w:szCs w:val="28"/>
        </w:rPr>
        <w:t>.</w:t>
      </w:r>
      <w:r>
        <w:rPr>
          <w:rFonts w:hint="eastAsia" w:ascii="宋体" w:hAnsi="宋体" w:cs="宋体"/>
          <w:b/>
          <w:bCs/>
          <w:kern w:val="0"/>
          <w:szCs w:val="28"/>
        </w:rPr>
        <w:t>绩效评价依据</w:t>
      </w:r>
    </w:p>
    <w:p>
      <w:pPr>
        <w:snapToGrid w:val="0"/>
        <w:spacing w:line="560" w:lineRule="exact"/>
        <w:ind w:firstLine="560"/>
        <w:rPr>
          <w:rFonts w:ascii="宋体" w:hAnsi="宋体"/>
          <w:szCs w:val="28"/>
        </w:rPr>
      </w:pPr>
      <w:r>
        <w:rPr>
          <w:rFonts w:hint="eastAsia" w:ascii="宋体" w:hAnsi="宋体"/>
          <w:szCs w:val="28"/>
        </w:rPr>
        <w:t>（1）</w:t>
      </w:r>
      <w:r>
        <w:rPr>
          <w:rFonts w:hint="eastAsia" w:ascii="宋体" w:hAnsi="宋体"/>
          <w:szCs w:val="28"/>
          <w:lang w:eastAsia="zh-CN"/>
        </w:rPr>
        <w:t>中共中央、国务院</w:t>
      </w:r>
      <w:r>
        <w:rPr>
          <w:rFonts w:hint="eastAsia" w:ascii="宋体" w:hAnsi="宋体"/>
          <w:szCs w:val="28"/>
        </w:rPr>
        <w:t>《关于全面实施预算绩效管理的意见》；</w:t>
      </w:r>
    </w:p>
    <w:p>
      <w:pPr>
        <w:snapToGrid w:val="0"/>
        <w:spacing w:line="560" w:lineRule="exact"/>
        <w:ind w:firstLine="560"/>
        <w:rPr>
          <w:rFonts w:hint="eastAsia" w:ascii="宋体" w:hAnsi="宋体" w:eastAsia="宋体"/>
          <w:szCs w:val="28"/>
          <w:lang w:eastAsia="zh-CN"/>
        </w:rPr>
      </w:pPr>
      <w:r>
        <w:rPr>
          <w:rFonts w:hint="eastAsia" w:ascii="宋体" w:hAnsi="宋体"/>
          <w:szCs w:val="28"/>
        </w:rPr>
        <w:t>（2）《项目支出绩效评价管理办法》（财预〔2020〕10号）</w:t>
      </w:r>
      <w:r>
        <w:rPr>
          <w:rFonts w:hint="eastAsia" w:ascii="宋体" w:hAnsi="宋体"/>
          <w:szCs w:val="28"/>
          <w:lang w:eastAsia="zh-CN"/>
        </w:rPr>
        <w:t>；</w:t>
      </w:r>
    </w:p>
    <w:p>
      <w:pPr>
        <w:snapToGrid w:val="0"/>
        <w:spacing w:line="560" w:lineRule="exact"/>
        <w:ind w:firstLine="560"/>
        <w:rPr>
          <w:rFonts w:hint="eastAsia" w:ascii="宋体" w:hAnsi="宋体" w:eastAsia="宋体"/>
          <w:szCs w:val="28"/>
          <w:lang w:eastAsia="zh-CN"/>
        </w:rPr>
      </w:pPr>
      <w:r>
        <w:rPr>
          <w:rFonts w:hint="eastAsia" w:ascii="宋体" w:hAnsi="宋体"/>
          <w:szCs w:val="28"/>
        </w:rPr>
        <w:t>（3）《重庆市市级政策和项目预算绩效管理办法（试行）》（渝财绩〔2019〕19号）</w:t>
      </w:r>
      <w:r>
        <w:rPr>
          <w:rFonts w:hint="eastAsia" w:ascii="宋体" w:hAnsi="宋体"/>
          <w:szCs w:val="28"/>
          <w:lang w:eastAsia="zh-CN"/>
        </w:rPr>
        <w:t>；</w:t>
      </w:r>
    </w:p>
    <w:p>
      <w:pPr>
        <w:snapToGrid w:val="0"/>
        <w:spacing w:line="560" w:lineRule="exact"/>
        <w:ind w:firstLine="560"/>
        <w:rPr>
          <w:rFonts w:ascii="宋体" w:hAnsi="宋体"/>
          <w:szCs w:val="28"/>
        </w:rPr>
      </w:pPr>
      <w:r>
        <w:rPr>
          <w:rFonts w:hint="eastAsia" w:ascii="宋体" w:hAnsi="宋体"/>
          <w:szCs w:val="28"/>
        </w:rPr>
        <w:t>（4）重庆市铜梁区财政局《关于修订铜梁区区级政策和项目预算绩效管理办法（暂行）》（铜财〔2022〕411号）；</w:t>
      </w:r>
    </w:p>
    <w:p>
      <w:pPr>
        <w:snapToGrid w:val="0"/>
        <w:spacing w:line="560" w:lineRule="exact"/>
        <w:ind w:firstLine="560"/>
        <w:rPr>
          <w:rFonts w:ascii="宋体" w:hAnsi="宋体"/>
          <w:szCs w:val="28"/>
        </w:rPr>
      </w:pPr>
      <w:r>
        <w:rPr>
          <w:rFonts w:hint="eastAsia" w:ascii="宋体" w:hAnsi="宋体"/>
          <w:szCs w:val="28"/>
        </w:rPr>
        <w:t>（5）重庆市铜梁区中医院单建式人防工程相关单位提供的资料；</w:t>
      </w:r>
    </w:p>
    <w:p>
      <w:pPr>
        <w:snapToGrid w:val="0"/>
        <w:spacing w:line="560" w:lineRule="exact"/>
        <w:ind w:firstLine="560"/>
        <w:rPr>
          <w:rFonts w:ascii="宋体" w:hAnsi="宋体"/>
          <w:szCs w:val="28"/>
        </w:rPr>
      </w:pPr>
      <w:r>
        <w:rPr>
          <w:rFonts w:hint="eastAsia" w:ascii="宋体" w:hAnsi="宋体"/>
          <w:szCs w:val="28"/>
        </w:rPr>
        <w:t>（6）其他国家相关法律、法规和规章制度。</w:t>
      </w:r>
    </w:p>
    <w:p>
      <w:pPr>
        <w:snapToGrid w:val="0"/>
        <w:spacing w:line="560" w:lineRule="exact"/>
        <w:ind w:firstLine="561" w:firstLineChars="0"/>
        <w:outlineLvl w:val="3"/>
        <w:rPr>
          <w:b/>
        </w:rPr>
      </w:pPr>
      <w:r>
        <w:rPr>
          <w:rFonts w:hint="eastAsia" w:ascii="宋体" w:hAnsi="宋体" w:cs="宋体"/>
          <w:b/>
          <w:bCs/>
          <w:kern w:val="0"/>
          <w:szCs w:val="28"/>
        </w:rPr>
        <w:t>2.</w:t>
      </w:r>
      <w:r>
        <w:rPr>
          <w:rFonts w:hint="eastAsia"/>
          <w:b/>
        </w:rPr>
        <w:t xml:space="preserve"> 绩效评价指标体系的设定原则</w:t>
      </w:r>
    </w:p>
    <w:p>
      <w:pPr>
        <w:snapToGrid w:val="0"/>
        <w:spacing w:line="560" w:lineRule="exact"/>
        <w:ind w:firstLine="561" w:firstLineChars="0"/>
        <w:outlineLvl w:val="3"/>
        <w:rPr>
          <w:rFonts w:ascii="宋体" w:hAnsi="宋体" w:cs="宋体"/>
          <w:kern w:val="0"/>
          <w:szCs w:val="28"/>
        </w:rPr>
      </w:pPr>
      <w:r>
        <w:rPr>
          <w:rFonts w:hint="eastAsia" w:ascii="宋体" w:hAnsi="宋体" w:cs="宋体"/>
          <w:kern w:val="0"/>
          <w:szCs w:val="28"/>
        </w:rPr>
        <w:t>（1） 相关性原则。绩效评价指标体系设定应当与绩效目标有直接的联系，能够恰当反映目标的实现程度。</w:t>
      </w:r>
    </w:p>
    <w:p>
      <w:pPr>
        <w:snapToGrid w:val="0"/>
        <w:spacing w:line="560" w:lineRule="exact"/>
        <w:ind w:firstLine="561" w:firstLineChars="0"/>
        <w:outlineLvl w:val="3"/>
        <w:rPr>
          <w:rFonts w:ascii="宋体" w:hAnsi="宋体" w:cs="宋体"/>
          <w:kern w:val="0"/>
          <w:szCs w:val="28"/>
        </w:rPr>
      </w:pPr>
      <w:r>
        <w:rPr>
          <w:rFonts w:hint="eastAsia" w:ascii="宋体" w:hAnsi="宋体" w:cs="宋体"/>
          <w:kern w:val="0"/>
          <w:szCs w:val="28"/>
        </w:rPr>
        <w:t>（2） 重要性原则。绩效评价指标体系设定应当根据绩效评价的对象和内容优先使用最具代表性、最能反映评价要求的核心指标。</w:t>
      </w:r>
    </w:p>
    <w:p>
      <w:pPr>
        <w:snapToGrid w:val="0"/>
        <w:spacing w:line="560" w:lineRule="exact"/>
        <w:ind w:firstLine="561" w:firstLineChars="0"/>
        <w:outlineLvl w:val="3"/>
        <w:rPr>
          <w:rFonts w:ascii="宋体" w:hAnsi="宋体" w:cs="宋体"/>
          <w:kern w:val="0"/>
          <w:szCs w:val="28"/>
        </w:rPr>
      </w:pPr>
      <w:r>
        <w:rPr>
          <w:rFonts w:hint="eastAsia" w:ascii="宋体" w:hAnsi="宋体" w:cs="宋体"/>
          <w:kern w:val="0"/>
          <w:szCs w:val="28"/>
        </w:rPr>
        <w:t>（3） 可比性原则。绩效评价指标体系设定应当对同类评价对象设定共性的绩效评价指标，以便于评价结果相互比较。</w:t>
      </w:r>
    </w:p>
    <w:p>
      <w:pPr>
        <w:snapToGrid w:val="0"/>
        <w:spacing w:line="560" w:lineRule="exact"/>
        <w:ind w:firstLine="561" w:firstLineChars="0"/>
        <w:outlineLvl w:val="3"/>
        <w:rPr>
          <w:rFonts w:ascii="宋体" w:hAnsi="宋体" w:cs="宋体"/>
          <w:kern w:val="0"/>
          <w:szCs w:val="28"/>
        </w:rPr>
      </w:pPr>
      <w:r>
        <w:rPr>
          <w:rFonts w:hint="eastAsia" w:ascii="宋体" w:hAnsi="宋体" w:cs="宋体"/>
          <w:kern w:val="0"/>
          <w:szCs w:val="28"/>
        </w:rPr>
        <w:t>（4） 系统性原则。绩效评价指标体系设定应当将定量指标与定性指标相结合，系统反映项目所产生的社会效益和可持续影响等。绩效评价标准采用定量评分，满分为100分。</w:t>
      </w:r>
    </w:p>
    <w:p>
      <w:pPr>
        <w:snapToGrid w:val="0"/>
        <w:spacing w:line="560" w:lineRule="exact"/>
        <w:ind w:firstLine="561" w:firstLineChars="0"/>
        <w:outlineLvl w:val="3"/>
        <w:rPr>
          <w:rFonts w:ascii="宋体" w:hAnsi="宋体" w:cs="宋体"/>
          <w:b/>
          <w:bCs/>
          <w:kern w:val="0"/>
          <w:szCs w:val="28"/>
        </w:rPr>
      </w:pPr>
      <w:r>
        <w:rPr>
          <w:rFonts w:hint="eastAsia" w:ascii="宋体" w:hAnsi="宋体" w:cs="宋体"/>
          <w:b/>
          <w:bCs/>
          <w:kern w:val="0"/>
          <w:szCs w:val="28"/>
        </w:rPr>
        <w:t>3.绩效评价指标体系</w:t>
      </w:r>
    </w:p>
    <w:p>
      <w:pPr>
        <w:snapToGrid w:val="0"/>
        <w:spacing w:line="560" w:lineRule="atLeast"/>
        <w:ind w:firstLine="560"/>
        <w:rPr>
          <w:rFonts w:ascii="宋体" w:hAnsi="宋体"/>
          <w:szCs w:val="28"/>
        </w:rPr>
      </w:pPr>
      <w:r>
        <w:rPr>
          <w:rFonts w:hint="eastAsia" w:ascii="宋体" w:hAnsi="宋体"/>
          <w:szCs w:val="28"/>
        </w:rPr>
        <w:t>经过充分的调研和讨论，本次绩效评价指标体系设计如下:</w:t>
      </w:r>
    </w:p>
    <w:p>
      <w:pPr>
        <w:snapToGrid w:val="0"/>
        <w:spacing w:line="560" w:lineRule="atLeast"/>
        <w:ind w:firstLine="560"/>
        <w:rPr>
          <w:rFonts w:ascii="宋体" w:hAnsi="宋体"/>
          <w:szCs w:val="28"/>
        </w:rPr>
      </w:pPr>
      <w:r>
        <w:rPr>
          <w:rFonts w:hint="eastAsia" w:ascii="宋体" w:hAnsi="宋体"/>
          <w:szCs w:val="28"/>
        </w:rPr>
        <w:t>一级指标</w:t>
      </w:r>
      <w:r>
        <w:rPr>
          <w:rFonts w:ascii="宋体" w:hAnsi="宋体"/>
          <w:szCs w:val="28"/>
        </w:rPr>
        <w:t>4</w:t>
      </w:r>
      <w:r>
        <w:rPr>
          <w:rFonts w:hint="eastAsia" w:ascii="宋体" w:hAnsi="宋体"/>
          <w:szCs w:val="28"/>
        </w:rPr>
        <w:t>个，分别为：投入、管理、产出、效益；</w:t>
      </w:r>
    </w:p>
    <w:p>
      <w:pPr>
        <w:snapToGrid w:val="0"/>
        <w:spacing w:line="560" w:lineRule="atLeast"/>
        <w:ind w:firstLine="560"/>
        <w:rPr>
          <w:rFonts w:ascii="宋体" w:hAnsi="宋体"/>
          <w:szCs w:val="28"/>
        </w:rPr>
      </w:pPr>
      <w:r>
        <w:rPr>
          <w:rFonts w:hint="eastAsia" w:ascii="宋体" w:hAnsi="宋体"/>
          <w:szCs w:val="28"/>
        </w:rPr>
        <w:t>二级指标</w:t>
      </w:r>
      <w:r>
        <w:rPr>
          <w:rFonts w:ascii="宋体" w:hAnsi="宋体"/>
          <w:szCs w:val="28"/>
        </w:rPr>
        <w:t>1</w:t>
      </w:r>
      <w:r>
        <w:rPr>
          <w:rFonts w:hint="eastAsia" w:ascii="宋体" w:hAnsi="宋体"/>
          <w:szCs w:val="28"/>
        </w:rPr>
        <w:t>3个，分别为：项目立项、绩效目标、资金落实、业务管理、资金管理、数量指标、时效指标、质量指标、成本指标、社会效益、生态效益、可持续性影响、满意度；</w:t>
      </w:r>
    </w:p>
    <w:p>
      <w:pPr>
        <w:snapToGrid w:val="0"/>
        <w:spacing w:line="560" w:lineRule="atLeast"/>
        <w:ind w:firstLine="560"/>
        <w:rPr>
          <w:rFonts w:ascii="宋体" w:hAnsi="宋体"/>
          <w:szCs w:val="28"/>
        </w:rPr>
      </w:pPr>
      <w:r>
        <w:rPr>
          <w:rFonts w:hint="eastAsia" w:ascii="宋体" w:hAnsi="宋体"/>
          <w:szCs w:val="28"/>
        </w:rPr>
        <w:t>三级指标</w:t>
      </w:r>
      <w:r>
        <w:rPr>
          <w:rFonts w:ascii="宋体" w:hAnsi="宋体"/>
          <w:szCs w:val="28"/>
        </w:rPr>
        <w:t>2</w:t>
      </w:r>
      <w:r>
        <w:rPr>
          <w:rFonts w:hint="eastAsia" w:ascii="宋体" w:hAnsi="宋体"/>
          <w:szCs w:val="28"/>
        </w:rPr>
        <w:t>1个，分别为：立项依据充分性、立项程序规范性、绩效目标合理性、绩效指标明确性、资金到位率、到位及时率、管理制度健全性、制度执行有效性、项目质量可控性、财务管理制度健全性、资金使用合规性、财务监控有效性、实际完成率、完成及时率、质量达标率、成本节约率、完善基础设施、提高城防体系、生态影响、长效机制、受益对象满意度。</w:t>
      </w:r>
    </w:p>
    <w:p>
      <w:pPr>
        <w:snapToGrid w:val="0"/>
        <w:spacing w:line="560" w:lineRule="atLeast"/>
        <w:ind w:firstLine="560"/>
        <w:rPr>
          <w:rFonts w:ascii="宋体" w:hAnsi="宋体"/>
          <w:szCs w:val="28"/>
        </w:rPr>
      </w:pPr>
      <w:r>
        <w:rPr>
          <w:rFonts w:hint="eastAsia" w:ascii="宋体" w:hAnsi="宋体"/>
          <w:szCs w:val="28"/>
        </w:rPr>
        <w:t>绩效评价指标体系具体情况详见附表：重庆市铜梁区中医院单建式人防工程项目绩效评价指标评分表。</w:t>
      </w:r>
    </w:p>
    <w:p>
      <w:pPr>
        <w:snapToGrid w:val="0"/>
        <w:spacing w:line="560" w:lineRule="atLeast"/>
        <w:ind w:firstLine="560"/>
        <w:rPr>
          <w:rFonts w:ascii="宋体" w:hAnsi="宋体"/>
          <w:szCs w:val="28"/>
        </w:rPr>
      </w:pPr>
      <w:r>
        <w:rPr>
          <w:rFonts w:hint="eastAsia" w:ascii="宋体" w:hAnsi="宋体"/>
          <w:szCs w:val="28"/>
        </w:rPr>
        <w:t>评价结果分为优、良、中、差四等，根据计分结果的分值，确定评价结果对象最后达到的档次，具体见下表。</w:t>
      </w:r>
    </w:p>
    <w:tbl>
      <w:tblPr>
        <w:tblStyle w:val="18"/>
        <w:tblW w:w="8362" w:type="dxa"/>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498"/>
        <w:gridCol w:w="1498"/>
        <w:gridCol w:w="1933"/>
        <w:gridCol w:w="1934"/>
        <w:gridCol w:w="1499"/>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tblHeader/>
        </w:trPr>
        <w:tc>
          <w:tcPr>
            <w:tcW w:w="1498"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档次</w:t>
            </w:r>
          </w:p>
        </w:tc>
        <w:tc>
          <w:tcPr>
            <w:tcW w:w="1498"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优</w:t>
            </w:r>
          </w:p>
        </w:tc>
        <w:tc>
          <w:tcPr>
            <w:tcW w:w="1933"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良</w:t>
            </w:r>
          </w:p>
        </w:tc>
        <w:tc>
          <w:tcPr>
            <w:tcW w:w="1934"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中</w:t>
            </w:r>
          </w:p>
        </w:tc>
        <w:tc>
          <w:tcPr>
            <w:tcW w:w="1499"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差</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trPr>
        <w:tc>
          <w:tcPr>
            <w:tcW w:w="1498"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分值</w:t>
            </w:r>
          </w:p>
        </w:tc>
        <w:tc>
          <w:tcPr>
            <w:tcW w:w="1498"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≥90</w:t>
            </w:r>
          </w:p>
        </w:tc>
        <w:tc>
          <w:tcPr>
            <w:tcW w:w="1933"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80≤得分＜90</w:t>
            </w:r>
          </w:p>
        </w:tc>
        <w:tc>
          <w:tcPr>
            <w:tcW w:w="1934"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60≤得分＜80</w:t>
            </w:r>
          </w:p>
        </w:tc>
        <w:tc>
          <w:tcPr>
            <w:tcW w:w="1499"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得分＜60</w:t>
            </w:r>
          </w:p>
        </w:tc>
      </w:tr>
    </w:tbl>
    <w:p>
      <w:pPr>
        <w:snapToGrid w:val="0"/>
        <w:spacing w:line="560" w:lineRule="exact"/>
        <w:ind w:firstLine="561" w:firstLineChars="0"/>
        <w:outlineLvl w:val="3"/>
        <w:rPr>
          <w:rFonts w:ascii="宋体" w:hAnsi="宋体" w:cs="宋体"/>
          <w:b/>
          <w:bCs/>
          <w:kern w:val="0"/>
          <w:szCs w:val="28"/>
        </w:rPr>
      </w:pPr>
      <w:r>
        <w:rPr>
          <w:rFonts w:hint="eastAsia" w:ascii="宋体" w:hAnsi="宋体" w:cs="宋体"/>
          <w:b/>
          <w:bCs/>
          <w:kern w:val="0"/>
          <w:szCs w:val="28"/>
        </w:rPr>
        <w:t>4.评价方法</w:t>
      </w:r>
    </w:p>
    <w:p>
      <w:pPr>
        <w:snapToGrid w:val="0"/>
        <w:spacing w:line="560" w:lineRule="atLeast"/>
        <w:ind w:firstLine="560"/>
        <w:rPr>
          <w:rFonts w:ascii="宋体" w:hAnsi="宋体"/>
          <w:szCs w:val="28"/>
        </w:rPr>
      </w:pPr>
      <w:r>
        <w:rPr>
          <w:rFonts w:hint="eastAsia" w:ascii="宋体" w:hAnsi="宋体"/>
          <w:szCs w:val="28"/>
        </w:rPr>
        <w:t>本次绩效评价采用现场和非现场评价相结合的方式，以材料核查、访谈、问卷调查、抽查为基础，综合运用对比分析等方法，对本项目进行评价。</w:t>
      </w:r>
    </w:p>
    <w:p>
      <w:pPr>
        <w:snapToGrid w:val="0"/>
        <w:spacing w:line="560" w:lineRule="atLeast"/>
        <w:ind w:firstLine="560"/>
        <w:rPr>
          <w:rFonts w:ascii="宋体" w:hAnsi="宋体"/>
          <w:szCs w:val="28"/>
        </w:rPr>
      </w:pPr>
      <w:r>
        <w:rPr>
          <w:rFonts w:hint="eastAsia" w:ascii="宋体" w:hAnsi="宋体"/>
          <w:szCs w:val="28"/>
        </w:rPr>
        <w:t>（1）座谈法：组织相关各方集中访谈或座谈,能有效掌握政策实施过程情况以及项目的效果或不足，进而讨论相关各方如何改进不足，并提出确保项目长效运行的各种意见和建议，并将这些情况</w:t>
      </w:r>
      <w:r>
        <w:rPr>
          <w:rFonts w:hint="eastAsia" w:ascii="宋体" w:hAnsi="宋体"/>
          <w:szCs w:val="28"/>
          <w:lang w:eastAsia="zh-CN"/>
        </w:rPr>
        <w:t>，</w:t>
      </w:r>
      <w:r>
        <w:rPr>
          <w:rFonts w:hint="eastAsia" w:ascii="宋体" w:hAnsi="宋体"/>
          <w:szCs w:val="28"/>
        </w:rPr>
        <w:t>整理反映到评价报告中。</w:t>
      </w:r>
    </w:p>
    <w:p>
      <w:pPr>
        <w:snapToGrid w:val="0"/>
        <w:spacing w:line="560" w:lineRule="atLeast"/>
        <w:ind w:firstLine="560"/>
        <w:rPr>
          <w:rFonts w:ascii="宋体" w:hAnsi="宋体"/>
          <w:szCs w:val="28"/>
        </w:rPr>
      </w:pPr>
      <w:r>
        <w:rPr>
          <w:rFonts w:hint="eastAsia" w:ascii="宋体" w:hAnsi="宋体"/>
          <w:szCs w:val="28"/>
        </w:rPr>
        <w:t>（2）查证法：通过书面及口头方式，现场询问相关人员，核查相关资料是否真实、合理，从而对项目做出初步的判断和评价。</w:t>
      </w:r>
    </w:p>
    <w:p>
      <w:pPr>
        <w:snapToGrid w:val="0"/>
        <w:spacing w:line="560" w:lineRule="atLeast"/>
        <w:ind w:firstLine="560"/>
        <w:rPr>
          <w:rFonts w:ascii="宋体" w:hAnsi="宋体"/>
          <w:szCs w:val="28"/>
        </w:rPr>
      </w:pPr>
      <w:r>
        <w:rPr>
          <w:rFonts w:hint="eastAsia" w:ascii="宋体" w:hAnsi="宋体"/>
          <w:szCs w:val="28"/>
        </w:rPr>
        <w:t>（3）比较法：通过对绩效目标与实施效果、历史与当期情况的比较,综合分析绩效目标实现程度。</w:t>
      </w:r>
    </w:p>
    <w:p>
      <w:pPr>
        <w:snapToGrid w:val="0"/>
        <w:spacing w:line="560" w:lineRule="atLeast"/>
        <w:ind w:firstLine="560"/>
        <w:rPr>
          <w:rFonts w:ascii="宋体" w:hAnsi="宋体"/>
          <w:szCs w:val="28"/>
        </w:rPr>
      </w:pPr>
      <w:r>
        <w:rPr>
          <w:rFonts w:hint="eastAsia" w:ascii="宋体" w:hAnsi="宋体"/>
          <w:szCs w:val="28"/>
        </w:rPr>
        <w:t>（</w:t>
      </w:r>
      <w:r>
        <w:rPr>
          <w:rFonts w:ascii="宋体" w:hAnsi="宋体"/>
          <w:szCs w:val="28"/>
        </w:rPr>
        <w:t>4</w:t>
      </w:r>
      <w:r>
        <w:rPr>
          <w:rFonts w:hint="eastAsia" w:ascii="宋体" w:hAnsi="宋体"/>
          <w:szCs w:val="28"/>
        </w:rPr>
        <w:t>）其他评价方法。</w:t>
      </w:r>
    </w:p>
    <w:p>
      <w:pPr>
        <w:pStyle w:val="25"/>
        <w:snapToGrid w:val="0"/>
        <w:spacing w:line="560" w:lineRule="exact"/>
        <w:ind w:left="982" w:hanging="420" w:firstLineChars="0"/>
        <w:outlineLvl w:val="1"/>
        <w:rPr>
          <w:rFonts w:ascii="宋体" w:hAnsi="宋体"/>
          <w:b/>
          <w:szCs w:val="28"/>
        </w:rPr>
      </w:pPr>
      <w:r>
        <w:rPr>
          <w:rFonts w:hint="eastAsia" w:ascii="宋体" w:hAnsi="宋体"/>
          <w:b/>
          <w:szCs w:val="28"/>
          <w:highlight w:val="none"/>
        </w:rPr>
        <w:t>（</w:t>
      </w:r>
      <w:r>
        <w:rPr>
          <w:rFonts w:hint="eastAsia" w:ascii="宋体" w:hAnsi="宋体"/>
          <w:b/>
          <w:szCs w:val="28"/>
          <w:highlight w:val="none"/>
          <w:lang w:val="en-US" w:eastAsia="zh-CN"/>
        </w:rPr>
        <w:t>三</w:t>
      </w:r>
      <w:r>
        <w:rPr>
          <w:rFonts w:hint="eastAsia" w:ascii="宋体" w:hAnsi="宋体"/>
          <w:b/>
          <w:szCs w:val="28"/>
          <w:highlight w:val="none"/>
        </w:rPr>
        <w:t>）</w:t>
      </w:r>
      <w:r>
        <w:rPr>
          <w:rFonts w:hint="eastAsia" w:ascii="宋体" w:hAnsi="宋体"/>
          <w:b/>
          <w:szCs w:val="28"/>
        </w:rPr>
        <w:t>绩效评价工作过程</w:t>
      </w:r>
    </w:p>
    <w:p>
      <w:pPr>
        <w:snapToGrid w:val="0"/>
        <w:spacing w:line="560" w:lineRule="exact"/>
        <w:ind w:left="561" w:firstLine="0" w:firstLineChars="0"/>
        <w:outlineLvl w:val="3"/>
        <w:rPr>
          <w:rFonts w:ascii="宋体" w:hAnsi="宋体"/>
          <w:b/>
          <w:bCs/>
          <w:szCs w:val="28"/>
        </w:rPr>
      </w:pPr>
      <w:r>
        <w:rPr>
          <w:rFonts w:hint="eastAsia" w:ascii="宋体" w:hAnsi="宋体"/>
          <w:b/>
          <w:bCs/>
          <w:szCs w:val="28"/>
        </w:rPr>
        <w:t>1.前期准备</w:t>
      </w:r>
    </w:p>
    <w:p>
      <w:pPr>
        <w:snapToGrid w:val="0"/>
        <w:spacing w:line="560" w:lineRule="atLeast"/>
        <w:ind w:firstLine="560"/>
        <w:rPr>
          <w:rFonts w:ascii="宋体" w:hAnsi="宋体"/>
          <w:szCs w:val="28"/>
        </w:rPr>
      </w:pPr>
      <w:r>
        <w:rPr>
          <w:rFonts w:hint="eastAsia" w:ascii="宋体" w:hAnsi="宋体"/>
          <w:szCs w:val="28"/>
        </w:rPr>
        <w:t>（1）确定绩效评价对象。本次评价对象为重庆市铜梁区中医院单建式人防工程绩效。</w:t>
      </w:r>
    </w:p>
    <w:p>
      <w:pPr>
        <w:snapToGrid w:val="0"/>
        <w:spacing w:line="560" w:lineRule="atLeast"/>
        <w:ind w:firstLine="560"/>
        <w:rPr>
          <w:rFonts w:ascii="宋体" w:hAnsi="宋体"/>
          <w:szCs w:val="28"/>
        </w:rPr>
      </w:pPr>
      <w:r>
        <w:rPr>
          <w:rFonts w:hint="eastAsia" w:ascii="宋体" w:hAnsi="宋体"/>
          <w:szCs w:val="28"/>
        </w:rPr>
        <w:t>（2）制定绩效评价工作方案。本次经过初步调研，在区财政局的指导下根据有关规定和评价对象的特点，拟定详细的绩效评价工作方案。主要内容包括：评价依据、评价工作计划，拟采用的绩效评价指标、评价标准、评价方法及有关工作条件。</w:t>
      </w:r>
    </w:p>
    <w:p>
      <w:pPr>
        <w:snapToGrid w:val="0"/>
        <w:spacing w:line="560" w:lineRule="exact"/>
        <w:ind w:firstLine="561" w:firstLineChars="0"/>
        <w:outlineLvl w:val="3"/>
        <w:rPr>
          <w:rFonts w:ascii="宋体" w:hAnsi="宋体" w:cs="宋体"/>
          <w:b/>
          <w:bCs/>
          <w:kern w:val="0"/>
          <w:szCs w:val="28"/>
        </w:rPr>
      </w:pPr>
      <w:r>
        <w:rPr>
          <w:rFonts w:ascii="宋体" w:hAnsi="宋体" w:cs="宋体"/>
          <w:b/>
          <w:bCs/>
          <w:kern w:val="0"/>
          <w:szCs w:val="28"/>
        </w:rPr>
        <w:t>2</w:t>
      </w:r>
      <w:r>
        <w:rPr>
          <w:rFonts w:hint="eastAsia" w:ascii="宋体" w:hAnsi="宋体" w:cs="宋体"/>
          <w:b/>
          <w:bCs/>
          <w:kern w:val="0"/>
          <w:szCs w:val="28"/>
        </w:rPr>
        <w:t>.组织实施</w:t>
      </w:r>
    </w:p>
    <w:p>
      <w:pPr>
        <w:snapToGrid w:val="0"/>
        <w:spacing w:line="560" w:lineRule="atLeast"/>
        <w:ind w:firstLine="560"/>
        <w:rPr>
          <w:rFonts w:ascii="宋体" w:hAnsi="宋体"/>
          <w:szCs w:val="28"/>
        </w:rPr>
      </w:pPr>
      <w:r>
        <w:rPr>
          <w:rFonts w:hint="eastAsia" w:ascii="宋体" w:hAnsi="宋体"/>
          <w:szCs w:val="28"/>
        </w:rPr>
        <w:t>（1）收集并复核资料。被评价单位上报基础资料后，我们组织人员对资料进行复核。</w:t>
      </w:r>
    </w:p>
    <w:p>
      <w:pPr>
        <w:snapToGrid w:val="0"/>
        <w:spacing w:line="560" w:lineRule="atLeast"/>
        <w:ind w:firstLine="560"/>
        <w:rPr>
          <w:rFonts w:ascii="宋体" w:hAnsi="宋体"/>
          <w:szCs w:val="28"/>
        </w:rPr>
      </w:pPr>
      <w:r>
        <w:rPr>
          <w:rFonts w:hint="eastAsia" w:ascii="宋体" w:hAnsi="宋体"/>
          <w:szCs w:val="28"/>
        </w:rPr>
        <w:t>（2）对项目进行现场检查，并对资金的支付情况进行延伸检查。</w:t>
      </w:r>
    </w:p>
    <w:p>
      <w:pPr>
        <w:snapToGrid w:val="0"/>
        <w:spacing w:line="560" w:lineRule="atLeast"/>
        <w:ind w:firstLine="560"/>
        <w:rPr>
          <w:rFonts w:ascii="宋体" w:hAnsi="宋体"/>
          <w:szCs w:val="28"/>
        </w:rPr>
      </w:pPr>
      <w:r>
        <w:rPr>
          <w:rFonts w:hint="eastAsia" w:ascii="宋体" w:hAnsi="宋体"/>
          <w:szCs w:val="28"/>
        </w:rPr>
        <w:t>（3）深入项目单位及工作现场，通过听取情况介绍、实地考察、调查问卷、座谈询问、对照查证复核等方式，对项目有关情况和基础材料进行核实。</w:t>
      </w:r>
    </w:p>
    <w:p>
      <w:pPr>
        <w:snapToGrid w:val="0"/>
        <w:spacing w:line="560" w:lineRule="exact"/>
        <w:ind w:firstLine="561" w:firstLineChars="0"/>
        <w:outlineLvl w:val="3"/>
        <w:rPr>
          <w:rFonts w:ascii="宋体" w:hAnsi="宋体" w:cs="宋体"/>
          <w:b/>
          <w:bCs/>
          <w:kern w:val="0"/>
          <w:szCs w:val="28"/>
        </w:rPr>
      </w:pPr>
      <w:r>
        <w:rPr>
          <w:rFonts w:ascii="宋体" w:hAnsi="宋体" w:cs="宋体"/>
          <w:b/>
          <w:bCs/>
          <w:kern w:val="0"/>
          <w:szCs w:val="28"/>
        </w:rPr>
        <w:t>3</w:t>
      </w:r>
      <w:r>
        <w:rPr>
          <w:rFonts w:hint="eastAsia" w:ascii="宋体" w:hAnsi="宋体" w:cs="宋体"/>
          <w:b/>
          <w:bCs/>
          <w:kern w:val="0"/>
          <w:szCs w:val="28"/>
        </w:rPr>
        <w:t>.分析评价</w:t>
      </w:r>
    </w:p>
    <w:p>
      <w:pPr>
        <w:snapToGrid w:val="0"/>
        <w:spacing w:line="560" w:lineRule="atLeast"/>
        <w:ind w:firstLine="560"/>
        <w:rPr>
          <w:rFonts w:ascii="宋体" w:hAnsi="宋体"/>
          <w:szCs w:val="28"/>
        </w:rPr>
      </w:pPr>
      <w:r>
        <w:rPr>
          <w:rFonts w:hint="eastAsia" w:ascii="宋体" w:hAnsi="宋体"/>
          <w:szCs w:val="28"/>
        </w:rPr>
        <w:t>对评价对象的绩效情况进行全面的定量、定性分析和综合评价，形成绩效评价结论。</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lang w:val="en-US" w:eastAsia="zh-CN"/>
        </w:rPr>
        <w:t>三</w:t>
      </w:r>
      <w:r>
        <w:rPr>
          <w:rFonts w:hint="eastAsia" w:ascii="宋体" w:hAnsi="宋体"/>
          <w:b/>
          <w:szCs w:val="28"/>
        </w:rPr>
        <w:t>、绩效评价指标情况</w:t>
      </w:r>
    </w:p>
    <w:p>
      <w:pPr>
        <w:pStyle w:val="25"/>
        <w:snapToGrid w:val="0"/>
        <w:spacing w:line="560" w:lineRule="exact"/>
        <w:ind w:firstLine="562"/>
        <w:outlineLvl w:val="1"/>
        <w:rPr>
          <w:szCs w:val="28"/>
        </w:rPr>
      </w:pPr>
      <w:r>
        <w:rPr>
          <w:rFonts w:hint="eastAsia" w:ascii="宋体" w:hAnsi="宋体"/>
          <w:b/>
          <w:szCs w:val="28"/>
        </w:rPr>
        <w:t>（一）投入类指标</w:t>
      </w:r>
    </w:p>
    <w:p>
      <w:pPr>
        <w:snapToGrid w:val="0"/>
        <w:spacing w:line="560" w:lineRule="atLeast"/>
        <w:ind w:firstLine="560"/>
        <w:rPr>
          <w:rFonts w:ascii="宋体" w:hAnsi="宋体"/>
          <w:szCs w:val="28"/>
        </w:rPr>
      </w:pPr>
      <w:r>
        <w:rPr>
          <w:rFonts w:hint="eastAsia" w:ascii="宋体" w:hAnsi="宋体"/>
          <w:szCs w:val="28"/>
        </w:rPr>
        <w:t>涉及投入的二级指标为：项目立项、绩效目标及资金落实。各二级指标下设三级指标。</w:t>
      </w:r>
    </w:p>
    <w:p>
      <w:pPr>
        <w:snapToGrid w:val="0"/>
        <w:spacing w:line="560" w:lineRule="atLeast"/>
        <w:ind w:firstLine="560"/>
        <w:rPr>
          <w:rFonts w:ascii="宋体" w:hAnsi="宋体"/>
          <w:szCs w:val="28"/>
        </w:rPr>
      </w:pPr>
      <w:r>
        <w:rPr>
          <w:rFonts w:hint="eastAsia" w:ascii="宋体" w:hAnsi="宋体"/>
          <w:szCs w:val="28"/>
        </w:rPr>
        <w:t>该项总分20分，实际得分17分，扣分3分，主要扣分原因为项目绩效评价指标填写不规范，项目资金未及时到位。具体情况如下：</w:t>
      </w:r>
    </w:p>
    <w:tbl>
      <w:tblPr>
        <w:tblStyle w:val="18"/>
        <w:tblW w:w="8258" w:type="dxa"/>
        <w:tblInd w:w="113"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14"/>
        <w:gridCol w:w="941"/>
        <w:gridCol w:w="4678"/>
        <w:gridCol w:w="645"/>
        <w:gridCol w:w="780"/>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blHeader/>
        </w:trPr>
        <w:tc>
          <w:tcPr>
            <w:tcW w:w="1214" w:type="dxa"/>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二级指标</w:t>
            </w:r>
          </w:p>
        </w:tc>
        <w:tc>
          <w:tcPr>
            <w:tcW w:w="941" w:type="dxa"/>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三级指标</w:t>
            </w:r>
          </w:p>
        </w:tc>
        <w:tc>
          <w:tcPr>
            <w:tcW w:w="4678" w:type="dxa"/>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评分标准</w:t>
            </w:r>
          </w:p>
        </w:tc>
        <w:tc>
          <w:tcPr>
            <w:tcW w:w="645" w:type="dxa"/>
            <w:shd w:val="clear" w:color="auto" w:fill="auto"/>
            <w:noWrap/>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分值</w:t>
            </w:r>
          </w:p>
        </w:tc>
        <w:tc>
          <w:tcPr>
            <w:tcW w:w="780" w:type="dxa"/>
            <w:shd w:val="clear" w:color="auto" w:fill="auto"/>
            <w:noWrap/>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得分</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167" w:hRule="atLeast"/>
        </w:trPr>
        <w:tc>
          <w:tcPr>
            <w:tcW w:w="1214" w:type="dxa"/>
            <w:vMerge w:val="restart"/>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项目立项</w:t>
            </w:r>
          </w:p>
        </w:tc>
        <w:tc>
          <w:tcPr>
            <w:tcW w:w="941" w:type="dxa"/>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立项依据充分性</w:t>
            </w:r>
          </w:p>
        </w:tc>
        <w:tc>
          <w:tcPr>
            <w:tcW w:w="4678"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①项目立项是否符合国家法律法规、国民经济发展规划和相关政策；未发现问题得2.5分，否则不得分。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②项目立项是否与部门职责范围相符，属于部门履职所需。未发现问题得2.5分，否则不得分。</w:t>
            </w:r>
          </w:p>
        </w:tc>
        <w:tc>
          <w:tcPr>
            <w:tcW w:w="645"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5</w:t>
            </w:r>
          </w:p>
        </w:tc>
        <w:tc>
          <w:tcPr>
            <w:tcW w:w="780"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941" w:type="dxa"/>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立项程序</w:t>
            </w:r>
            <w:r>
              <w:rPr>
                <w:rFonts w:hint="eastAsia" w:ascii="方正仿宋_GBK" w:hAnsi="等线" w:eastAsia="方正仿宋_GBK" w:cs="宋体"/>
                <w:color w:val="000000"/>
                <w:kern w:val="0"/>
                <w:sz w:val="18"/>
                <w:szCs w:val="18"/>
              </w:rPr>
              <w:br w:type="textWrapping"/>
            </w:r>
            <w:r>
              <w:rPr>
                <w:rFonts w:hint="eastAsia" w:ascii="方正仿宋_GBK" w:hAnsi="等线" w:eastAsia="方正仿宋_GBK" w:cs="宋体"/>
                <w:color w:val="000000"/>
                <w:kern w:val="0"/>
                <w:sz w:val="18"/>
                <w:szCs w:val="18"/>
              </w:rPr>
              <w:t>规范性</w:t>
            </w:r>
          </w:p>
        </w:tc>
        <w:tc>
          <w:tcPr>
            <w:tcW w:w="4678"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①项目是否按照规定的程序申请设立，审批文件、材料是否符合相关要求；未发现问题得2.5分，否则不得分。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②事前是否已经过必要的可行性研究、专家论证、风险评估、绩效评估、集体决策。未发现问题得2.5分，缺1项扣1分，扣完为止。</w:t>
            </w:r>
          </w:p>
        </w:tc>
        <w:tc>
          <w:tcPr>
            <w:tcW w:w="645"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5</w:t>
            </w:r>
          </w:p>
        </w:tc>
        <w:tc>
          <w:tcPr>
            <w:tcW w:w="780"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211" w:hRule="atLeast"/>
        </w:trPr>
        <w:tc>
          <w:tcPr>
            <w:tcW w:w="1214" w:type="dxa"/>
            <w:vMerge w:val="restart"/>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绩效目标</w:t>
            </w:r>
          </w:p>
          <w:p>
            <w:pPr>
              <w:widowControl/>
              <w:spacing w:line="240" w:lineRule="auto"/>
              <w:ind w:firstLine="0" w:firstLineChars="0"/>
              <w:jc w:val="center"/>
              <w:rPr>
                <w:rFonts w:ascii="方正仿宋_GBK" w:hAnsi="等线" w:eastAsia="方正仿宋_GBK" w:cs="宋体"/>
                <w:color w:val="000000"/>
                <w:kern w:val="0"/>
                <w:sz w:val="18"/>
                <w:szCs w:val="18"/>
              </w:rPr>
            </w:pPr>
          </w:p>
        </w:tc>
        <w:tc>
          <w:tcPr>
            <w:tcW w:w="941" w:type="dxa"/>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绩效目标</w:t>
            </w:r>
            <w:r>
              <w:rPr>
                <w:rFonts w:hint="eastAsia" w:ascii="方正仿宋_GBK" w:hAnsi="等线" w:eastAsia="方正仿宋_GBK" w:cs="宋体"/>
                <w:color w:val="000000"/>
                <w:kern w:val="0"/>
                <w:sz w:val="18"/>
                <w:szCs w:val="18"/>
              </w:rPr>
              <w:br w:type="textWrapping"/>
            </w:r>
            <w:r>
              <w:rPr>
                <w:rFonts w:hint="eastAsia" w:ascii="方正仿宋_GBK" w:hAnsi="等线" w:eastAsia="方正仿宋_GBK" w:cs="宋体"/>
                <w:color w:val="000000"/>
                <w:kern w:val="0"/>
                <w:sz w:val="18"/>
                <w:szCs w:val="18"/>
              </w:rPr>
              <w:t>合理性</w:t>
            </w:r>
          </w:p>
        </w:tc>
        <w:tc>
          <w:tcPr>
            <w:tcW w:w="4678"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①与区县主管部门职责密切相关的得1.5分，否则不得分；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②项目预期产出、效益和效果符合正常的业绩水平的得1.5分，否则不得分。</w:t>
            </w:r>
          </w:p>
        </w:tc>
        <w:tc>
          <w:tcPr>
            <w:tcW w:w="645"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3</w:t>
            </w:r>
          </w:p>
        </w:tc>
        <w:tc>
          <w:tcPr>
            <w:tcW w:w="780"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3</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073" w:hRule="atLeast"/>
        </w:trPr>
        <w:tc>
          <w:tcPr>
            <w:tcW w:w="1214" w:type="dxa"/>
            <w:vMerge w:val="continue"/>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941" w:type="dxa"/>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绩效指标明确性</w:t>
            </w:r>
          </w:p>
        </w:tc>
        <w:tc>
          <w:tcPr>
            <w:tcW w:w="4678" w:type="dxa"/>
            <w:shd w:val="clear" w:color="auto" w:fill="auto"/>
            <w:vAlign w:val="center"/>
          </w:tcPr>
          <w:p>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①将项目绩效目标细化分解为具体的绩效指标的得1分，否则不得分；</w:t>
            </w:r>
          </w:p>
          <w:p>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②指标值是否清晰、可衡量，是得1分，否则不得分。</w:t>
            </w:r>
          </w:p>
        </w:tc>
        <w:tc>
          <w:tcPr>
            <w:tcW w:w="645" w:type="dxa"/>
            <w:shd w:val="clear" w:color="auto" w:fill="auto"/>
            <w:noWrap/>
            <w:vAlign w:val="center"/>
          </w:tcPr>
          <w:p>
            <w:pPr>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80" w:type="dxa"/>
            <w:shd w:val="clear" w:color="auto" w:fill="auto"/>
            <w:noWrap/>
            <w:vAlign w:val="center"/>
          </w:tcPr>
          <w:p>
            <w:pPr>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1.5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047" w:hRule="atLeast"/>
        </w:trPr>
        <w:tc>
          <w:tcPr>
            <w:tcW w:w="1214" w:type="dxa"/>
            <w:vMerge w:val="restart"/>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资金落实</w:t>
            </w:r>
          </w:p>
        </w:tc>
        <w:tc>
          <w:tcPr>
            <w:tcW w:w="941" w:type="dxa"/>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highlight w:val="none"/>
              </w:rPr>
            </w:pPr>
            <w:r>
              <w:rPr>
                <w:rFonts w:hint="eastAsia" w:ascii="微软雅黑" w:hAnsi="微软雅黑" w:eastAsia="微软雅黑" w:cs="微软雅黑"/>
                <w:color w:val="000000"/>
                <w:kern w:val="0"/>
                <w:sz w:val="18"/>
                <w:szCs w:val="18"/>
                <w:highlight w:val="none"/>
              </w:rPr>
              <w:t>资金到位率</w:t>
            </w:r>
          </w:p>
        </w:tc>
        <w:tc>
          <w:tcPr>
            <w:tcW w:w="4678"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highlight w:val="none"/>
              </w:rPr>
            </w:pPr>
            <w:r>
              <w:rPr>
                <w:rFonts w:hint="eastAsia" w:ascii="方正仿宋_GBK" w:hAnsi="等线" w:eastAsia="方正仿宋_GBK" w:cs="宋体"/>
                <w:color w:val="000000"/>
                <w:kern w:val="0"/>
                <w:sz w:val="18"/>
                <w:szCs w:val="18"/>
                <w:highlight w:val="none"/>
              </w:rPr>
              <w:t>①财政资金到位率=100%，得2.5分；</w:t>
            </w:r>
          </w:p>
          <w:p>
            <w:pPr>
              <w:widowControl/>
              <w:spacing w:line="240" w:lineRule="auto"/>
              <w:ind w:firstLine="0" w:firstLineChars="0"/>
              <w:jc w:val="left"/>
              <w:rPr>
                <w:rFonts w:ascii="方正仿宋_GBK" w:hAnsi="等线" w:eastAsia="方正仿宋_GBK" w:cs="宋体"/>
                <w:color w:val="000000"/>
                <w:kern w:val="0"/>
                <w:sz w:val="18"/>
                <w:szCs w:val="18"/>
                <w:highlight w:val="none"/>
              </w:rPr>
            </w:pPr>
            <w:r>
              <w:rPr>
                <w:rFonts w:hint="eastAsia" w:ascii="方正仿宋_GBK" w:hAnsi="等线" w:eastAsia="方正仿宋_GBK" w:cs="宋体"/>
                <w:color w:val="000000"/>
                <w:kern w:val="0"/>
                <w:sz w:val="18"/>
                <w:szCs w:val="18"/>
                <w:highlight w:val="none"/>
              </w:rPr>
              <w:t>②财政资金到位率在95%（含）-100%之间，得2分；</w:t>
            </w:r>
          </w:p>
          <w:p>
            <w:pPr>
              <w:widowControl/>
              <w:spacing w:line="240" w:lineRule="auto"/>
              <w:ind w:firstLine="0" w:firstLineChars="0"/>
              <w:jc w:val="left"/>
              <w:rPr>
                <w:rFonts w:ascii="方正仿宋_GBK" w:hAnsi="等线" w:eastAsia="方正仿宋_GBK" w:cs="宋体"/>
                <w:color w:val="000000"/>
                <w:kern w:val="0"/>
                <w:sz w:val="18"/>
                <w:szCs w:val="18"/>
                <w:highlight w:val="none"/>
              </w:rPr>
            </w:pPr>
            <w:r>
              <w:rPr>
                <w:rFonts w:hint="eastAsia" w:ascii="方正仿宋_GBK" w:hAnsi="等线" w:eastAsia="方正仿宋_GBK" w:cs="宋体"/>
                <w:color w:val="000000"/>
                <w:kern w:val="0"/>
                <w:sz w:val="18"/>
                <w:szCs w:val="18"/>
                <w:highlight w:val="none"/>
              </w:rPr>
              <w:t>③财政资金到位率在90%（含）-95%之间，得1.5分；</w:t>
            </w:r>
          </w:p>
          <w:p>
            <w:pPr>
              <w:widowControl/>
              <w:spacing w:line="240" w:lineRule="auto"/>
              <w:ind w:firstLine="0" w:firstLineChars="0"/>
              <w:jc w:val="left"/>
              <w:rPr>
                <w:rFonts w:ascii="方正仿宋_GBK" w:hAnsi="等线" w:eastAsia="方正仿宋_GBK" w:cs="宋体"/>
                <w:color w:val="000000"/>
                <w:kern w:val="0"/>
                <w:sz w:val="18"/>
                <w:szCs w:val="18"/>
                <w:highlight w:val="none"/>
              </w:rPr>
            </w:pPr>
            <w:r>
              <w:rPr>
                <w:rFonts w:hint="eastAsia" w:ascii="方正仿宋_GBK" w:hAnsi="等线" w:eastAsia="方正仿宋_GBK" w:cs="宋体"/>
                <w:color w:val="000000"/>
                <w:kern w:val="0"/>
                <w:sz w:val="18"/>
                <w:szCs w:val="18"/>
                <w:highlight w:val="none"/>
              </w:rPr>
              <w:t>④财政资金到位率在85%（含）-90%之间，得1分；</w:t>
            </w:r>
          </w:p>
          <w:p>
            <w:pPr>
              <w:widowControl/>
              <w:spacing w:line="240" w:lineRule="auto"/>
              <w:ind w:firstLine="0" w:firstLineChars="0"/>
              <w:jc w:val="left"/>
              <w:rPr>
                <w:rFonts w:ascii="方正仿宋_GBK" w:hAnsi="等线" w:eastAsia="方正仿宋_GBK" w:cs="宋体"/>
                <w:color w:val="000000"/>
                <w:kern w:val="0"/>
                <w:sz w:val="18"/>
                <w:szCs w:val="18"/>
                <w:highlight w:val="none"/>
              </w:rPr>
            </w:pPr>
            <w:r>
              <w:rPr>
                <w:rFonts w:hint="eastAsia" w:ascii="方正仿宋_GBK" w:hAnsi="等线" w:eastAsia="方正仿宋_GBK" w:cs="宋体"/>
                <w:color w:val="000000"/>
                <w:kern w:val="0"/>
                <w:sz w:val="18"/>
                <w:szCs w:val="18"/>
                <w:highlight w:val="none"/>
              </w:rPr>
              <w:t>⑤财政资金到位率未达85%，不得分。</w:t>
            </w:r>
          </w:p>
        </w:tc>
        <w:tc>
          <w:tcPr>
            <w:tcW w:w="645"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2.5</w:t>
            </w:r>
          </w:p>
        </w:tc>
        <w:tc>
          <w:tcPr>
            <w:tcW w:w="780"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047" w:hRule="atLeast"/>
        </w:trPr>
        <w:tc>
          <w:tcPr>
            <w:tcW w:w="1214" w:type="dxa"/>
            <w:vMerge w:val="continue"/>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p>
        </w:tc>
        <w:tc>
          <w:tcPr>
            <w:tcW w:w="941" w:type="dxa"/>
            <w:shd w:val="clear" w:color="auto" w:fill="auto"/>
            <w:vAlign w:val="center"/>
          </w:tcPr>
          <w:p>
            <w:pPr>
              <w:widowControl/>
              <w:spacing w:line="240" w:lineRule="auto"/>
              <w:ind w:firstLine="0" w:firstLineChars="0"/>
              <w:jc w:val="center"/>
              <w:rPr>
                <w:rFonts w:ascii="微软雅黑" w:hAnsi="微软雅黑" w:eastAsia="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rPr>
              <w:t>资金到位及时率</w:t>
            </w:r>
          </w:p>
        </w:tc>
        <w:tc>
          <w:tcPr>
            <w:tcW w:w="4678"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highlight w:val="none"/>
              </w:rPr>
            </w:pPr>
            <w:r>
              <w:rPr>
                <w:rFonts w:hint="eastAsia" w:ascii="方正仿宋_GBK" w:hAnsi="等线" w:eastAsia="方正仿宋_GBK" w:cs="宋体"/>
                <w:color w:val="000000"/>
                <w:kern w:val="0"/>
                <w:sz w:val="18"/>
                <w:szCs w:val="18"/>
                <w:highlight w:val="none"/>
              </w:rPr>
              <w:t>①资金到位及时率=100%，得2.5分；</w:t>
            </w:r>
          </w:p>
          <w:p>
            <w:pPr>
              <w:widowControl/>
              <w:spacing w:line="240" w:lineRule="auto"/>
              <w:ind w:firstLine="0" w:firstLineChars="0"/>
              <w:jc w:val="left"/>
              <w:rPr>
                <w:rFonts w:ascii="方正仿宋_GBK" w:hAnsi="等线" w:eastAsia="方正仿宋_GBK" w:cs="宋体"/>
                <w:color w:val="000000"/>
                <w:kern w:val="0"/>
                <w:sz w:val="18"/>
                <w:szCs w:val="18"/>
                <w:highlight w:val="none"/>
              </w:rPr>
            </w:pPr>
            <w:r>
              <w:rPr>
                <w:rFonts w:hint="eastAsia" w:ascii="方正仿宋_GBK" w:hAnsi="等线" w:eastAsia="方正仿宋_GBK" w:cs="宋体"/>
                <w:color w:val="000000"/>
                <w:kern w:val="0"/>
                <w:sz w:val="18"/>
                <w:szCs w:val="18"/>
                <w:highlight w:val="none"/>
              </w:rPr>
              <w:t>②资金到位及时率在95%（含）-100%之间，得2分；</w:t>
            </w:r>
          </w:p>
          <w:p>
            <w:pPr>
              <w:widowControl/>
              <w:spacing w:line="240" w:lineRule="auto"/>
              <w:ind w:firstLine="0" w:firstLineChars="0"/>
              <w:jc w:val="left"/>
              <w:rPr>
                <w:rFonts w:ascii="方正仿宋_GBK" w:hAnsi="等线" w:eastAsia="方正仿宋_GBK" w:cs="宋体"/>
                <w:color w:val="000000"/>
                <w:kern w:val="0"/>
                <w:sz w:val="18"/>
                <w:szCs w:val="18"/>
                <w:highlight w:val="none"/>
              </w:rPr>
            </w:pPr>
            <w:r>
              <w:rPr>
                <w:rFonts w:hint="eastAsia" w:ascii="方正仿宋_GBK" w:hAnsi="等线" w:eastAsia="方正仿宋_GBK" w:cs="宋体"/>
                <w:color w:val="000000"/>
                <w:kern w:val="0"/>
                <w:sz w:val="18"/>
                <w:szCs w:val="18"/>
                <w:highlight w:val="none"/>
              </w:rPr>
              <w:t>③资金到位及时率在90%（含）-95%之间，得1.5分；</w:t>
            </w:r>
          </w:p>
          <w:p>
            <w:pPr>
              <w:widowControl/>
              <w:spacing w:line="240" w:lineRule="auto"/>
              <w:ind w:firstLine="0" w:firstLineChars="0"/>
              <w:jc w:val="left"/>
              <w:rPr>
                <w:rFonts w:ascii="方正仿宋_GBK" w:hAnsi="等线" w:eastAsia="方正仿宋_GBK" w:cs="宋体"/>
                <w:color w:val="000000"/>
                <w:kern w:val="0"/>
                <w:sz w:val="18"/>
                <w:szCs w:val="18"/>
                <w:highlight w:val="none"/>
              </w:rPr>
            </w:pPr>
            <w:r>
              <w:rPr>
                <w:rFonts w:hint="eastAsia" w:ascii="方正仿宋_GBK" w:hAnsi="等线" w:eastAsia="方正仿宋_GBK" w:cs="宋体"/>
                <w:color w:val="000000"/>
                <w:kern w:val="0"/>
                <w:sz w:val="18"/>
                <w:szCs w:val="18"/>
                <w:highlight w:val="none"/>
              </w:rPr>
              <w:t>④资金到位及时率在85%（含）-90%之间，得1分；</w:t>
            </w:r>
          </w:p>
          <w:p>
            <w:pPr>
              <w:widowControl/>
              <w:spacing w:line="240" w:lineRule="auto"/>
              <w:ind w:firstLine="0" w:firstLineChars="0"/>
              <w:jc w:val="left"/>
              <w:rPr>
                <w:rFonts w:ascii="方正仿宋_GBK" w:hAnsi="等线" w:eastAsia="方正仿宋_GBK" w:cs="宋体"/>
                <w:color w:val="000000"/>
                <w:kern w:val="0"/>
                <w:sz w:val="18"/>
                <w:szCs w:val="18"/>
                <w:highlight w:val="none"/>
              </w:rPr>
            </w:pPr>
            <w:r>
              <w:rPr>
                <w:rFonts w:hint="eastAsia" w:ascii="方正仿宋_GBK" w:hAnsi="等线" w:eastAsia="方正仿宋_GBK" w:cs="宋体"/>
                <w:color w:val="000000"/>
                <w:kern w:val="0"/>
                <w:sz w:val="18"/>
                <w:szCs w:val="18"/>
                <w:highlight w:val="none"/>
              </w:rPr>
              <w:t>⑤资金到位及时率未达85%，不得分。</w:t>
            </w:r>
          </w:p>
        </w:tc>
        <w:tc>
          <w:tcPr>
            <w:tcW w:w="645"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2.5</w:t>
            </w:r>
          </w:p>
        </w:tc>
        <w:tc>
          <w:tcPr>
            <w:tcW w:w="780"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0</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01" w:hRule="atLeast"/>
        </w:trPr>
        <w:tc>
          <w:tcPr>
            <w:tcW w:w="1214" w:type="dxa"/>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小计</w:t>
            </w:r>
          </w:p>
        </w:tc>
        <w:tc>
          <w:tcPr>
            <w:tcW w:w="941" w:type="dxa"/>
            <w:shd w:val="clear" w:color="auto" w:fill="auto"/>
            <w:vAlign w:val="center"/>
          </w:tcPr>
          <w:p>
            <w:pPr>
              <w:widowControl/>
              <w:spacing w:line="240" w:lineRule="auto"/>
              <w:ind w:firstLine="0" w:firstLineChars="0"/>
              <w:jc w:val="center"/>
              <w:rPr>
                <w:rFonts w:ascii="微软雅黑" w:hAnsi="微软雅黑" w:eastAsia="微软雅黑" w:cs="微软雅黑"/>
                <w:color w:val="000000"/>
                <w:kern w:val="0"/>
                <w:sz w:val="18"/>
                <w:szCs w:val="18"/>
              </w:rPr>
            </w:pPr>
          </w:p>
        </w:tc>
        <w:tc>
          <w:tcPr>
            <w:tcW w:w="4678"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645"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20</w:t>
            </w:r>
          </w:p>
        </w:tc>
        <w:tc>
          <w:tcPr>
            <w:tcW w:w="780"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17</w:t>
            </w:r>
          </w:p>
        </w:tc>
      </w:tr>
    </w:tbl>
    <w:p>
      <w:pPr>
        <w:snapToGrid w:val="0"/>
        <w:spacing w:line="560" w:lineRule="atLeast"/>
        <w:ind w:firstLine="560"/>
        <w:rPr>
          <w:rFonts w:ascii="宋体" w:hAnsi="宋体"/>
          <w:szCs w:val="28"/>
        </w:rPr>
      </w:pPr>
      <w:r>
        <w:rPr>
          <w:rFonts w:ascii="宋体" w:hAnsi="宋体"/>
          <w:szCs w:val="28"/>
        </w:rPr>
        <w:t>1.</w:t>
      </w:r>
      <w:r>
        <w:rPr>
          <w:rFonts w:hint="eastAsia" w:ascii="宋体" w:hAnsi="宋体"/>
          <w:szCs w:val="28"/>
        </w:rPr>
        <w:t>立项依据充分性标准分值为5分。国家主席习近平在2016年5月13日第七次全国人民防空会议强调人防工作的重要性，将其纳入“十三五”规划。根据《中华人民共和国人民防空法》、《重庆市人民防空条例》的有关规定和《重庆市人防工程建设总体规划(修编)及部分公共人</w:t>
      </w:r>
      <w:r>
        <w:rPr>
          <w:rFonts w:hint="eastAsia" w:ascii="宋体" w:hAnsi="宋体"/>
          <w:szCs w:val="28"/>
          <w:lang w:eastAsia="zh-CN"/>
        </w:rPr>
        <w:t>防工</w:t>
      </w:r>
      <w:r>
        <w:rPr>
          <w:rFonts w:hint="eastAsia" w:ascii="宋体" w:hAnsi="宋体"/>
          <w:szCs w:val="28"/>
        </w:rPr>
        <w:t>程控制性详细规划(2013-2020)》，为贯彻落实中共中央《关于加强民防空工作的决定》(中发[2001]19号)和中共重庆市委《关于加强民防空工作的决定》(渝委发[2001]35号)的文件精神，经过充</w:t>
      </w:r>
      <w:r>
        <w:rPr>
          <w:rFonts w:hint="eastAsia" w:ascii="宋体" w:hAnsi="宋体"/>
          <w:szCs w:val="28"/>
          <w:lang w:eastAsia="zh-CN"/>
        </w:rPr>
        <w:t>分研</w:t>
      </w:r>
      <w:r>
        <w:rPr>
          <w:rFonts w:hint="eastAsia" w:ascii="宋体" w:hAnsi="宋体"/>
          <w:szCs w:val="28"/>
        </w:rPr>
        <w:t>究、实地勘察和项目前期论证，对本项目进行立项。立项符合国家法律法规、国民经济发展规划和相关政策，与铜梁区人民防空办公室部门职责相符。本次绩效评价得分5分。</w:t>
      </w:r>
    </w:p>
    <w:p>
      <w:pPr>
        <w:snapToGrid w:val="0"/>
        <w:spacing w:line="560" w:lineRule="atLeast"/>
        <w:ind w:firstLine="560"/>
        <w:rPr>
          <w:rFonts w:ascii="宋体" w:hAnsi="宋体"/>
          <w:szCs w:val="28"/>
        </w:rPr>
      </w:pPr>
      <w:r>
        <w:rPr>
          <w:rFonts w:ascii="宋体" w:hAnsi="宋体"/>
          <w:szCs w:val="28"/>
        </w:rPr>
        <w:t>2.</w:t>
      </w:r>
      <w:r>
        <w:rPr>
          <w:rFonts w:hint="eastAsia" w:ascii="宋体" w:hAnsi="宋体"/>
          <w:szCs w:val="28"/>
        </w:rPr>
        <w:t>立项程序规范性标准分值为5分。经检查，项目编制了可行性研究报告，并取得可行性研究报告的评估报告和重庆市人防办、区发改委对可行性研究报告的批复。2020年5月19日取得区发改委的立项批复。项目立项程序规范，本次绩效评价得分5分。</w:t>
      </w:r>
    </w:p>
    <w:p>
      <w:pPr>
        <w:snapToGrid w:val="0"/>
        <w:spacing w:line="560" w:lineRule="atLeast"/>
        <w:ind w:firstLine="560"/>
        <w:rPr>
          <w:rFonts w:ascii="宋体" w:hAnsi="宋体"/>
          <w:szCs w:val="28"/>
        </w:rPr>
      </w:pPr>
      <w:r>
        <w:rPr>
          <w:rFonts w:ascii="宋体" w:hAnsi="宋体"/>
          <w:szCs w:val="28"/>
        </w:rPr>
        <w:t>3.</w:t>
      </w:r>
      <w:r>
        <w:rPr>
          <w:rFonts w:hint="eastAsia" w:ascii="宋体" w:hAnsi="宋体"/>
          <w:szCs w:val="28"/>
        </w:rPr>
        <w:t>绩效目标合理性标准分值为3分，经检查，项目可行性研究报告提出的产出、效益、效果符合实际，且与主管部门职责密切相关。绩效目标合理性，本次绩效目标合理性得3分。</w:t>
      </w:r>
    </w:p>
    <w:p>
      <w:pPr>
        <w:snapToGrid w:val="0"/>
        <w:spacing w:line="560" w:lineRule="atLeast"/>
        <w:ind w:firstLine="560"/>
        <w:rPr>
          <w:rFonts w:ascii="宋体" w:hAnsi="宋体"/>
          <w:szCs w:val="28"/>
        </w:rPr>
      </w:pPr>
      <w:r>
        <w:rPr>
          <w:rFonts w:hint="eastAsia" w:ascii="宋体" w:hAnsi="宋体"/>
          <w:szCs w:val="28"/>
        </w:rPr>
        <w:t>4</w:t>
      </w:r>
      <w:r>
        <w:rPr>
          <w:rFonts w:ascii="宋体" w:hAnsi="宋体"/>
          <w:szCs w:val="28"/>
        </w:rPr>
        <w:t>.</w:t>
      </w:r>
      <w:r>
        <w:rPr>
          <w:rFonts w:hint="eastAsia" w:ascii="宋体" w:hAnsi="宋体"/>
          <w:szCs w:val="28"/>
        </w:rPr>
        <w:t>绩效指标明确性标准分值为2分。《铜梁区中医院单建式人防工程工作绩效目标表》设定1级指标3个，2级指标5个，3级指标5个。经检查，数量指标和时效指标填写不规范，指标值应用数字或合格、达标等第三方可衡量的文字表示。指标值为文字的，指标性质用“无”表示。该项目扣0.5分，本次绩效评价得分1.5分。</w:t>
      </w:r>
    </w:p>
    <w:p>
      <w:pPr>
        <w:snapToGrid w:val="0"/>
        <w:spacing w:line="560" w:lineRule="atLeast"/>
        <w:ind w:firstLine="560"/>
        <w:rPr>
          <w:rFonts w:ascii="宋体" w:hAnsi="宋体"/>
          <w:szCs w:val="28"/>
        </w:rPr>
      </w:pPr>
      <w:r>
        <w:rPr>
          <w:rFonts w:hint="eastAsia" w:ascii="宋体" w:hAnsi="宋体"/>
          <w:szCs w:val="28"/>
        </w:rPr>
        <w:t>5</w:t>
      </w:r>
      <w:r>
        <w:rPr>
          <w:rFonts w:ascii="宋体" w:hAnsi="宋体"/>
          <w:szCs w:val="28"/>
        </w:rPr>
        <w:t>.</w:t>
      </w:r>
      <w:r>
        <w:rPr>
          <w:rFonts w:hint="eastAsia" w:ascii="宋体" w:hAnsi="宋体"/>
          <w:szCs w:val="28"/>
        </w:rPr>
        <w:t>资金到位率标准分值为2.5分。根据铜梁区财政局《关于下达2024年区中医院单建式人防工程项目预算和2023年区中医院单建式人防工程项目清算预算资金的通</w:t>
      </w:r>
      <w:r>
        <w:rPr>
          <w:rFonts w:hint="eastAsia" w:ascii="宋体" w:hAnsi="宋体"/>
          <w:szCs w:val="28"/>
          <w:lang w:val="en-US" w:eastAsia="zh-CN"/>
        </w:rPr>
        <w:t>知</w:t>
      </w:r>
      <w:r>
        <w:rPr>
          <w:rFonts w:hint="eastAsia" w:ascii="宋体" w:hAnsi="宋体"/>
          <w:szCs w:val="28"/>
        </w:rPr>
        <w:t>》（铜财〔2024〕86号），2023年下达项目预算资金733.29万元，经检查，预算资金已全部到位。本次绩效评价得分2.5分。</w:t>
      </w:r>
    </w:p>
    <w:p>
      <w:pPr>
        <w:snapToGrid w:val="0"/>
        <w:spacing w:line="560" w:lineRule="atLeast"/>
        <w:ind w:firstLine="560"/>
        <w:rPr>
          <w:rFonts w:ascii="宋体" w:hAnsi="宋体"/>
          <w:szCs w:val="28"/>
        </w:rPr>
      </w:pPr>
      <w:r>
        <w:rPr>
          <w:rFonts w:hint="eastAsia" w:ascii="宋体" w:hAnsi="宋体"/>
          <w:szCs w:val="28"/>
        </w:rPr>
        <w:t>6.资金到位及时率标准分值为2.5分。根据合同约定2023年应支付的工程项目款合计2,628.65万元，实际到位并支付733.39万元，到位及时率27.90%。该项目扣2.5分，本次绩效评价得分0分。</w:t>
      </w:r>
    </w:p>
    <w:p>
      <w:pPr>
        <w:snapToGrid w:val="0"/>
        <w:spacing w:line="560" w:lineRule="atLeast"/>
        <w:ind w:firstLine="562"/>
        <w:outlineLvl w:val="1"/>
        <w:rPr>
          <w:rFonts w:ascii="宋体" w:hAnsi="宋体"/>
          <w:b/>
          <w:szCs w:val="28"/>
        </w:rPr>
      </w:pPr>
      <w:r>
        <w:rPr>
          <w:rFonts w:hint="eastAsia" w:ascii="宋体" w:hAnsi="宋体"/>
          <w:b/>
          <w:szCs w:val="28"/>
        </w:rPr>
        <w:t>（二）管理类指标</w:t>
      </w:r>
    </w:p>
    <w:p>
      <w:pPr>
        <w:snapToGrid w:val="0"/>
        <w:spacing w:line="560" w:lineRule="atLeast"/>
        <w:ind w:firstLine="560"/>
        <w:rPr>
          <w:rFonts w:ascii="宋体" w:hAnsi="宋体"/>
          <w:szCs w:val="28"/>
        </w:rPr>
      </w:pPr>
      <w:r>
        <w:rPr>
          <w:rFonts w:hint="eastAsia" w:ascii="宋体" w:hAnsi="宋体"/>
          <w:szCs w:val="28"/>
        </w:rPr>
        <w:t>涉及管理的二级指标为：业务管理、资金管理。各二级指标下设三级指标。</w:t>
      </w:r>
    </w:p>
    <w:p>
      <w:pPr>
        <w:snapToGrid w:val="0"/>
        <w:spacing w:line="560" w:lineRule="atLeast"/>
        <w:ind w:firstLine="560"/>
        <w:rPr>
          <w:rFonts w:ascii="宋体" w:hAnsi="宋体"/>
          <w:szCs w:val="28"/>
        </w:rPr>
      </w:pPr>
      <w:r>
        <w:rPr>
          <w:rFonts w:hint="eastAsia" w:ascii="宋体" w:hAnsi="宋体"/>
          <w:szCs w:val="28"/>
        </w:rPr>
        <w:t>该项总分20分，实际得分18分，扣分2分，主要扣分原因为未根据部门自身实际情况制定项目工程管理制度，具体情况如下：</w:t>
      </w:r>
    </w:p>
    <w:tbl>
      <w:tblPr>
        <w:tblStyle w:val="18"/>
        <w:tblW w:w="8357" w:type="dxa"/>
        <w:tblInd w:w="0" w:type="dxa"/>
        <w:tblLayout w:type="fixed"/>
        <w:tblCellMar>
          <w:top w:w="0" w:type="dxa"/>
          <w:left w:w="108" w:type="dxa"/>
          <w:bottom w:w="0" w:type="dxa"/>
          <w:right w:w="108" w:type="dxa"/>
        </w:tblCellMar>
      </w:tblPr>
      <w:tblGrid>
        <w:gridCol w:w="1070"/>
        <w:gridCol w:w="961"/>
        <w:gridCol w:w="4779"/>
        <w:gridCol w:w="847"/>
        <w:gridCol w:w="700"/>
      </w:tblGrid>
      <w:tr>
        <w:tblPrEx>
          <w:tblLayout w:type="fixed"/>
          <w:tblCellMar>
            <w:top w:w="0" w:type="dxa"/>
            <w:left w:w="108" w:type="dxa"/>
            <w:bottom w:w="0" w:type="dxa"/>
            <w:right w:w="108" w:type="dxa"/>
          </w:tblCellMar>
        </w:tblPrEx>
        <w:trPr>
          <w:trHeight w:val="225" w:hRule="atLeast"/>
          <w:tblHeader/>
        </w:trPr>
        <w:tc>
          <w:tcPr>
            <w:tcW w:w="1070" w:type="dxa"/>
            <w:tcBorders>
              <w:top w:val="double" w:color="auto"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二级指标</w:t>
            </w:r>
          </w:p>
        </w:tc>
        <w:tc>
          <w:tcPr>
            <w:tcW w:w="961" w:type="dxa"/>
            <w:tcBorders>
              <w:top w:val="doub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三级指标</w:t>
            </w:r>
          </w:p>
        </w:tc>
        <w:tc>
          <w:tcPr>
            <w:tcW w:w="4779" w:type="dxa"/>
            <w:tcBorders>
              <w:top w:val="doub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评分标准</w:t>
            </w:r>
          </w:p>
        </w:tc>
        <w:tc>
          <w:tcPr>
            <w:tcW w:w="847" w:type="dxa"/>
            <w:tcBorders>
              <w:top w:val="doub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分值</w:t>
            </w:r>
          </w:p>
        </w:tc>
        <w:tc>
          <w:tcPr>
            <w:tcW w:w="700" w:type="dxa"/>
            <w:tcBorders>
              <w:top w:val="double" w:color="auto"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得分</w:t>
            </w:r>
          </w:p>
        </w:tc>
      </w:tr>
      <w:tr>
        <w:tblPrEx>
          <w:tblLayout w:type="fixed"/>
          <w:tblCellMar>
            <w:top w:w="0" w:type="dxa"/>
            <w:left w:w="108" w:type="dxa"/>
            <w:bottom w:w="0" w:type="dxa"/>
            <w:right w:w="108" w:type="dxa"/>
          </w:tblCellMar>
        </w:tblPrEx>
        <w:trPr>
          <w:trHeight w:val="881" w:hRule="atLeast"/>
        </w:trPr>
        <w:tc>
          <w:tcPr>
            <w:tcW w:w="1070" w:type="dxa"/>
            <w:vMerge w:val="restart"/>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业务管理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管理制度健全性</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①已制定或具有相应的业务管理制度，得1分，否则不得分。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Cambria Math" w:hAnsi="Cambria Math" w:eastAsia="方正仿宋_GBK" w:cs="宋体"/>
                <w:color w:val="000000"/>
                <w:kern w:val="0"/>
                <w:sz w:val="18"/>
                <w:szCs w:val="18"/>
              </w:rPr>
              <w:t>②业务管理制度是否合法、合规、完整，是得1分，否则不得分。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1</w:t>
            </w:r>
          </w:p>
        </w:tc>
      </w:tr>
      <w:tr>
        <w:tblPrEx>
          <w:tblLayout w:type="fixed"/>
          <w:tblCellMar>
            <w:top w:w="0" w:type="dxa"/>
            <w:left w:w="108" w:type="dxa"/>
            <w:bottom w:w="0" w:type="dxa"/>
            <w:right w:w="108" w:type="dxa"/>
          </w:tblCellMar>
        </w:tblPrEx>
        <w:trPr>
          <w:trHeight w:val="999" w:hRule="atLeast"/>
        </w:trPr>
        <w:tc>
          <w:tcPr>
            <w:tcW w:w="1070" w:type="dxa"/>
            <w:vMerge w:val="continue"/>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制度执行有效性</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①是否遵守相关法律法规和相关管理规定，是得5分，发现一处不符合规定，扣0.5分，扣完为止。</w:t>
            </w:r>
          </w:p>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②项目调整及支出调整手续是否完备，是得1分。</w:t>
            </w:r>
          </w:p>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③项目前期资料、项目过程资料和项目验收资料（包括项目合同书、验收报告、技术鉴定）等建设资料是否齐全，是否及时归档，是得1分。</w:t>
            </w:r>
          </w:p>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④项目实施的人员条件、场地设备、信息支撑是否落实到位，是得1分。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Cambria Math" w:hAnsi="Cambria Math" w:eastAsia="方正仿宋_GBK" w:cs="宋体"/>
                <w:color w:val="000000"/>
                <w:kern w:val="0"/>
                <w:sz w:val="18"/>
                <w:szCs w:val="18"/>
              </w:rPr>
              <w:t>上述第②-④项发现一处不符合规定，扣相应权重分值，扣完为止。</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8</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8</w:t>
            </w:r>
          </w:p>
        </w:tc>
      </w:tr>
      <w:tr>
        <w:tblPrEx>
          <w:tblLayout w:type="fixed"/>
          <w:tblCellMar>
            <w:top w:w="0" w:type="dxa"/>
            <w:left w:w="108" w:type="dxa"/>
            <w:bottom w:w="0" w:type="dxa"/>
            <w:right w:w="108" w:type="dxa"/>
          </w:tblCellMar>
        </w:tblPrEx>
        <w:trPr>
          <w:trHeight w:val="999" w:hRule="atLeast"/>
        </w:trPr>
        <w:tc>
          <w:tcPr>
            <w:tcW w:w="1070" w:type="dxa"/>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业务管理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项目质量可控性</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①制定有日常监督考核制度及考核标准，是得1分，否则不得分。</w:t>
            </w:r>
          </w:p>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②项目日常监管到位，是得1分，发现一处不符合规定，扣0.2分，扣完为止。</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1</w:t>
            </w:r>
          </w:p>
        </w:tc>
      </w:tr>
      <w:tr>
        <w:tblPrEx>
          <w:tblLayout w:type="fixed"/>
          <w:tblCellMar>
            <w:top w:w="0" w:type="dxa"/>
            <w:left w:w="108" w:type="dxa"/>
            <w:bottom w:w="0" w:type="dxa"/>
            <w:right w:w="108" w:type="dxa"/>
          </w:tblCellMar>
        </w:tblPrEx>
        <w:trPr>
          <w:trHeight w:val="1575" w:hRule="atLeast"/>
        </w:trPr>
        <w:tc>
          <w:tcPr>
            <w:tcW w:w="1070" w:type="dxa"/>
            <w:vMerge w:val="restart"/>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资金管理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管理制度健全性</w:t>
            </w:r>
          </w:p>
        </w:tc>
        <w:tc>
          <w:tcPr>
            <w:tcW w:w="4779" w:type="dxa"/>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①是否已制定或具有相应的财务管理制度，是得1分，否则不得分。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②财务管理制度是否合法、合规、完整，是得1分，否则不得分。</w:t>
            </w:r>
          </w:p>
        </w:tc>
        <w:tc>
          <w:tcPr>
            <w:tcW w:w="847" w:type="dxa"/>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00" w:type="dxa"/>
            <w:tcBorders>
              <w:top w:val="single" w:color="000000" w:sz="4" w:space="0"/>
              <w:lef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r>
      <w:tr>
        <w:tblPrEx>
          <w:tblLayout w:type="fixed"/>
          <w:tblCellMar>
            <w:top w:w="0" w:type="dxa"/>
            <w:left w:w="108" w:type="dxa"/>
            <w:bottom w:w="0" w:type="dxa"/>
            <w:right w:w="108" w:type="dxa"/>
          </w:tblCellMar>
        </w:tblPrEx>
        <w:trPr>
          <w:trHeight w:val="652" w:hRule="atLeast"/>
        </w:trPr>
        <w:tc>
          <w:tcPr>
            <w:tcW w:w="1070" w:type="dxa"/>
            <w:vMerge w:val="continue"/>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制度执行有效性</w:t>
            </w:r>
          </w:p>
        </w:tc>
        <w:tc>
          <w:tcPr>
            <w:tcW w:w="4779" w:type="dxa"/>
            <w:tcBorders>
              <w:top w:val="single" w:color="000000" w:sz="4" w:space="0"/>
              <w:left w:val="single" w:color="000000" w:sz="4" w:space="0"/>
              <w:right w:val="single" w:color="000000" w:sz="4" w:space="0"/>
            </w:tcBorders>
            <w:shd w:val="clear" w:color="auto" w:fill="auto"/>
            <w:vAlign w:val="center"/>
          </w:tcPr>
          <w:p>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是否符合国家财经法规和财务管理制度，以及有关专项资金管理办法的规定，资金的拨付是否有完整的审批程序和手续；项目的重大开支是否经评估认证，是否符合项目预算批复和合同规定的用途；是否存在截留、挤占、挪用、虚拟支出等情况。是得4分；每发现违规一处扣1分，扣完为止。</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4</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4</w:t>
            </w:r>
          </w:p>
        </w:tc>
      </w:tr>
      <w:tr>
        <w:tblPrEx>
          <w:tblLayout w:type="fixed"/>
          <w:tblCellMar>
            <w:top w:w="0" w:type="dxa"/>
            <w:left w:w="108" w:type="dxa"/>
            <w:bottom w:w="0" w:type="dxa"/>
            <w:right w:w="108" w:type="dxa"/>
          </w:tblCellMar>
        </w:tblPrEx>
        <w:trPr>
          <w:trHeight w:val="644" w:hRule="atLeast"/>
        </w:trPr>
        <w:tc>
          <w:tcPr>
            <w:tcW w:w="1070" w:type="dxa"/>
            <w:vMerge w:val="continue"/>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财务监控有效性</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①项目是否专账、辅助账核算，是得1分，否则不得分。</w:t>
            </w:r>
          </w:p>
          <w:p>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②是否已制定或具有相应的监控机制，是得0.5分，否则不得分。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③是否采取了相应的财务检查等监控措施或手段，是得0.5分，否则不得分。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r>
      <w:tr>
        <w:tblPrEx>
          <w:tblLayout w:type="fixed"/>
          <w:tblCellMar>
            <w:top w:w="0" w:type="dxa"/>
            <w:left w:w="108" w:type="dxa"/>
            <w:bottom w:w="0" w:type="dxa"/>
            <w:right w:w="108" w:type="dxa"/>
          </w:tblCellMar>
        </w:tblPrEx>
        <w:trPr>
          <w:trHeight w:val="450" w:hRule="atLeast"/>
        </w:trPr>
        <w:tc>
          <w:tcPr>
            <w:tcW w:w="1070" w:type="dxa"/>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小计</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20</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18</w:t>
            </w:r>
          </w:p>
        </w:tc>
      </w:tr>
    </w:tbl>
    <w:p>
      <w:pPr>
        <w:snapToGrid w:val="0"/>
        <w:spacing w:line="560" w:lineRule="atLeast"/>
        <w:ind w:firstLine="560"/>
        <w:rPr>
          <w:rFonts w:ascii="宋体" w:hAnsi="宋体"/>
          <w:szCs w:val="28"/>
        </w:rPr>
      </w:pPr>
      <w:r>
        <w:rPr>
          <w:rFonts w:hint="eastAsia" w:ascii="宋体" w:hAnsi="宋体"/>
          <w:szCs w:val="28"/>
        </w:rPr>
        <w:t>1.业务管理制度健全性标准分值为2分，业主单位执行上级下发的相关业务管理制度，如《中华人民共和国招标投标法》《关于推行人防工程质量监督与竣工验收制度改革的实施意见》、《重庆市铜梁区政府投资项目管理办法》等，未根据部门自身实际情况制定相关工程项目管理制度，项目代建单位也无相关管理制度。该项目扣1分，本次绩效评价得分</w:t>
      </w:r>
      <w:r>
        <w:rPr>
          <w:rFonts w:ascii="宋体" w:hAnsi="宋体"/>
          <w:szCs w:val="28"/>
        </w:rPr>
        <w:t>1</w:t>
      </w:r>
      <w:r>
        <w:rPr>
          <w:rFonts w:hint="eastAsia" w:ascii="宋体" w:hAnsi="宋体"/>
          <w:szCs w:val="28"/>
        </w:rPr>
        <w:t>分。</w:t>
      </w:r>
    </w:p>
    <w:p>
      <w:pPr>
        <w:snapToGrid w:val="0"/>
        <w:spacing w:line="560" w:lineRule="atLeast"/>
        <w:ind w:firstLine="560"/>
        <w:rPr>
          <w:rFonts w:ascii="宋体" w:hAnsi="宋体"/>
          <w:szCs w:val="28"/>
        </w:rPr>
      </w:pPr>
      <w:r>
        <w:rPr>
          <w:rFonts w:hint="eastAsia" w:ascii="宋体" w:hAnsi="宋体"/>
          <w:szCs w:val="28"/>
        </w:rPr>
        <w:t>2.制度执行有效性标准分值为8分。经检查，项目前期调研评估、申请立项和立项批复等资料齐全。项目立项后业主单位按要求取得了各项用地及施工许可证。项目通过公开招标确定项目施工单位，并签订施工合同，招标资料已装订成册。业主单位按合同制的要求签订了代建合同、监理合同、设计合同等。施工用材取得产品合格证，经抽检合格并取得检验报告。由于项目尚未完工，项目资料尚未整理归档，现由不同业务环节的相关负责人员保各自管。项目实施的人员条件、场地设备、信息支撑已落实到位。本次绩效评价得分8分。</w:t>
      </w:r>
    </w:p>
    <w:p>
      <w:pPr>
        <w:snapToGrid w:val="0"/>
        <w:spacing w:line="560" w:lineRule="atLeast"/>
        <w:ind w:firstLine="560"/>
        <w:rPr>
          <w:rFonts w:ascii="宋体" w:hAnsi="宋体"/>
          <w:szCs w:val="28"/>
        </w:rPr>
      </w:pPr>
      <w:r>
        <w:rPr>
          <w:rFonts w:hint="eastAsia" w:ascii="宋体" w:hAnsi="宋体"/>
          <w:szCs w:val="28"/>
        </w:rPr>
        <w:t>3.项目质量可控性标准分值为2分。业主单位聘请监理单位、跟审单位对项目质量进行日常监督，同时区人防办相关人员不定期进行施工现场安全质量检查。经查看跟踪审计和监理工作总结、监理工作日志，跟踪审计和监理工作执行基本到位。施工材料取得产品质量合格证，抽检合格并取得检验报告。但业主单位未制定日常质量监督考核制度，该项扣1分，得分1分。</w:t>
      </w:r>
    </w:p>
    <w:p>
      <w:pPr>
        <w:snapToGrid w:val="0"/>
        <w:spacing w:line="560" w:lineRule="atLeast"/>
        <w:ind w:firstLine="560"/>
        <w:rPr>
          <w:rFonts w:ascii="宋体" w:hAnsi="宋体"/>
          <w:szCs w:val="28"/>
        </w:rPr>
      </w:pPr>
      <w:r>
        <w:rPr>
          <w:rFonts w:hint="eastAsia" w:ascii="宋体" w:hAnsi="宋体"/>
          <w:szCs w:val="28"/>
        </w:rPr>
        <w:t>4.财务制度健全性标准分值为2分。业主单位执行《重庆市铜梁区发展和改革委员会财务管理制度（试行）办法》。财务管理制度对财务核算、资产管理、收入和票据管理、支出管理等作出了规定。其中支出管理明确了工程项目支出的审批流程、各级审批权限以及审核要件。财务管理制度合法、合规、完整。本次绩效评价得分2分。</w:t>
      </w:r>
    </w:p>
    <w:p>
      <w:pPr>
        <w:snapToGrid w:val="0"/>
        <w:spacing w:line="560" w:lineRule="atLeast"/>
        <w:ind w:firstLine="560"/>
        <w:rPr>
          <w:rFonts w:ascii="宋体" w:hAnsi="宋体"/>
          <w:szCs w:val="28"/>
        </w:rPr>
      </w:pPr>
      <w:r>
        <w:rPr>
          <w:rFonts w:hint="eastAsia" w:ascii="宋体" w:hAnsi="宋体"/>
          <w:szCs w:val="28"/>
        </w:rPr>
        <w:t>5.资金使用合规性标准分值为4分。经检查，建设项目进行了合规的账务处理。合理反映该项目的资金到位、使用结余及预算执行情况。经查资金支出有完整的审批程序和手续，报销人按规定填写费用报销单，报销单写明支出用途、支出金额，审批签字完整。工程款支付附有代建单位盖章确认的委托代建任务确认单、经监理单位审核的工程进度款计量审批单、发票。资金不存在截留、挤占、挪用、虚列支出等情况。本次绩效评价得分4分。</w:t>
      </w:r>
    </w:p>
    <w:p>
      <w:pPr>
        <w:snapToGrid w:val="0"/>
        <w:spacing w:line="560" w:lineRule="atLeast"/>
        <w:ind w:firstLine="560"/>
        <w:rPr>
          <w:rFonts w:ascii="宋体" w:hAnsi="宋体"/>
          <w:szCs w:val="28"/>
        </w:rPr>
      </w:pPr>
      <w:r>
        <w:rPr>
          <w:rFonts w:hint="eastAsia" w:ascii="宋体" w:hAnsi="宋体"/>
          <w:szCs w:val="28"/>
          <w:lang w:val="en-US" w:eastAsia="zh-CN"/>
        </w:rPr>
        <w:t>6</w:t>
      </w:r>
      <w:r>
        <w:rPr>
          <w:rFonts w:hint="eastAsia" w:ascii="宋体" w:hAnsi="宋体"/>
          <w:szCs w:val="28"/>
        </w:rPr>
        <w:t>.财务监控有效性标准分值为2分。项目设立辅助账核算，另外建立了项目农民工工资和工程款拨付情况表，会计核算清晰。财务管理办法规定了相应的支付审批流程及审核要件，在日常报销中起到资金支出监控作用。本次绩效评价得分</w:t>
      </w:r>
      <w:r>
        <w:rPr>
          <w:rFonts w:ascii="宋体" w:hAnsi="宋体"/>
          <w:szCs w:val="28"/>
        </w:rPr>
        <w:t>2</w:t>
      </w:r>
      <w:r>
        <w:rPr>
          <w:rFonts w:hint="eastAsia" w:ascii="宋体" w:hAnsi="宋体"/>
          <w:szCs w:val="28"/>
        </w:rPr>
        <w:t>分。</w:t>
      </w:r>
    </w:p>
    <w:p>
      <w:pPr>
        <w:snapToGrid w:val="0"/>
        <w:spacing w:line="560" w:lineRule="atLeast"/>
        <w:ind w:firstLine="562"/>
        <w:outlineLvl w:val="1"/>
        <w:rPr>
          <w:rFonts w:ascii="宋体" w:hAnsi="宋体"/>
          <w:b/>
          <w:szCs w:val="28"/>
        </w:rPr>
      </w:pPr>
      <w:r>
        <w:rPr>
          <w:rFonts w:hint="eastAsia" w:ascii="宋体" w:hAnsi="宋体"/>
          <w:b/>
          <w:szCs w:val="28"/>
        </w:rPr>
        <w:t>（三）产出类指标</w:t>
      </w:r>
    </w:p>
    <w:p>
      <w:pPr>
        <w:snapToGrid w:val="0"/>
        <w:spacing w:line="560" w:lineRule="atLeast"/>
        <w:ind w:firstLine="560"/>
        <w:rPr>
          <w:rFonts w:ascii="宋体" w:hAnsi="宋体"/>
          <w:szCs w:val="28"/>
        </w:rPr>
      </w:pPr>
      <w:r>
        <w:rPr>
          <w:rFonts w:hint="eastAsia" w:ascii="宋体" w:hAnsi="宋体"/>
          <w:szCs w:val="28"/>
        </w:rPr>
        <w:t>涉及管理的二级指标为：数量指标、时效指标、质量指标及成本指标。各二级指标下设三级指标。</w:t>
      </w:r>
    </w:p>
    <w:p>
      <w:pPr>
        <w:snapToGrid w:val="0"/>
        <w:spacing w:line="560" w:lineRule="atLeast"/>
        <w:ind w:firstLine="560"/>
        <w:rPr>
          <w:rFonts w:ascii="宋体" w:hAnsi="宋体"/>
          <w:szCs w:val="28"/>
        </w:rPr>
      </w:pPr>
      <w:r>
        <w:rPr>
          <w:rFonts w:hint="eastAsia" w:ascii="宋体" w:hAnsi="宋体"/>
          <w:szCs w:val="28"/>
        </w:rPr>
        <w:t>该项总30分，实际得分21分，扣分9分，主要扣分原因为完工及时率较低，实际完成率较低。具体情况如下：</w:t>
      </w:r>
    </w:p>
    <w:tbl>
      <w:tblPr>
        <w:tblStyle w:val="18"/>
        <w:tblW w:w="8522" w:type="dxa"/>
        <w:tblInd w:w="0"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1138"/>
        <w:gridCol w:w="4832"/>
        <w:gridCol w:w="674"/>
        <w:gridCol w:w="886"/>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blHeader/>
        </w:trPr>
        <w:tc>
          <w:tcPr>
            <w:tcW w:w="992"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lang w:bidi="ar"/>
              </w:rPr>
              <w:t>二级指标</w:t>
            </w:r>
          </w:p>
        </w:tc>
        <w:tc>
          <w:tcPr>
            <w:tcW w:w="1138" w:type="dxa"/>
            <w:tcBorders>
              <w:tl2br w:val="nil"/>
              <w:tr2bl w:val="nil"/>
            </w:tcBorders>
            <w:shd w:val="clear" w:color="auto" w:fill="auto"/>
            <w:vAlign w:val="center"/>
          </w:tcPr>
          <w:p>
            <w:pPr>
              <w:widowControl/>
              <w:spacing w:line="240" w:lineRule="auto"/>
              <w:ind w:firstLine="0" w:firstLineChars="0"/>
              <w:jc w:val="center"/>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lang w:bidi="ar"/>
              </w:rPr>
              <w:t>三级指标</w:t>
            </w:r>
          </w:p>
        </w:tc>
        <w:tc>
          <w:tcPr>
            <w:tcW w:w="4832" w:type="dxa"/>
            <w:tcBorders>
              <w:tl2br w:val="nil"/>
              <w:tr2bl w:val="nil"/>
            </w:tcBorders>
            <w:shd w:val="clear" w:color="auto" w:fill="auto"/>
            <w:vAlign w:val="center"/>
          </w:tcPr>
          <w:p>
            <w:pPr>
              <w:widowControl/>
              <w:spacing w:line="240" w:lineRule="auto"/>
              <w:ind w:firstLine="360"/>
              <w:jc w:val="center"/>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lang w:bidi="ar"/>
              </w:rPr>
              <w:t>评分标准</w:t>
            </w:r>
          </w:p>
        </w:tc>
        <w:tc>
          <w:tcPr>
            <w:tcW w:w="674" w:type="dxa"/>
            <w:tcBorders>
              <w:tl2br w:val="nil"/>
              <w:tr2bl w:val="nil"/>
            </w:tcBorders>
            <w:shd w:val="clear" w:color="auto" w:fill="auto"/>
            <w:noWrap/>
            <w:vAlign w:val="center"/>
          </w:tcPr>
          <w:p>
            <w:pPr>
              <w:widowControl/>
              <w:spacing w:line="240" w:lineRule="auto"/>
              <w:ind w:firstLine="0" w:firstLineChars="0"/>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lang w:bidi="ar"/>
              </w:rPr>
              <w:t>分值</w:t>
            </w:r>
          </w:p>
        </w:tc>
        <w:tc>
          <w:tcPr>
            <w:tcW w:w="886" w:type="dxa"/>
            <w:tcBorders>
              <w:tl2br w:val="nil"/>
              <w:tr2bl w:val="nil"/>
            </w:tcBorders>
            <w:shd w:val="clear" w:color="auto" w:fill="auto"/>
            <w:noWrap/>
            <w:vAlign w:val="center"/>
          </w:tcPr>
          <w:p>
            <w:pPr>
              <w:widowControl/>
              <w:spacing w:line="240" w:lineRule="auto"/>
              <w:ind w:firstLine="199" w:firstLineChars="110"/>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lang w:bidi="ar"/>
              </w:rPr>
              <w:t>得分</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168" w:hRule="atLeast"/>
        </w:trPr>
        <w:tc>
          <w:tcPr>
            <w:tcW w:w="992" w:type="dxa"/>
            <w:tcBorders>
              <w:tl2br w:val="nil"/>
              <w:tr2bl w:val="nil"/>
            </w:tcBorders>
            <w:shd w:val="clear" w:color="auto" w:fill="auto"/>
            <w:noWrap/>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bidi="ar"/>
              </w:rPr>
              <w:t>数量指标</w:t>
            </w:r>
          </w:p>
        </w:tc>
        <w:tc>
          <w:tcPr>
            <w:tcW w:w="1138"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ascii="方正仿宋_GBK" w:hAnsi="方正仿宋_GBK" w:eastAsia="方正仿宋_GBK" w:cs="方正仿宋_GBK"/>
                <w:kern w:val="0"/>
                <w:sz w:val="18"/>
                <w:szCs w:val="18"/>
                <w:lang w:bidi="ar"/>
              </w:rPr>
              <w:t>实际完成率</w:t>
            </w:r>
          </w:p>
        </w:tc>
        <w:tc>
          <w:tcPr>
            <w:tcW w:w="4832"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①实际完成率≥100%，得10分；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②实际完成率在95%（含）-100%之间，得9分；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③实际完成率在90%（含）-95%之间，得8分；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④实际完成率在85%（含）-90%之间，得7分；</w:t>
            </w:r>
          </w:p>
          <w:p>
            <w:pPr>
              <w:widowControl/>
              <w:spacing w:line="240" w:lineRule="auto"/>
              <w:ind w:firstLine="0" w:firstLineChars="0"/>
              <w:jc w:val="left"/>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bidi="ar"/>
              </w:rPr>
              <w:t>⑤实际完成率未达85%，不得分。</w:t>
            </w:r>
          </w:p>
        </w:tc>
        <w:tc>
          <w:tcPr>
            <w:tcW w:w="674"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886"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928" w:hRule="atLeast"/>
        </w:trPr>
        <w:tc>
          <w:tcPr>
            <w:tcW w:w="992"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bidi="ar"/>
              </w:rPr>
              <w:t>时效指标</w:t>
            </w:r>
          </w:p>
        </w:tc>
        <w:tc>
          <w:tcPr>
            <w:tcW w:w="1138"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ascii="方正仿宋_GBK" w:hAnsi="方正仿宋_GBK" w:eastAsia="方正仿宋_GBK" w:cs="方正仿宋_GBK"/>
                <w:kern w:val="0"/>
                <w:sz w:val="18"/>
                <w:szCs w:val="18"/>
                <w:lang w:bidi="ar"/>
              </w:rPr>
              <w:t>完成及时率</w:t>
            </w:r>
          </w:p>
        </w:tc>
        <w:tc>
          <w:tcPr>
            <w:tcW w:w="4832"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①延迟完成时间/计划完成时间≤0，得6分；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②延迟完成时间/计划完成时间在0-5%（含）之间，得5分；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③延迟完成时间/计划完成时间在5%-10%（含）之间，得4分；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④延迟完成时间/计划完成时间在10%-15%（含）之间，得3分；</w:t>
            </w:r>
          </w:p>
          <w:p>
            <w:pPr>
              <w:widowControl/>
              <w:spacing w:line="240" w:lineRule="auto"/>
              <w:ind w:firstLine="0" w:firstLineChars="0"/>
              <w:jc w:val="left"/>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bidi="ar"/>
              </w:rPr>
              <w:t>⑤延迟完成时间/计划完成时间大于15%，不得分。</w:t>
            </w:r>
          </w:p>
        </w:tc>
        <w:tc>
          <w:tcPr>
            <w:tcW w:w="674"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886"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0</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156" w:hRule="atLeast"/>
        </w:trPr>
        <w:tc>
          <w:tcPr>
            <w:tcW w:w="992" w:type="dxa"/>
            <w:tcBorders>
              <w:tl2br w:val="nil"/>
              <w:tr2bl w:val="nil"/>
            </w:tcBorders>
            <w:shd w:val="clear" w:color="auto" w:fill="auto"/>
            <w:noWrap/>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bidi="ar"/>
              </w:rPr>
              <w:t>质量指标</w:t>
            </w:r>
          </w:p>
        </w:tc>
        <w:tc>
          <w:tcPr>
            <w:tcW w:w="1138"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质量达标率</w:t>
            </w:r>
          </w:p>
        </w:tc>
        <w:tc>
          <w:tcPr>
            <w:tcW w:w="4832"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①质量达标率≥100%，得8分；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②质量达标率在95%（含）-100%之间，得7分；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③质量达标率在90%（含）-95%之间，得6分；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④质量达标率在85%（含）-90%之间，得5分；</w:t>
            </w:r>
          </w:p>
          <w:p>
            <w:pPr>
              <w:widowControl/>
              <w:spacing w:line="240" w:lineRule="auto"/>
              <w:ind w:firstLine="0" w:firstLineChars="0"/>
              <w:jc w:val="left"/>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bidi="ar"/>
              </w:rPr>
              <w:t>⑤质量达标率未达85%，不得分。</w:t>
            </w:r>
          </w:p>
        </w:tc>
        <w:tc>
          <w:tcPr>
            <w:tcW w:w="674"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886"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94" w:hRule="atLeast"/>
        </w:trPr>
        <w:tc>
          <w:tcPr>
            <w:tcW w:w="992" w:type="dxa"/>
            <w:tcBorders>
              <w:tl2br w:val="nil"/>
              <w:tr2bl w:val="nil"/>
            </w:tcBorders>
            <w:shd w:val="clear" w:color="auto" w:fill="auto"/>
            <w:noWrap/>
            <w:vAlign w:val="center"/>
          </w:tcPr>
          <w:p>
            <w:pPr>
              <w:widowControl/>
              <w:spacing w:line="240" w:lineRule="auto"/>
              <w:ind w:firstLine="0" w:firstLineChars="0"/>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成本指标</w:t>
            </w:r>
          </w:p>
        </w:tc>
        <w:tc>
          <w:tcPr>
            <w:tcW w:w="1138"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成本节约率</w:t>
            </w:r>
          </w:p>
        </w:tc>
        <w:tc>
          <w:tcPr>
            <w:tcW w:w="4832"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实际成本≤计划成本得6分。否则不得分。</w:t>
            </w:r>
          </w:p>
        </w:tc>
        <w:tc>
          <w:tcPr>
            <w:tcW w:w="674"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6</w:t>
            </w:r>
          </w:p>
        </w:tc>
        <w:tc>
          <w:tcPr>
            <w:tcW w:w="886"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6</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rPr>
        <w:tc>
          <w:tcPr>
            <w:tcW w:w="992" w:type="dxa"/>
            <w:tcBorders>
              <w:tl2br w:val="nil"/>
              <w:tr2bl w:val="nil"/>
            </w:tcBorders>
            <w:shd w:val="clear" w:color="auto" w:fill="auto"/>
            <w:noWrap/>
            <w:vAlign w:val="center"/>
          </w:tcPr>
          <w:p>
            <w:pPr>
              <w:widowControl/>
              <w:spacing w:line="240" w:lineRule="auto"/>
              <w:ind w:firstLineChars="111"/>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小计</w:t>
            </w:r>
          </w:p>
        </w:tc>
        <w:tc>
          <w:tcPr>
            <w:tcW w:w="1138" w:type="dxa"/>
            <w:tcBorders>
              <w:tl2br w:val="nil"/>
              <w:tr2bl w:val="nil"/>
            </w:tcBorders>
            <w:shd w:val="clear" w:color="auto" w:fill="auto"/>
            <w:vAlign w:val="center"/>
          </w:tcPr>
          <w:p>
            <w:pPr>
              <w:widowControl/>
              <w:spacing w:line="240" w:lineRule="auto"/>
              <w:ind w:firstLine="360"/>
              <w:jc w:val="center"/>
              <w:rPr>
                <w:rFonts w:ascii="方正仿宋_GBK" w:hAnsi="方正仿宋_GBK" w:eastAsia="方正仿宋_GBK" w:cs="方正仿宋_GBK"/>
                <w:sz w:val="18"/>
                <w:szCs w:val="18"/>
              </w:rPr>
            </w:pPr>
          </w:p>
        </w:tc>
        <w:tc>
          <w:tcPr>
            <w:tcW w:w="4832" w:type="dxa"/>
            <w:tcBorders>
              <w:tl2br w:val="nil"/>
              <w:tr2bl w:val="nil"/>
            </w:tcBorders>
            <w:shd w:val="clear" w:color="auto" w:fill="auto"/>
            <w:noWrap/>
            <w:vAlign w:val="center"/>
          </w:tcPr>
          <w:p>
            <w:pPr>
              <w:widowControl/>
              <w:spacing w:line="240" w:lineRule="auto"/>
              <w:ind w:firstLine="360"/>
              <w:jc w:val="center"/>
              <w:rPr>
                <w:rFonts w:ascii="方正仿宋_GBK" w:hAnsi="方正仿宋_GBK" w:eastAsia="方正仿宋_GBK" w:cs="方正仿宋_GBK"/>
                <w:sz w:val="18"/>
                <w:szCs w:val="18"/>
              </w:rPr>
            </w:pPr>
          </w:p>
        </w:tc>
        <w:tc>
          <w:tcPr>
            <w:tcW w:w="674" w:type="dxa"/>
            <w:tcBorders>
              <w:tl2br w:val="nil"/>
              <w:tr2bl w:val="nil"/>
            </w:tcBorders>
            <w:shd w:val="clear" w:color="auto" w:fill="auto"/>
            <w:noWrap/>
            <w:vAlign w:val="center"/>
          </w:tcPr>
          <w:p>
            <w:pPr>
              <w:widowControl/>
              <w:spacing w:line="240" w:lineRule="auto"/>
              <w:ind w:firstLine="180" w:firstLineChars="10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30</w:t>
            </w:r>
          </w:p>
        </w:tc>
        <w:tc>
          <w:tcPr>
            <w:tcW w:w="886"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21</w:t>
            </w:r>
          </w:p>
        </w:tc>
      </w:tr>
    </w:tbl>
    <w:p>
      <w:pPr>
        <w:snapToGrid w:val="0"/>
        <w:spacing w:line="560" w:lineRule="atLeast"/>
        <w:ind w:firstLine="560"/>
        <w:rPr>
          <w:rFonts w:ascii="宋体" w:hAnsi="宋体"/>
          <w:szCs w:val="28"/>
        </w:rPr>
      </w:pPr>
      <w:r>
        <w:rPr>
          <w:rFonts w:hint="eastAsia" w:ascii="宋体" w:hAnsi="宋体"/>
          <w:szCs w:val="28"/>
        </w:rPr>
        <w:t>1.实际完成率标准分值为10分。经检查，项目尚未完工，根据跟审单位审核进度台账，截至2023年5月25日累计完成产值5,126.85万元，占扣除安全文明施工费后施工合同金额的86.60%。该项目扣3分，本次绩效评价得分7分。</w:t>
      </w:r>
    </w:p>
    <w:p>
      <w:pPr>
        <w:snapToGrid w:val="0"/>
        <w:spacing w:line="560" w:lineRule="atLeast"/>
        <w:ind w:firstLine="560"/>
        <w:rPr>
          <w:rFonts w:ascii="宋体" w:hAnsi="宋体"/>
          <w:szCs w:val="28"/>
        </w:rPr>
      </w:pPr>
      <w:r>
        <w:rPr>
          <w:rFonts w:ascii="宋体" w:hAnsi="宋体"/>
          <w:szCs w:val="28"/>
        </w:rPr>
        <w:t>2.</w:t>
      </w:r>
      <w:r>
        <w:rPr>
          <w:rFonts w:hint="eastAsia" w:ascii="宋体" w:hAnsi="宋体"/>
          <w:szCs w:val="28"/>
        </w:rPr>
        <w:t>完成及时率标准分值为6分。根据项目可行性研究报告以及区发改委立项批复，本项目计划建设期间2020年10月-2022年10月，实际于2023年5月30日开工建设，合同工期365天，截至2024年6月完工进度约86%，预计7月底完工。该项目扣6分，本次绩效评价得分0分。</w:t>
      </w:r>
    </w:p>
    <w:p>
      <w:pPr>
        <w:snapToGrid w:val="0"/>
        <w:spacing w:line="560" w:lineRule="atLeast"/>
        <w:ind w:firstLine="560"/>
        <w:rPr>
          <w:rFonts w:ascii="宋体" w:hAnsi="宋体"/>
          <w:szCs w:val="28"/>
        </w:rPr>
      </w:pPr>
      <w:r>
        <w:rPr>
          <w:rFonts w:hint="eastAsia" w:ascii="宋体" w:hAnsi="宋体"/>
          <w:szCs w:val="28"/>
        </w:rPr>
        <w:t>3</w:t>
      </w:r>
      <w:r>
        <w:rPr>
          <w:rFonts w:ascii="宋体" w:hAnsi="宋体"/>
          <w:szCs w:val="28"/>
        </w:rPr>
        <w:t>.</w:t>
      </w:r>
      <w:r>
        <w:rPr>
          <w:rFonts w:hint="eastAsia" w:ascii="宋体" w:hAnsi="宋体"/>
          <w:szCs w:val="28"/>
        </w:rPr>
        <w:t>质量达标率标准分值为8分。工程设备、施工材料等取得产品合格证书，质量抽检结果合格。经查阅监理日志及现场查看，未发现明显质量问题，本次绩效评价得分8分。</w:t>
      </w:r>
    </w:p>
    <w:p>
      <w:pPr>
        <w:snapToGrid w:val="0"/>
        <w:spacing w:line="560" w:lineRule="atLeast"/>
        <w:ind w:firstLine="560"/>
        <w:rPr>
          <w:rFonts w:ascii="宋体" w:hAnsi="宋体"/>
          <w:szCs w:val="28"/>
        </w:rPr>
      </w:pPr>
      <w:r>
        <w:rPr>
          <w:rFonts w:hint="eastAsia" w:ascii="宋体" w:hAnsi="宋体"/>
          <w:szCs w:val="28"/>
        </w:rPr>
        <w:t>4.成本节约率标准分值为6分。由于项目目前尚未完工，无工程结算金额。将预算金额与施工合同金额进行对比，预算金额7,264.07万元，施工合同金额6,130.88万元，未超预算，本次绩效评价得分6分。</w:t>
      </w:r>
    </w:p>
    <w:p>
      <w:pPr>
        <w:snapToGrid w:val="0"/>
        <w:spacing w:line="560" w:lineRule="atLeast"/>
        <w:ind w:firstLine="562"/>
        <w:outlineLvl w:val="1"/>
        <w:rPr>
          <w:rFonts w:ascii="宋体" w:hAnsi="宋体"/>
          <w:b/>
          <w:szCs w:val="28"/>
        </w:rPr>
      </w:pPr>
      <w:r>
        <w:rPr>
          <w:rFonts w:hint="eastAsia" w:ascii="宋体" w:hAnsi="宋体"/>
          <w:b/>
          <w:szCs w:val="28"/>
        </w:rPr>
        <w:t>（四）效益类指标</w:t>
      </w:r>
    </w:p>
    <w:p>
      <w:pPr>
        <w:snapToGrid w:val="0"/>
        <w:spacing w:line="560" w:lineRule="atLeast"/>
        <w:ind w:firstLine="560"/>
        <w:rPr>
          <w:rFonts w:ascii="宋体" w:hAnsi="宋体"/>
          <w:szCs w:val="28"/>
        </w:rPr>
      </w:pPr>
      <w:r>
        <w:rPr>
          <w:rFonts w:hint="eastAsia" w:ascii="宋体" w:hAnsi="宋体"/>
          <w:szCs w:val="28"/>
        </w:rPr>
        <w:t>涉及效益的二级指标为：社会效益、生态效益、可持续影响及满意度。各二级指标下设三级指标。</w:t>
      </w:r>
    </w:p>
    <w:p>
      <w:pPr>
        <w:snapToGrid w:val="0"/>
        <w:spacing w:line="560" w:lineRule="atLeast"/>
        <w:ind w:firstLine="560"/>
        <w:rPr>
          <w:rFonts w:ascii="宋体" w:hAnsi="宋体"/>
          <w:szCs w:val="28"/>
        </w:rPr>
      </w:pPr>
      <w:r>
        <w:rPr>
          <w:rFonts w:hint="eastAsia" w:ascii="宋体" w:hAnsi="宋体"/>
          <w:szCs w:val="28"/>
        </w:rPr>
        <w:t>该项总30分，实际得分29.28分，扣分0.72分，主要扣分原因为满意度扣分。具体情况如下：</w:t>
      </w:r>
    </w:p>
    <w:tbl>
      <w:tblPr>
        <w:tblStyle w:val="18"/>
        <w:tblW w:w="8376" w:type="dxa"/>
        <w:tblInd w:w="96"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363"/>
        <w:gridCol w:w="1320"/>
        <w:gridCol w:w="4176"/>
        <w:gridCol w:w="756"/>
        <w:gridCol w:w="761"/>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blHeader/>
        </w:trPr>
        <w:tc>
          <w:tcPr>
            <w:tcW w:w="1363" w:type="dxa"/>
            <w:tcBorders>
              <w:tl2br w:val="nil"/>
              <w:tr2bl w:val="nil"/>
            </w:tcBorders>
            <w:shd w:val="clear" w:color="auto" w:fill="auto"/>
            <w:vAlign w:val="center"/>
          </w:tcPr>
          <w:p>
            <w:pPr>
              <w:widowControl/>
              <w:spacing w:line="240" w:lineRule="auto"/>
              <w:ind w:firstLine="360"/>
              <w:jc w:val="center"/>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lang w:bidi="ar"/>
              </w:rPr>
              <w:t>二级指标</w:t>
            </w:r>
          </w:p>
        </w:tc>
        <w:tc>
          <w:tcPr>
            <w:tcW w:w="1320" w:type="dxa"/>
            <w:tcBorders>
              <w:tl2br w:val="nil"/>
              <w:tr2bl w:val="nil"/>
            </w:tcBorders>
            <w:shd w:val="clear" w:color="auto" w:fill="auto"/>
            <w:vAlign w:val="center"/>
          </w:tcPr>
          <w:p>
            <w:pPr>
              <w:widowControl/>
              <w:spacing w:line="240" w:lineRule="auto"/>
              <w:ind w:firstLine="0" w:firstLineChars="0"/>
              <w:jc w:val="center"/>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lang w:bidi="ar"/>
              </w:rPr>
              <w:t>三级指标</w:t>
            </w:r>
          </w:p>
        </w:tc>
        <w:tc>
          <w:tcPr>
            <w:tcW w:w="4176" w:type="dxa"/>
            <w:tcBorders>
              <w:tl2br w:val="nil"/>
              <w:tr2bl w:val="nil"/>
            </w:tcBorders>
            <w:shd w:val="clear" w:color="auto" w:fill="auto"/>
            <w:vAlign w:val="center"/>
          </w:tcPr>
          <w:p>
            <w:pPr>
              <w:widowControl/>
              <w:spacing w:line="240" w:lineRule="auto"/>
              <w:ind w:firstLine="360"/>
              <w:jc w:val="center"/>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lang w:bidi="ar"/>
              </w:rPr>
              <w:t>评分标准</w:t>
            </w:r>
          </w:p>
        </w:tc>
        <w:tc>
          <w:tcPr>
            <w:tcW w:w="756"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lang w:bidi="ar"/>
              </w:rPr>
              <w:t>分值</w:t>
            </w:r>
          </w:p>
        </w:tc>
        <w:tc>
          <w:tcPr>
            <w:tcW w:w="76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lang w:bidi="ar"/>
              </w:rPr>
              <w:t>得分</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trPr>
        <w:tc>
          <w:tcPr>
            <w:tcW w:w="1363" w:type="dxa"/>
            <w:vMerge w:val="restart"/>
            <w:tcBorders>
              <w:tl2br w:val="nil"/>
              <w:tr2bl w:val="nil"/>
            </w:tcBorders>
            <w:shd w:val="clear" w:color="auto" w:fill="auto"/>
            <w:noWrap/>
            <w:vAlign w:val="center"/>
          </w:tcPr>
          <w:p>
            <w:pPr>
              <w:widowControl/>
              <w:spacing w:line="240" w:lineRule="auto"/>
              <w:ind w:firstLine="360"/>
              <w:jc w:val="left"/>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社会效益</w:t>
            </w:r>
          </w:p>
        </w:tc>
        <w:tc>
          <w:tcPr>
            <w:tcW w:w="1320"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完善基础设施</w:t>
            </w:r>
          </w:p>
        </w:tc>
        <w:tc>
          <w:tcPr>
            <w:tcW w:w="4176"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能够改善停车难得满分，否则不得分。</w:t>
            </w:r>
          </w:p>
        </w:tc>
        <w:tc>
          <w:tcPr>
            <w:tcW w:w="756"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c>
          <w:tcPr>
            <w:tcW w:w="761" w:type="dxa"/>
            <w:tcBorders>
              <w:tl2br w:val="nil"/>
              <w:tr2bl w:val="nil"/>
            </w:tcBorders>
            <w:shd w:val="clear" w:color="auto" w:fill="auto"/>
            <w:noWrap/>
            <w:vAlign w:val="center"/>
          </w:tcPr>
          <w:p>
            <w:pPr>
              <w:widowControl/>
              <w:spacing w:line="240" w:lineRule="auto"/>
              <w:ind w:left="0" w:leftChars="0"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4.87</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78" w:hRule="atLeast"/>
        </w:trPr>
        <w:tc>
          <w:tcPr>
            <w:tcW w:w="1363" w:type="dxa"/>
            <w:vMerge w:val="continue"/>
            <w:tcBorders>
              <w:tl2br w:val="nil"/>
              <w:tr2bl w:val="nil"/>
            </w:tcBorders>
            <w:shd w:val="clear" w:color="auto" w:fill="auto"/>
            <w:noWrap/>
            <w:vAlign w:val="center"/>
          </w:tcPr>
          <w:p>
            <w:pPr>
              <w:widowControl/>
              <w:spacing w:line="240" w:lineRule="auto"/>
              <w:ind w:firstLine="360"/>
              <w:jc w:val="left"/>
              <w:rPr>
                <w:rFonts w:ascii="方正仿宋_GBK" w:hAnsi="方正仿宋_GBK" w:eastAsia="方正仿宋_GBK" w:cs="方正仿宋_GBK"/>
                <w:color w:val="000000"/>
                <w:sz w:val="18"/>
                <w:szCs w:val="18"/>
              </w:rPr>
            </w:pPr>
          </w:p>
        </w:tc>
        <w:tc>
          <w:tcPr>
            <w:tcW w:w="1320"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提高城防体系</w:t>
            </w:r>
          </w:p>
        </w:tc>
        <w:tc>
          <w:tcPr>
            <w:tcW w:w="4176"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能够提升城防体系得满分，否则不得分。</w:t>
            </w:r>
          </w:p>
        </w:tc>
        <w:tc>
          <w:tcPr>
            <w:tcW w:w="756"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c>
          <w:tcPr>
            <w:tcW w:w="76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4.87</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626" w:hRule="atLeast"/>
        </w:trPr>
        <w:tc>
          <w:tcPr>
            <w:tcW w:w="1363" w:type="dxa"/>
            <w:tcBorders>
              <w:tl2br w:val="nil"/>
              <w:tr2bl w:val="nil"/>
            </w:tcBorders>
            <w:shd w:val="clear" w:color="auto" w:fill="auto"/>
            <w:noWrap/>
            <w:vAlign w:val="center"/>
          </w:tcPr>
          <w:p>
            <w:pPr>
              <w:widowControl/>
              <w:spacing w:line="240" w:lineRule="auto"/>
              <w:ind w:firstLine="360"/>
              <w:jc w:val="left"/>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生态效益</w:t>
            </w:r>
          </w:p>
        </w:tc>
        <w:tc>
          <w:tcPr>
            <w:tcW w:w="1320"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生态影响</w:t>
            </w:r>
          </w:p>
        </w:tc>
        <w:tc>
          <w:tcPr>
            <w:tcW w:w="4176"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未破坏生态环境得满分，破坏生态环境不得分。</w:t>
            </w:r>
          </w:p>
        </w:tc>
        <w:tc>
          <w:tcPr>
            <w:tcW w:w="756"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c>
          <w:tcPr>
            <w:tcW w:w="76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4.85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32" w:hRule="atLeast"/>
        </w:trPr>
        <w:tc>
          <w:tcPr>
            <w:tcW w:w="1363" w:type="dxa"/>
            <w:tcBorders>
              <w:tl2br w:val="nil"/>
              <w:tr2bl w:val="nil"/>
            </w:tcBorders>
            <w:shd w:val="clear" w:color="auto" w:fill="auto"/>
            <w:noWrap/>
            <w:vAlign w:val="center"/>
          </w:tcPr>
          <w:p>
            <w:pPr>
              <w:widowControl/>
              <w:spacing w:line="240" w:lineRule="auto"/>
              <w:ind w:firstLine="0" w:firstLineChars="0"/>
              <w:jc w:val="right"/>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可持续影响</w:t>
            </w:r>
          </w:p>
        </w:tc>
        <w:tc>
          <w:tcPr>
            <w:tcW w:w="1320"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长效机制</w:t>
            </w:r>
          </w:p>
        </w:tc>
        <w:tc>
          <w:tcPr>
            <w:tcW w:w="4176"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①建立长效机制的，得3分，否不得分。</w:t>
            </w:r>
          </w:p>
          <w:p>
            <w:pPr>
              <w:widowControl/>
              <w:spacing w:line="240" w:lineRule="auto"/>
              <w:ind w:firstLine="0" w:firstLineChars="0"/>
              <w:jc w:val="left"/>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②项目实施结果持续发挥作用的，得3分，否则不得分。</w:t>
            </w:r>
          </w:p>
        </w:tc>
        <w:tc>
          <w:tcPr>
            <w:tcW w:w="756"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c>
          <w:tcPr>
            <w:tcW w:w="761"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672" w:hRule="atLeast"/>
        </w:trPr>
        <w:tc>
          <w:tcPr>
            <w:tcW w:w="1363" w:type="dxa"/>
            <w:tcBorders>
              <w:tl2br w:val="nil"/>
              <w:tr2bl w:val="nil"/>
            </w:tcBorders>
            <w:shd w:val="clear" w:color="auto" w:fill="auto"/>
            <w:noWrap/>
            <w:vAlign w:val="center"/>
          </w:tcPr>
          <w:p>
            <w:pPr>
              <w:widowControl/>
              <w:spacing w:line="240" w:lineRule="auto"/>
              <w:ind w:firstLine="360"/>
              <w:jc w:val="left"/>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满意度</w:t>
            </w:r>
          </w:p>
        </w:tc>
        <w:tc>
          <w:tcPr>
            <w:tcW w:w="1320"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社会公众或服务对象满意度</w:t>
            </w:r>
          </w:p>
        </w:tc>
        <w:tc>
          <w:tcPr>
            <w:tcW w:w="4176"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非常满意10分，基本满意8分，一般6分，不满意0分</w:t>
            </w:r>
          </w:p>
        </w:tc>
        <w:tc>
          <w:tcPr>
            <w:tcW w:w="756"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w:t>
            </w:r>
          </w:p>
        </w:tc>
        <w:tc>
          <w:tcPr>
            <w:tcW w:w="76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9.69</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trPr>
        <w:tc>
          <w:tcPr>
            <w:tcW w:w="1363" w:type="dxa"/>
            <w:tcBorders>
              <w:tl2br w:val="nil"/>
              <w:tr2bl w:val="nil"/>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小计</w:t>
            </w:r>
          </w:p>
        </w:tc>
        <w:tc>
          <w:tcPr>
            <w:tcW w:w="1320" w:type="dxa"/>
            <w:tcBorders>
              <w:tl2br w:val="nil"/>
              <w:tr2bl w:val="nil"/>
            </w:tcBorders>
            <w:shd w:val="clear" w:color="auto" w:fill="auto"/>
            <w:vAlign w:val="center"/>
          </w:tcPr>
          <w:p>
            <w:pPr>
              <w:widowControl/>
              <w:spacing w:line="240" w:lineRule="auto"/>
              <w:ind w:firstLine="360"/>
              <w:jc w:val="center"/>
              <w:rPr>
                <w:rFonts w:ascii="方正仿宋_GBK" w:hAnsi="方正仿宋_GBK" w:eastAsia="方正仿宋_GBK" w:cs="方正仿宋_GBK"/>
                <w:color w:val="000000"/>
                <w:sz w:val="18"/>
                <w:szCs w:val="18"/>
              </w:rPr>
            </w:pPr>
          </w:p>
        </w:tc>
        <w:tc>
          <w:tcPr>
            <w:tcW w:w="4176" w:type="dxa"/>
            <w:tcBorders>
              <w:tl2br w:val="nil"/>
              <w:tr2bl w:val="nil"/>
            </w:tcBorders>
            <w:shd w:val="clear" w:color="auto" w:fill="auto"/>
            <w:noWrap/>
            <w:vAlign w:val="center"/>
          </w:tcPr>
          <w:p>
            <w:pPr>
              <w:widowControl/>
              <w:spacing w:line="240" w:lineRule="auto"/>
              <w:ind w:firstLine="360"/>
              <w:jc w:val="center"/>
              <w:rPr>
                <w:rFonts w:ascii="方正仿宋_GBK" w:hAnsi="方正仿宋_GBK" w:eastAsia="方正仿宋_GBK" w:cs="方正仿宋_GBK"/>
                <w:color w:val="000000"/>
                <w:sz w:val="18"/>
                <w:szCs w:val="18"/>
              </w:rPr>
            </w:pPr>
          </w:p>
        </w:tc>
        <w:tc>
          <w:tcPr>
            <w:tcW w:w="756"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30</w:t>
            </w:r>
          </w:p>
        </w:tc>
        <w:tc>
          <w:tcPr>
            <w:tcW w:w="76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29.28</w:t>
            </w:r>
          </w:p>
        </w:tc>
      </w:tr>
    </w:tbl>
    <w:p>
      <w:pPr>
        <w:snapToGrid w:val="0"/>
        <w:spacing w:line="560" w:lineRule="atLeast"/>
        <w:ind w:firstLine="560"/>
        <w:rPr>
          <w:rFonts w:ascii="宋体" w:hAnsi="宋体"/>
          <w:szCs w:val="28"/>
        </w:rPr>
      </w:pPr>
      <w:r>
        <w:rPr>
          <w:rFonts w:hint="eastAsia" w:ascii="宋体" w:hAnsi="宋体"/>
          <w:szCs w:val="28"/>
        </w:rPr>
        <w:t>1.完善基础设施标准分值为5分。项目的建成将增加中医院停车位约370个，方便居民出行就医，同时缓解周边停车难，路边乱停乱放的情况，从而提升城市形象。本次绩效评价取得调查问卷39份，其中5份对项目完善基础设施的功能感到基本满意，34份感到非常</w:t>
      </w:r>
      <w:r>
        <w:rPr>
          <w:rFonts w:hint="eastAsia" w:ascii="宋体" w:hAnsi="宋体"/>
          <w:szCs w:val="28"/>
          <w:lang w:eastAsia="zh-CN"/>
        </w:rPr>
        <w:t>满意</w:t>
      </w:r>
      <w:r>
        <w:rPr>
          <w:rFonts w:hint="eastAsia" w:ascii="宋体" w:hAnsi="宋体"/>
          <w:szCs w:val="28"/>
        </w:rPr>
        <w:t>。该项目扣0.13分，本次绩效评价得分4.87分。</w:t>
      </w:r>
    </w:p>
    <w:p>
      <w:pPr>
        <w:snapToGrid w:val="0"/>
        <w:spacing w:line="560" w:lineRule="atLeast"/>
        <w:ind w:firstLine="560"/>
        <w:rPr>
          <w:rFonts w:ascii="宋体" w:hAnsi="宋体"/>
          <w:szCs w:val="28"/>
        </w:rPr>
      </w:pPr>
      <w:r>
        <w:rPr>
          <w:rFonts w:ascii="宋体" w:hAnsi="宋体"/>
          <w:szCs w:val="28"/>
        </w:rPr>
        <w:t>2</w:t>
      </w:r>
      <w:r>
        <w:rPr>
          <w:rFonts w:hint="eastAsia" w:ascii="宋体" w:hAnsi="宋体"/>
          <w:szCs w:val="28"/>
        </w:rPr>
        <w:t>.提高城防体系标准分值为5分</w:t>
      </w:r>
      <w:r>
        <w:rPr>
          <w:rFonts w:hint="eastAsia" w:ascii="宋体" w:hAnsi="宋体"/>
          <w:szCs w:val="28"/>
          <w:lang w:eastAsia="zh-CN"/>
        </w:rPr>
        <w:t>。</w:t>
      </w:r>
      <w:r>
        <w:rPr>
          <w:rFonts w:hint="eastAsia" w:ascii="宋体" w:hAnsi="宋体"/>
          <w:szCs w:val="28"/>
        </w:rPr>
        <w:t>项目建成后平时作为医院停车场，战时为周边200米附</w:t>
      </w:r>
      <w:r>
        <w:rPr>
          <w:rFonts w:hint="eastAsia" w:ascii="宋体" w:hAnsi="宋体"/>
          <w:szCs w:val="28"/>
          <w:lang w:eastAsia="zh-CN"/>
        </w:rPr>
        <w:t>近</w:t>
      </w:r>
      <w:r>
        <w:rPr>
          <w:rFonts w:hint="eastAsia" w:ascii="宋体" w:hAnsi="宋体"/>
          <w:szCs w:val="28"/>
        </w:rPr>
        <w:t>的市民提供必要的掩蔽场所、战时医疗救护场所、专业队装备掩蔽场所及专业队队员掩蔽场所，工程掩蔽面积约9,200平方米，可掩蔽约4,910人。本次绩效评价取得调查问卷39份，其中5份对项目提高城防体系的功能感到基本满意，34份感到非常满意。该项目扣0.13分，本次绩效评价得分4.87分。</w:t>
      </w:r>
    </w:p>
    <w:p>
      <w:pPr>
        <w:snapToGrid w:val="0"/>
        <w:spacing w:line="560" w:lineRule="atLeast"/>
        <w:ind w:firstLine="560"/>
        <w:rPr>
          <w:rFonts w:ascii="宋体" w:hAnsi="宋体"/>
          <w:szCs w:val="28"/>
        </w:rPr>
      </w:pPr>
      <w:r>
        <w:rPr>
          <w:rFonts w:ascii="宋体" w:hAnsi="宋体"/>
          <w:szCs w:val="28"/>
        </w:rPr>
        <w:t>3</w:t>
      </w:r>
      <w:r>
        <w:rPr>
          <w:rFonts w:hint="eastAsia" w:ascii="宋体" w:hAnsi="宋体"/>
          <w:szCs w:val="28"/>
        </w:rPr>
        <w:t>.生态影响标准分值为5分。经现场查看，未发现破坏生态环境的迹象。本次绩效评价取得调查问卷39份，其中6份对项目建设期间避免环境破坏的措施感到基本满意，33份感到非常满意。该项目扣0.15分，本次绩效评价得分4.85分。</w:t>
      </w:r>
    </w:p>
    <w:p>
      <w:pPr>
        <w:snapToGrid w:val="0"/>
        <w:spacing w:line="560" w:lineRule="atLeast"/>
        <w:ind w:firstLine="560"/>
        <w:rPr>
          <w:rFonts w:ascii="宋体" w:hAnsi="宋体"/>
          <w:szCs w:val="28"/>
        </w:rPr>
      </w:pPr>
      <w:r>
        <w:rPr>
          <w:rFonts w:hint="eastAsia" w:ascii="宋体" w:hAnsi="宋体"/>
          <w:szCs w:val="28"/>
        </w:rPr>
        <w:t>4.长效机制标准分值为5分。项目竣工后，区人防办将与开发建设单位、实施管理单位签订《人民防空工程使用管理合同》，由其负责人防工程的设施安全和正常运转。由于本项目尚未竣工，暂未签订</w:t>
      </w:r>
      <w:r>
        <w:rPr>
          <w:rFonts w:hint="eastAsia" w:ascii="宋体" w:hAnsi="宋体"/>
          <w:szCs w:val="28"/>
          <w:lang w:eastAsia="zh-CN"/>
        </w:rPr>
        <w:t>。</w:t>
      </w:r>
      <w:bookmarkStart w:id="0" w:name="_GoBack"/>
      <w:bookmarkEnd w:id="0"/>
      <w:r>
        <w:rPr>
          <w:rFonts w:hint="eastAsia" w:ascii="宋体" w:hAnsi="宋体"/>
          <w:szCs w:val="28"/>
        </w:rPr>
        <w:t>预计项目实施结果能够持续发挥作用。本次绩效评价得分5分。</w:t>
      </w:r>
    </w:p>
    <w:p>
      <w:pPr>
        <w:snapToGrid w:val="0"/>
        <w:spacing w:line="560" w:lineRule="atLeast"/>
        <w:ind w:firstLine="560"/>
        <w:rPr>
          <w:rFonts w:ascii="宋体" w:hAnsi="宋体"/>
          <w:szCs w:val="28"/>
        </w:rPr>
      </w:pPr>
      <w:r>
        <w:rPr>
          <w:rFonts w:hint="eastAsia" w:ascii="宋体" w:hAnsi="宋体"/>
          <w:szCs w:val="28"/>
        </w:rPr>
        <w:t>5.受益对象满意度标准分值为10分。本次绩效评价取得调查问卷39份，其中5份对项目整体满意度感到基本满意，34份感到非常满意。该项目扣0.31分，本次绩效评价得分9.69分。</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lang w:val="en-US" w:eastAsia="zh-CN"/>
        </w:rPr>
        <w:t>四</w:t>
      </w:r>
      <w:r>
        <w:rPr>
          <w:rFonts w:ascii="宋体" w:hAnsi="宋体"/>
          <w:b/>
          <w:szCs w:val="28"/>
        </w:rPr>
        <w:t>、</w:t>
      </w:r>
      <w:r>
        <w:rPr>
          <w:rFonts w:hint="eastAsia" w:ascii="宋体" w:hAnsi="宋体"/>
          <w:b/>
          <w:szCs w:val="28"/>
        </w:rPr>
        <w:t>绩效评价综述</w:t>
      </w:r>
    </w:p>
    <w:p>
      <w:pPr>
        <w:snapToGrid w:val="0"/>
        <w:spacing w:line="560" w:lineRule="atLeast"/>
        <w:ind w:firstLine="560"/>
        <w:rPr>
          <w:rFonts w:ascii="宋体" w:hAnsi="宋体"/>
          <w:szCs w:val="28"/>
        </w:rPr>
      </w:pPr>
      <w:r>
        <w:rPr>
          <w:rFonts w:hint="eastAsia" w:ascii="宋体" w:hAnsi="宋体"/>
          <w:szCs w:val="28"/>
        </w:rPr>
        <w:t>根据我们设定的绩效目标，重庆市铜梁区中医院单建式人防工程绩效评价得分为</w:t>
      </w:r>
      <w:r>
        <w:rPr>
          <w:rFonts w:ascii="宋体" w:hAnsi="宋体"/>
          <w:szCs w:val="28"/>
        </w:rPr>
        <w:t>85.</w:t>
      </w:r>
      <w:r>
        <w:rPr>
          <w:rFonts w:hint="eastAsia" w:ascii="宋体" w:hAnsi="宋体"/>
          <w:szCs w:val="28"/>
        </w:rPr>
        <w:t>28分，绩效评价等级为：良，各项指标得分情况如下：</w:t>
      </w:r>
    </w:p>
    <w:tbl>
      <w:tblPr>
        <w:tblStyle w:val="18"/>
        <w:tblW w:w="8362" w:type="dxa"/>
        <w:jc w:val="center"/>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
      <w:tblGrid>
        <w:gridCol w:w="1392"/>
        <w:gridCol w:w="1395"/>
        <w:gridCol w:w="1395"/>
        <w:gridCol w:w="1393"/>
        <w:gridCol w:w="1395"/>
        <w:gridCol w:w="139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Ex>
        <w:trPr>
          <w:cantSplit/>
          <w:trHeight w:val="340" w:hRule="atLeast"/>
          <w:jc w:val="center"/>
        </w:trPr>
        <w:tc>
          <w:tcPr>
            <w:tcW w:w="1392" w:type="dxa"/>
            <w:tcBorders>
              <w:top w:val="doub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项目</w:t>
            </w:r>
          </w:p>
        </w:tc>
        <w:tc>
          <w:tcPr>
            <w:tcW w:w="1395" w:type="dxa"/>
            <w:tcBorders>
              <w:top w:val="doub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投入指标</w:t>
            </w:r>
          </w:p>
        </w:tc>
        <w:tc>
          <w:tcPr>
            <w:tcW w:w="1395" w:type="dxa"/>
            <w:tcBorders>
              <w:top w:val="doub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管理指标</w:t>
            </w:r>
          </w:p>
        </w:tc>
        <w:tc>
          <w:tcPr>
            <w:tcW w:w="1393" w:type="dxa"/>
            <w:tcBorders>
              <w:top w:val="doub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产出指标</w:t>
            </w:r>
          </w:p>
        </w:tc>
        <w:tc>
          <w:tcPr>
            <w:tcW w:w="1395" w:type="dxa"/>
            <w:tcBorders>
              <w:top w:val="doub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效益指标</w:t>
            </w:r>
          </w:p>
        </w:tc>
        <w:tc>
          <w:tcPr>
            <w:tcW w:w="1392" w:type="dxa"/>
            <w:tcBorders>
              <w:top w:val="double" w:color="auto" w:sz="4" w:space="0"/>
              <w:left w:val="single" w:color="auto" w:sz="4" w:space="0"/>
              <w:bottom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合计</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Ex>
        <w:trPr>
          <w:cantSplit/>
          <w:trHeight w:val="340" w:hRule="atLeast"/>
          <w:jc w:val="center"/>
        </w:trPr>
        <w:tc>
          <w:tcPr>
            <w:tcW w:w="1392" w:type="dxa"/>
            <w:tcBorders>
              <w:top w:val="sing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标准分</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20.00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20.00</w:t>
            </w:r>
          </w:p>
        </w:tc>
        <w:tc>
          <w:tcPr>
            <w:tcW w:w="1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30.00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30.00</w:t>
            </w:r>
          </w:p>
        </w:tc>
        <w:tc>
          <w:tcPr>
            <w:tcW w:w="1392" w:type="dxa"/>
            <w:tcBorders>
              <w:top w:val="single" w:color="auto" w:sz="4" w:space="0"/>
              <w:left w:val="single" w:color="auto" w:sz="4" w:space="0"/>
              <w:bottom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Ex>
        <w:trPr>
          <w:cantSplit/>
          <w:trHeight w:val="340" w:hRule="atLeast"/>
          <w:jc w:val="center"/>
        </w:trPr>
        <w:tc>
          <w:tcPr>
            <w:tcW w:w="1392" w:type="dxa"/>
            <w:tcBorders>
              <w:top w:val="single" w:color="auto" w:sz="4" w:space="0"/>
              <w:bottom w:val="doub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得分</w:t>
            </w:r>
          </w:p>
        </w:tc>
        <w:tc>
          <w:tcPr>
            <w:tcW w:w="1395" w:type="dxa"/>
            <w:tcBorders>
              <w:top w:val="single" w:color="auto" w:sz="4" w:space="0"/>
              <w:left w:val="single" w:color="auto" w:sz="4" w:space="0"/>
              <w:bottom w:val="doub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17.00</w:t>
            </w:r>
          </w:p>
        </w:tc>
        <w:tc>
          <w:tcPr>
            <w:tcW w:w="1395" w:type="dxa"/>
            <w:tcBorders>
              <w:top w:val="single" w:color="auto" w:sz="4" w:space="0"/>
              <w:left w:val="single" w:color="auto" w:sz="4" w:space="0"/>
              <w:bottom w:val="doub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18.00</w:t>
            </w:r>
          </w:p>
        </w:tc>
        <w:tc>
          <w:tcPr>
            <w:tcW w:w="1393" w:type="dxa"/>
            <w:tcBorders>
              <w:top w:val="single" w:color="auto" w:sz="4" w:space="0"/>
              <w:left w:val="single" w:color="auto" w:sz="4" w:space="0"/>
              <w:bottom w:val="doub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21.00</w:t>
            </w:r>
          </w:p>
        </w:tc>
        <w:tc>
          <w:tcPr>
            <w:tcW w:w="1395" w:type="dxa"/>
            <w:tcBorders>
              <w:top w:val="single" w:color="auto" w:sz="4" w:space="0"/>
              <w:left w:val="single" w:color="auto" w:sz="4" w:space="0"/>
              <w:bottom w:val="doub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29.28</w:t>
            </w:r>
          </w:p>
        </w:tc>
        <w:tc>
          <w:tcPr>
            <w:tcW w:w="1392" w:type="dxa"/>
            <w:tcBorders>
              <w:top w:val="single" w:color="auto" w:sz="4" w:space="0"/>
              <w:left w:val="single" w:color="auto" w:sz="4" w:space="0"/>
              <w:bottom w:val="doub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85.28</w:t>
            </w:r>
          </w:p>
        </w:tc>
      </w:tr>
    </w:tbl>
    <w:p>
      <w:pPr>
        <w:snapToGrid w:val="0"/>
        <w:spacing w:line="560" w:lineRule="atLeast"/>
        <w:ind w:firstLine="560"/>
        <w:rPr>
          <w:rFonts w:ascii="宋体" w:hAnsi="宋体"/>
          <w:szCs w:val="28"/>
        </w:rPr>
      </w:pPr>
      <w:r>
        <w:rPr>
          <w:rFonts w:hint="eastAsia" w:ascii="宋体" w:hAnsi="宋体"/>
          <w:szCs w:val="28"/>
        </w:rPr>
        <w:t>注：详见重庆市铜梁区中医院单建式人防工程绩效评价指标表。</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lang w:val="en-US" w:eastAsia="zh-CN"/>
        </w:rPr>
        <w:t>五</w:t>
      </w:r>
      <w:r>
        <w:rPr>
          <w:rFonts w:ascii="宋体" w:hAnsi="宋体"/>
          <w:b/>
          <w:szCs w:val="28"/>
        </w:rPr>
        <w:t>、</w:t>
      </w:r>
      <w:r>
        <w:rPr>
          <w:rFonts w:hint="eastAsia" w:ascii="宋体" w:hAnsi="宋体"/>
          <w:b/>
          <w:szCs w:val="28"/>
        </w:rPr>
        <w:t>存在的主要问题及建议</w:t>
      </w:r>
    </w:p>
    <w:p>
      <w:pPr>
        <w:snapToGrid w:val="0"/>
        <w:spacing w:line="560" w:lineRule="atLeast"/>
        <w:ind w:firstLine="560"/>
        <w:rPr>
          <w:rFonts w:ascii="宋体" w:hAnsi="宋体"/>
          <w:szCs w:val="28"/>
        </w:rPr>
      </w:pPr>
      <w:r>
        <w:rPr>
          <w:rFonts w:hint="eastAsia" w:ascii="宋体" w:hAnsi="宋体"/>
          <w:szCs w:val="28"/>
        </w:rPr>
        <w:t>1、项目绩效评价指标填写不规范。《铜梁区中医院单建式人防工程工作绩效目标表》数量指标和时效指标填写不规范，数量指标未进行量化而是以“整个工程”来表示指标值，指标性质“=”。时效</w:t>
      </w:r>
      <w:r>
        <w:rPr>
          <w:rFonts w:hint="eastAsia" w:ascii="宋体" w:hAnsi="宋体"/>
          <w:szCs w:val="28"/>
          <w:lang w:eastAsia="zh-CN"/>
        </w:rPr>
        <w:t>指标值</w:t>
      </w:r>
      <w:r>
        <w:rPr>
          <w:rFonts w:hint="eastAsia" w:ascii="宋体" w:hAnsi="宋体"/>
          <w:szCs w:val="28"/>
        </w:rPr>
        <w:t>“年内完工”，指标性质“=”。</w:t>
      </w:r>
    </w:p>
    <w:p>
      <w:pPr>
        <w:snapToGrid w:val="0"/>
        <w:spacing w:line="560" w:lineRule="atLeast"/>
        <w:ind w:firstLine="560"/>
        <w:rPr>
          <w:rFonts w:ascii="宋体" w:hAnsi="宋体"/>
          <w:szCs w:val="28"/>
        </w:rPr>
      </w:pPr>
      <w:r>
        <w:rPr>
          <w:rFonts w:hint="eastAsia" w:ascii="宋体" w:hAnsi="宋体"/>
          <w:szCs w:val="28"/>
        </w:rPr>
        <w:t>建议按照《铜梁区区级政策和项目预算绩效管理办法》的要求，指标值用数字或合格、达标等第三方可衡量的文字表示。指标值为文字的，指标性质用“无”表示。</w:t>
      </w:r>
    </w:p>
    <w:p>
      <w:pPr>
        <w:snapToGrid w:val="0"/>
        <w:spacing w:line="560" w:lineRule="atLeast"/>
        <w:ind w:firstLine="560"/>
        <w:rPr>
          <w:rFonts w:ascii="宋体" w:hAnsi="宋体"/>
          <w:szCs w:val="28"/>
        </w:rPr>
      </w:pPr>
      <w:r>
        <w:rPr>
          <w:rFonts w:hint="eastAsia" w:ascii="宋体" w:hAnsi="宋体"/>
          <w:szCs w:val="28"/>
        </w:rPr>
        <w:t>2、未制定本级部门的项目管理制度。铜梁区人防办执行市级和区级的相关工程项目管理制度，未结合自身实际情况分解工作流程，细化管理规范。</w:t>
      </w:r>
    </w:p>
    <w:p>
      <w:pPr>
        <w:snapToGrid w:val="0"/>
        <w:spacing w:line="560" w:lineRule="atLeast"/>
        <w:ind w:firstLine="560"/>
        <w:rPr>
          <w:rFonts w:ascii="宋体" w:hAnsi="宋体"/>
          <w:szCs w:val="28"/>
        </w:rPr>
      </w:pPr>
      <w:r>
        <w:rPr>
          <w:rFonts w:hint="eastAsia" w:ascii="宋体" w:hAnsi="宋体"/>
          <w:szCs w:val="28"/>
        </w:rPr>
        <w:t>建议全面梳理本部门工作环节，在市级和区级管理制度框架下，制定符合自身实际情况的工程项目管理制度，以加强项目管理，规避法律风险，确保建设项目活动合法合规地开展。</w:t>
      </w:r>
    </w:p>
    <w:p>
      <w:pPr>
        <w:snapToGrid w:val="0"/>
        <w:spacing w:line="560" w:lineRule="atLeast"/>
        <w:ind w:firstLine="560"/>
        <w:rPr>
          <w:rFonts w:ascii="宋体" w:hAnsi="宋体"/>
          <w:szCs w:val="28"/>
        </w:rPr>
      </w:pPr>
      <w:r>
        <w:rPr>
          <w:rFonts w:hint="eastAsia" w:ascii="宋体" w:hAnsi="宋体"/>
          <w:szCs w:val="28"/>
        </w:rPr>
        <w:t>3、项目建设进度滞后。施工合同约定本项目工期365天，项目于2023年5月30日开工，截至2024年6月28日完工进度约86%，预计7月底完工。</w:t>
      </w:r>
    </w:p>
    <w:p>
      <w:pPr>
        <w:snapToGrid w:val="0"/>
        <w:spacing w:line="560" w:lineRule="atLeast"/>
        <w:ind w:firstLine="560"/>
        <w:rPr>
          <w:rFonts w:ascii="宋体" w:hAnsi="宋体"/>
          <w:szCs w:val="28"/>
        </w:rPr>
      </w:pPr>
      <w:r>
        <w:rPr>
          <w:rFonts w:hint="eastAsia" w:ascii="宋体" w:hAnsi="宋体"/>
          <w:szCs w:val="28"/>
        </w:rPr>
        <w:t>建议合理安排工程款支付，同时加强与代建单位、施工单位的沟通，对施工中遇到的影响进度的问题及时提出解决方案，明确各方责任。对于因施工方原因导致的工程延期，按合同约定依法追究相应责任。</w:t>
      </w:r>
    </w:p>
    <w:p>
      <w:pPr>
        <w:snapToGrid w:val="0"/>
        <w:spacing w:line="560" w:lineRule="exact"/>
        <w:ind w:firstLine="562"/>
        <w:rPr>
          <w:rFonts w:ascii="宋体" w:hAnsi="宋体"/>
          <w:b/>
          <w:bCs/>
          <w:szCs w:val="28"/>
        </w:rPr>
      </w:pPr>
      <w:r>
        <w:rPr>
          <w:rFonts w:hint="eastAsia" w:ascii="宋体" w:hAnsi="宋体"/>
          <w:b/>
          <w:bCs/>
          <w:szCs w:val="28"/>
          <w:lang w:val="en-US" w:eastAsia="zh-CN"/>
        </w:rPr>
        <w:t>六</w:t>
      </w:r>
      <w:r>
        <w:rPr>
          <w:rFonts w:hint="eastAsia" w:ascii="宋体" w:hAnsi="宋体"/>
          <w:b/>
          <w:bCs/>
          <w:szCs w:val="28"/>
        </w:rPr>
        <w:t>、绩效评价报告的使用限制说明</w:t>
      </w:r>
    </w:p>
    <w:p>
      <w:pPr>
        <w:snapToGrid w:val="0"/>
        <w:spacing w:line="560" w:lineRule="exact"/>
        <w:ind w:firstLine="560"/>
        <w:rPr>
          <w:rFonts w:ascii="宋体" w:hAnsi="宋体"/>
          <w:szCs w:val="28"/>
        </w:rPr>
      </w:pPr>
      <w:r>
        <w:rPr>
          <w:rFonts w:hint="eastAsia" w:ascii="宋体" w:hAnsi="宋体"/>
          <w:szCs w:val="28"/>
        </w:rPr>
        <w:t>（一）绩效评价报告只能用于评价报告载明的评价目的；</w:t>
      </w:r>
    </w:p>
    <w:p>
      <w:pPr>
        <w:snapToGrid w:val="0"/>
        <w:spacing w:line="560" w:lineRule="exact"/>
        <w:ind w:firstLine="560"/>
        <w:rPr>
          <w:rFonts w:ascii="宋体" w:hAnsi="宋体"/>
          <w:szCs w:val="28"/>
        </w:rPr>
      </w:pPr>
      <w:r>
        <w:rPr>
          <w:rFonts w:hint="eastAsia" w:ascii="宋体" w:hAnsi="宋体"/>
          <w:szCs w:val="28"/>
        </w:rPr>
        <w:t>（二）绩效评价报告只能由评价报告载明的评价报告使用者使用；</w:t>
      </w:r>
    </w:p>
    <w:p>
      <w:pPr>
        <w:snapToGrid w:val="0"/>
        <w:spacing w:line="560" w:lineRule="exact"/>
        <w:ind w:firstLine="560"/>
        <w:rPr>
          <w:rFonts w:ascii="宋体" w:hAnsi="宋体"/>
          <w:szCs w:val="28"/>
        </w:rPr>
      </w:pPr>
      <w:r>
        <w:rPr>
          <w:rFonts w:hint="eastAsia" w:ascii="宋体" w:hAnsi="宋体"/>
          <w:szCs w:val="28"/>
        </w:rPr>
        <w:t>（三）未征得委托方、相关政府部门或出具绩效评价报告的机构同意，绩效评价报告的内容不得被摘抄、引用或披露于公开媒体，法律、法规规定及相关当事方另有约定的除外。</w:t>
      </w:r>
    </w:p>
    <w:p>
      <w:pPr>
        <w:snapToGrid w:val="0"/>
        <w:spacing w:line="560" w:lineRule="exact"/>
        <w:ind w:firstLine="560"/>
        <w:rPr>
          <w:rFonts w:ascii="宋体" w:hAnsi="宋体"/>
          <w:szCs w:val="28"/>
        </w:rPr>
      </w:pPr>
    </w:p>
    <w:p>
      <w:pPr>
        <w:snapToGrid w:val="0"/>
        <w:spacing w:line="560" w:lineRule="exact"/>
        <w:ind w:firstLine="560"/>
        <w:rPr>
          <w:rFonts w:ascii="宋体" w:hAnsi="宋体"/>
          <w:szCs w:val="28"/>
        </w:rPr>
      </w:pPr>
    </w:p>
    <w:p>
      <w:pPr>
        <w:snapToGrid w:val="0"/>
        <w:spacing w:line="560" w:lineRule="exact"/>
        <w:ind w:firstLine="560"/>
        <w:rPr>
          <w:rFonts w:hint="eastAsia" w:ascii="宋体" w:hAnsi="宋体"/>
          <w:szCs w:val="28"/>
        </w:rPr>
      </w:pPr>
    </w:p>
    <w:p>
      <w:pPr>
        <w:snapToGrid w:val="0"/>
        <w:spacing w:line="560" w:lineRule="exact"/>
        <w:ind w:firstLine="560"/>
        <w:rPr>
          <w:rFonts w:hint="eastAsia" w:ascii="宋体" w:hAnsi="宋体"/>
          <w:szCs w:val="28"/>
        </w:rPr>
      </w:pPr>
    </w:p>
    <w:p>
      <w:pPr>
        <w:spacing w:line="560" w:lineRule="exact"/>
        <w:ind w:firstLine="0" w:firstLineChars="0"/>
        <w:jc w:val="left"/>
        <w:rPr>
          <w:rFonts w:cs="仿宋" w:asciiTheme="majorEastAsia" w:hAnsiTheme="majorEastAsia" w:eastAsiaTheme="majorEastAsia"/>
          <w:b/>
          <w:bCs/>
          <w:szCs w:val="28"/>
        </w:rPr>
      </w:pPr>
      <w:r>
        <w:rPr>
          <w:rFonts w:hint="eastAsia" w:cs="仿宋" w:asciiTheme="majorEastAsia" w:hAnsiTheme="majorEastAsia" w:eastAsiaTheme="majorEastAsia"/>
          <w:b/>
          <w:bCs/>
          <w:szCs w:val="28"/>
        </w:rPr>
        <w:t>重庆凯弘会计师事务所有限公司           中国注册会计师：</w:t>
      </w:r>
    </w:p>
    <w:p>
      <w:pPr>
        <w:spacing w:line="560" w:lineRule="exact"/>
        <w:ind w:firstLine="562"/>
        <w:rPr>
          <w:rFonts w:cs="仿宋" w:asciiTheme="majorEastAsia" w:hAnsiTheme="majorEastAsia" w:eastAsiaTheme="majorEastAsia"/>
          <w:b/>
          <w:bCs/>
          <w:szCs w:val="28"/>
        </w:rPr>
      </w:pPr>
    </w:p>
    <w:p>
      <w:pPr>
        <w:spacing w:line="560" w:lineRule="exact"/>
        <w:ind w:firstLine="562"/>
        <w:rPr>
          <w:rFonts w:cs="仿宋" w:asciiTheme="majorEastAsia" w:hAnsiTheme="majorEastAsia" w:eastAsiaTheme="majorEastAsia"/>
          <w:b/>
          <w:bCs/>
          <w:szCs w:val="28"/>
        </w:rPr>
      </w:pPr>
      <w:r>
        <w:rPr>
          <w:rFonts w:hint="eastAsia" w:cs="仿宋" w:asciiTheme="majorEastAsia" w:hAnsiTheme="majorEastAsia" w:eastAsiaTheme="majorEastAsia"/>
          <w:b/>
          <w:bCs/>
          <w:szCs w:val="28"/>
        </w:rPr>
        <w:t xml:space="preserve">     中国*重庆                     中国注册会计师：</w:t>
      </w:r>
    </w:p>
    <w:p>
      <w:pPr>
        <w:snapToGrid w:val="0"/>
        <w:spacing w:line="560" w:lineRule="exact"/>
        <w:ind w:firstLine="560"/>
        <w:rPr>
          <w:rFonts w:asciiTheme="majorEastAsia" w:hAnsiTheme="majorEastAsia" w:eastAsiaTheme="majorEastAsia"/>
          <w:szCs w:val="28"/>
        </w:rPr>
      </w:pPr>
    </w:p>
    <w:p>
      <w:pPr>
        <w:snapToGrid w:val="0"/>
        <w:spacing w:line="560" w:lineRule="exact"/>
        <w:ind w:firstLine="562"/>
        <w:jc w:val="right"/>
        <w:rPr>
          <w:rFonts w:ascii="宋体" w:hAnsi="宋体"/>
          <w:szCs w:val="28"/>
        </w:rPr>
      </w:pPr>
      <w:r>
        <w:rPr>
          <w:rFonts w:hint="eastAsia" w:ascii="宋体" w:hAnsi="宋体"/>
          <w:b/>
          <w:bCs/>
          <w:szCs w:val="28"/>
        </w:rPr>
        <w:t>二○二四年六月二十八日</w:t>
      </w:r>
    </w:p>
    <w:p>
      <w:pPr>
        <w:snapToGrid w:val="0"/>
        <w:spacing w:line="560" w:lineRule="exact"/>
        <w:ind w:firstLine="560"/>
        <w:rPr>
          <w:rFonts w:ascii="宋体" w:hAnsi="宋体"/>
          <w:szCs w:val="28"/>
        </w:rPr>
      </w:pPr>
    </w:p>
    <w:p>
      <w:pPr>
        <w:spacing w:line="20" w:lineRule="exact"/>
        <w:ind w:right="1123" w:firstLine="0" w:firstLineChars="0"/>
        <w:rPr>
          <w:rFonts w:ascii="宋体" w:hAnsi="宋体"/>
          <w:szCs w:val="28"/>
        </w:rPr>
      </w:pPr>
    </w:p>
    <w:sectPr>
      <w:headerReference r:id="rId11"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ind w:firstLine="360"/>
      <w:rPr>
        <w:rStyle w:val="22"/>
      </w:rPr>
    </w:pPr>
    <w:r>
      <w:fldChar w:fldCharType="begin"/>
    </w:r>
    <w:r>
      <w:rPr>
        <w:rStyle w:val="22"/>
      </w:rPr>
      <w:instrText xml:space="preserve">PAGE  </w:instrText>
    </w:r>
    <w:r>
      <w:fldChar w:fldCharType="separate"/>
    </w:r>
    <w:r>
      <w:rPr>
        <w:rStyle w:val="22"/>
      </w:rPr>
      <w:t>2</w:t>
    </w:r>
    <w:r>
      <w:fldChar w:fldCharType="end"/>
    </w:r>
  </w:p>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2"/>
          <w:ind w:firstLine="360"/>
          <w:jc w:val="center"/>
        </w:pPr>
        <w:r>
          <w:fldChar w:fldCharType="begin"/>
        </w:r>
        <w:r>
          <w:instrText xml:space="preserve">PAGE   \* MERGEFORMAT</w:instrText>
        </w:r>
        <w:r>
          <w:fldChar w:fldCharType="separate"/>
        </w:r>
        <w:r>
          <w:rPr>
            <w:lang w:val="zh-CN"/>
          </w:rPr>
          <w:t>19</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eastAsia="楷体_GB2312"/>
        <w:b/>
        <w:bCs/>
        <w:sz w:val="84"/>
      </w:rPr>
    </w:pPr>
    <w:r>
      <w:rPr>
        <w:rFonts w:hint="eastAsia" w:eastAsia="楷体_GB2312"/>
        <w:b/>
        <w:bCs/>
        <w:spacing w:val="1"/>
        <w:w w:val="71"/>
        <w:kern w:val="0"/>
        <w:sz w:val="84"/>
        <w:fitText w:val="8465" w:id="-1129615104"/>
      </w:rPr>
      <w:t>重庆凯弘会计师事务所有限公</w:t>
    </w:r>
    <w:r>
      <w:rPr>
        <w:rFonts w:hint="eastAsia" w:eastAsia="楷体_GB2312"/>
        <w:b/>
        <w:bCs/>
        <w:spacing w:val="22"/>
        <w:w w:val="71"/>
        <w:kern w:val="0"/>
        <w:sz w:val="84"/>
        <w:fitText w:val="8465" w:id="-1129615104"/>
      </w:rPr>
      <w:t>司</w:t>
    </w:r>
  </w:p>
  <w:p>
    <w:pPr>
      <w:pStyle w:val="3"/>
      <w:numPr>
        <w:ilvl w:val="0"/>
        <w:numId w:val="0"/>
      </w:numPr>
      <w:pBdr>
        <w:top w:val="none" w:color="auto" w:sz="0" w:space="1"/>
        <w:left w:val="none" w:color="auto" w:sz="0" w:space="4"/>
        <w:bottom w:val="single" w:color="000000" w:sz="4" w:space="0"/>
        <w:right w:val="none" w:color="auto" w:sz="0" w:space="4"/>
      </w:pBdr>
      <w:jc w:val="both"/>
      <w:rPr>
        <w:kern w:val="0"/>
        <w:sz w:val="32"/>
      </w:rPr>
    </w:pPr>
    <w:r>
      <w:rPr>
        <w:rFonts w:hint="eastAsia"/>
        <w:spacing w:val="0"/>
        <w:w w:val="99"/>
        <w:kern w:val="0"/>
        <w:sz w:val="32"/>
        <w:fitText w:val="8512" w:id="-1129615103"/>
      </w:rPr>
      <w:t xml:space="preserve">CHONGQING </w:t>
    </w:r>
    <w:r>
      <w:rPr>
        <w:spacing w:val="0"/>
        <w:w w:val="99"/>
        <w:kern w:val="0"/>
        <w:sz w:val="32"/>
        <w:fitText w:val="8512" w:id="-1129615103"/>
      </w:rPr>
      <w:t>KAIHONG</w:t>
    </w:r>
    <w:r>
      <w:rPr>
        <w:rFonts w:hint="eastAsia"/>
        <w:spacing w:val="0"/>
        <w:w w:val="99"/>
        <w:kern w:val="0"/>
        <w:sz w:val="32"/>
        <w:fitText w:val="8512" w:id="-1129615103"/>
      </w:rPr>
      <w:t xml:space="preserve"> CERTIFIED PUBLIC ACCOUNTANTS CO.,LTD</w:t>
    </w:r>
    <w:r>
      <w:rPr>
        <w:rFonts w:hint="eastAsia"/>
        <w:spacing w:val="19"/>
        <w:w w:val="99"/>
        <w:kern w:val="0"/>
        <w:sz w:val="32"/>
        <w:fitText w:val="8512" w:id="-1129615103"/>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jc w:val="both"/>
      <w:rPr>
        <w:spacing w:val="-18"/>
        <w:kern w:val="10"/>
      </w:rPr>
    </w:pPr>
    <w:r>
      <w:rPr>
        <w:rFonts w:hint="eastAsia" w:ascii="仿宋" w:hAnsi="仿宋" w:eastAsia="仿宋" w:cs="仿宋"/>
        <w:i/>
        <w:iCs/>
        <w:spacing w:val="-18"/>
        <w:kern w:val="10"/>
        <w:shd w:val="clear" w:color="auto" w:fill="D9D9D9"/>
      </w:rPr>
      <w:t xml:space="preserve">重庆市铜梁区中医院单建式人防工程                                                                                </w:t>
    </w:r>
    <w:r>
      <w:rPr>
        <w:rFonts w:hint="eastAsia" w:ascii="仿宋" w:hAnsi="仿宋" w:eastAsia="仿宋" w:cs="仿宋"/>
        <w:spacing w:val="-18"/>
        <w:kern w:val="10"/>
        <w:shd w:val="clear" w:color="auto" w:fill="D9D9D9"/>
      </w:rPr>
      <w:t xml:space="preserve">    </w:t>
    </w:r>
    <w:r>
      <w:rPr>
        <w:rFonts w:ascii="仿宋" w:hAnsi="仿宋" w:eastAsia="仿宋" w:cs="仿宋"/>
        <w:spacing w:val="-18"/>
        <w:kern w:val="10"/>
        <w:shd w:val="clear" w:color="auto" w:fill="D9D9D9"/>
      </w:rPr>
      <w:t xml:space="preserve"> </w:t>
    </w:r>
    <w:r>
      <w:rPr>
        <w:rFonts w:ascii="仿宋" w:hAnsi="仿宋" w:eastAsia="仿宋" w:cs="仿宋"/>
        <w:i/>
        <w:iCs/>
        <w:spacing w:val="-18"/>
        <w:kern w:val="10"/>
        <w:shd w:val="clear" w:color="auto" w:fill="D9D9D9"/>
      </w:rPr>
      <w:t xml:space="preserve"> </w:t>
    </w:r>
    <w:r>
      <w:rPr>
        <w:rFonts w:hint="eastAsia" w:ascii="仿宋" w:hAnsi="仿宋" w:eastAsia="仿宋" w:cs="仿宋"/>
        <w:i/>
        <w:iCs/>
        <w:spacing w:val="-18"/>
        <w:kern w:val="10"/>
        <w:shd w:val="clear" w:color="auto" w:fill="D9D9D9"/>
      </w:rPr>
      <w:t xml:space="preserve">         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5A2B"/>
    <w:multiLevelType w:val="multilevel"/>
    <w:tmpl w:val="0AF75A2B"/>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
    <w:nsid w:val="11BA52B8"/>
    <w:multiLevelType w:val="multilevel"/>
    <w:tmpl w:val="11BA52B8"/>
    <w:lvl w:ilvl="0" w:tentative="0">
      <w:start w:val="1"/>
      <w:numFmt w:val="chineseCountingThousand"/>
      <w:pStyle w:val="3"/>
      <w:lvlText w:val="(%1)"/>
      <w:lvlJc w:val="left"/>
      <w:pPr>
        <w:ind w:left="5826" w:hanging="440"/>
      </w:pPr>
      <w:rPr>
        <w:rFonts w:hint="eastAsia"/>
      </w:rPr>
    </w:lvl>
    <w:lvl w:ilvl="1" w:tentative="0">
      <w:start w:val="1"/>
      <w:numFmt w:val="lowerLetter"/>
      <w:lvlText w:val="%2)"/>
      <w:lvlJc w:val="left"/>
      <w:pPr>
        <w:ind w:left="1080" w:hanging="440"/>
      </w:pPr>
      <w:rPr>
        <w:rFonts w:hint="eastAsia"/>
      </w:rPr>
    </w:lvl>
    <w:lvl w:ilvl="2" w:tentative="0">
      <w:start w:val="1"/>
      <w:numFmt w:val="lowerRoman"/>
      <w:lvlText w:val="%3."/>
      <w:lvlJc w:val="right"/>
      <w:pPr>
        <w:ind w:left="1520" w:hanging="440"/>
      </w:pPr>
      <w:rPr>
        <w:rFonts w:hint="eastAsia"/>
      </w:rPr>
    </w:lvl>
    <w:lvl w:ilvl="3" w:tentative="0">
      <w:start w:val="1"/>
      <w:numFmt w:val="decimal"/>
      <w:lvlText w:val="%4."/>
      <w:lvlJc w:val="left"/>
      <w:pPr>
        <w:ind w:left="1960" w:hanging="440"/>
      </w:pPr>
      <w:rPr>
        <w:rFonts w:hint="eastAsia"/>
      </w:rPr>
    </w:lvl>
    <w:lvl w:ilvl="4" w:tentative="0">
      <w:start w:val="1"/>
      <w:numFmt w:val="lowerLetter"/>
      <w:lvlText w:val="%5)"/>
      <w:lvlJc w:val="left"/>
      <w:pPr>
        <w:ind w:left="2400" w:hanging="440"/>
      </w:pPr>
      <w:rPr>
        <w:rFonts w:hint="eastAsia"/>
      </w:rPr>
    </w:lvl>
    <w:lvl w:ilvl="5" w:tentative="0">
      <w:start w:val="1"/>
      <w:numFmt w:val="lowerRoman"/>
      <w:lvlText w:val="%6."/>
      <w:lvlJc w:val="right"/>
      <w:pPr>
        <w:ind w:left="2840" w:hanging="440"/>
      </w:pPr>
      <w:rPr>
        <w:rFonts w:hint="eastAsia"/>
      </w:rPr>
    </w:lvl>
    <w:lvl w:ilvl="6" w:tentative="0">
      <w:start w:val="1"/>
      <w:numFmt w:val="decimal"/>
      <w:lvlText w:val="%7."/>
      <w:lvlJc w:val="left"/>
      <w:pPr>
        <w:ind w:left="3280" w:hanging="440"/>
      </w:pPr>
      <w:rPr>
        <w:rFonts w:hint="eastAsia"/>
      </w:rPr>
    </w:lvl>
    <w:lvl w:ilvl="7" w:tentative="0">
      <w:start w:val="1"/>
      <w:numFmt w:val="lowerLetter"/>
      <w:lvlText w:val="%8)"/>
      <w:lvlJc w:val="left"/>
      <w:pPr>
        <w:ind w:left="3720" w:hanging="440"/>
      </w:pPr>
      <w:rPr>
        <w:rFonts w:hint="eastAsia"/>
      </w:rPr>
    </w:lvl>
    <w:lvl w:ilvl="8" w:tentative="0">
      <w:start w:val="1"/>
      <w:numFmt w:val="lowerRoman"/>
      <w:lvlText w:val="%9."/>
      <w:lvlJc w:val="right"/>
      <w:pPr>
        <w:ind w:left="4160" w:hanging="440"/>
      </w:pPr>
      <w:rPr>
        <w:rFonts w:hint="eastAsia"/>
      </w:rPr>
    </w:lvl>
  </w:abstractNum>
  <w:abstractNum w:abstractNumId="2">
    <w:nsid w:val="342D66D4"/>
    <w:multiLevelType w:val="multilevel"/>
    <w:tmpl w:val="342D66D4"/>
    <w:lvl w:ilvl="0" w:tentative="0">
      <w:start w:val="1"/>
      <w:numFmt w:val="decimal"/>
      <w:pStyle w:val="15"/>
      <w:lvlText w:val="（%1）"/>
      <w:lvlJc w:val="left"/>
      <w:pPr>
        <w:ind w:left="640" w:hanging="440"/>
      </w:pPr>
      <w:rPr>
        <w:rFonts w:hint="eastAsia"/>
      </w:rPr>
    </w:lvl>
    <w:lvl w:ilvl="1" w:tentative="0">
      <w:start w:val="1"/>
      <w:numFmt w:val="lowerLetter"/>
      <w:lvlText w:val="%2)"/>
      <w:lvlJc w:val="left"/>
      <w:pPr>
        <w:ind w:left="1080" w:hanging="440"/>
      </w:pPr>
    </w:lvl>
    <w:lvl w:ilvl="2" w:tentative="0">
      <w:start w:val="1"/>
      <w:numFmt w:val="lowerRoman"/>
      <w:lvlText w:val="%3."/>
      <w:lvlJc w:val="right"/>
      <w:pPr>
        <w:ind w:left="1520" w:hanging="440"/>
      </w:pPr>
    </w:lvl>
    <w:lvl w:ilvl="3" w:tentative="0">
      <w:start w:val="1"/>
      <w:numFmt w:val="decimal"/>
      <w:lvlText w:val="%4."/>
      <w:lvlJc w:val="left"/>
      <w:pPr>
        <w:ind w:left="1960" w:hanging="440"/>
      </w:pPr>
    </w:lvl>
    <w:lvl w:ilvl="4" w:tentative="0">
      <w:start w:val="1"/>
      <w:numFmt w:val="lowerLetter"/>
      <w:lvlText w:val="%5)"/>
      <w:lvlJc w:val="left"/>
      <w:pPr>
        <w:ind w:left="2400" w:hanging="440"/>
      </w:pPr>
    </w:lvl>
    <w:lvl w:ilvl="5" w:tentative="0">
      <w:start w:val="1"/>
      <w:numFmt w:val="lowerRoman"/>
      <w:lvlText w:val="%6."/>
      <w:lvlJc w:val="right"/>
      <w:pPr>
        <w:ind w:left="2840" w:hanging="440"/>
      </w:pPr>
    </w:lvl>
    <w:lvl w:ilvl="6" w:tentative="0">
      <w:start w:val="1"/>
      <w:numFmt w:val="decimal"/>
      <w:lvlText w:val="%7."/>
      <w:lvlJc w:val="left"/>
      <w:pPr>
        <w:ind w:left="3280" w:hanging="440"/>
      </w:pPr>
    </w:lvl>
    <w:lvl w:ilvl="7" w:tentative="0">
      <w:start w:val="1"/>
      <w:numFmt w:val="lowerLetter"/>
      <w:lvlText w:val="%8)"/>
      <w:lvlJc w:val="left"/>
      <w:pPr>
        <w:ind w:left="3720" w:hanging="440"/>
      </w:pPr>
    </w:lvl>
    <w:lvl w:ilvl="8" w:tentative="0">
      <w:start w:val="1"/>
      <w:numFmt w:val="lowerRoman"/>
      <w:lvlText w:val="%9."/>
      <w:lvlJc w:val="right"/>
      <w:pPr>
        <w:ind w:left="4160" w:hanging="440"/>
      </w:pPr>
    </w:lvl>
  </w:abstractNum>
  <w:abstractNum w:abstractNumId="3">
    <w:nsid w:val="54D24375"/>
    <w:multiLevelType w:val="multilevel"/>
    <w:tmpl w:val="54D24375"/>
    <w:lvl w:ilvl="0" w:tentative="0">
      <w:start w:val="1"/>
      <w:numFmt w:val="decimal"/>
      <w:pStyle w:val="4"/>
      <w:lvlText w:val="%1."/>
      <w:lvlJc w:val="left"/>
      <w:pPr>
        <w:ind w:left="567" w:firstLine="1"/>
      </w:pPr>
      <w:rPr>
        <w:rFonts w:hint="eastAsia"/>
      </w:rPr>
    </w:lvl>
    <w:lvl w:ilvl="1" w:tentative="0">
      <w:start w:val="1"/>
      <w:numFmt w:val="lowerLetter"/>
      <w:lvlText w:val="%2)"/>
      <w:lvlJc w:val="left"/>
      <w:pPr>
        <w:ind w:left="1441" w:hanging="440"/>
      </w:pPr>
      <w:rPr>
        <w:rFonts w:hint="eastAsia"/>
      </w:rPr>
    </w:lvl>
    <w:lvl w:ilvl="2" w:tentative="0">
      <w:start w:val="1"/>
      <w:numFmt w:val="lowerRoman"/>
      <w:lvlText w:val="%3."/>
      <w:lvlJc w:val="right"/>
      <w:pPr>
        <w:ind w:left="1881" w:hanging="440"/>
      </w:pPr>
      <w:rPr>
        <w:rFonts w:hint="eastAsia"/>
      </w:rPr>
    </w:lvl>
    <w:lvl w:ilvl="3" w:tentative="0">
      <w:start w:val="1"/>
      <w:numFmt w:val="decimal"/>
      <w:lvlText w:val="%4."/>
      <w:lvlJc w:val="left"/>
      <w:pPr>
        <w:ind w:left="2321" w:hanging="440"/>
      </w:pPr>
      <w:rPr>
        <w:rFonts w:hint="eastAsia"/>
      </w:rPr>
    </w:lvl>
    <w:lvl w:ilvl="4" w:tentative="0">
      <w:start w:val="1"/>
      <w:numFmt w:val="lowerLetter"/>
      <w:lvlText w:val="%5)"/>
      <w:lvlJc w:val="left"/>
      <w:pPr>
        <w:ind w:left="2761" w:hanging="440"/>
      </w:pPr>
      <w:rPr>
        <w:rFonts w:hint="eastAsia"/>
      </w:rPr>
    </w:lvl>
    <w:lvl w:ilvl="5" w:tentative="0">
      <w:start w:val="1"/>
      <w:numFmt w:val="lowerRoman"/>
      <w:lvlText w:val="%6."/>
      <w:lvlJc w:val="right"/>
      <w:pPr>
        <w:ind w:left="3201" w:hanging="440"/>
      </w:pPr>
      <w:rPr>
        <w:rFonts w:hint="eastAsia"/>
      </w:rPr>
    </w:lvl>
    <w:lvl w:ilvl="6" w:tentative="0">
      <w:start w:val="1"/>
      <w:numFmt w:val="decimal"/>
      <w:lvlText w:val="%7."/>
      <w:lvlJc w:val="left"/>
      <w:pPr>
        <w:ind w:left="3641" w:hanging="440"/>
      </w:pPr>
      <w:rPr>
        <w:rFonts w:hint="eastAsia"/>
      </w:rPr>
    </w:lvl>
    <w:lvl w:ilvl="7" w:tentative="0">
      <w:start w:val="1"/>
      <w:numFmt w:val="lowerLetter"/>
      <w:lvlText w:val="%8)"/>
      <w:lvlJc w:val="left"/>
      <w:pPr>
        <w:ind w:left="4081" w:hanging="440"/>
      </w:pPr>
      <w:rPr>
        <w:rFonts w:hint="eastAsia"/>
      </w:rPr>
    </w:lvl>
    <w:lvl w:ilvl="8" w:tentative="0">
      <w:start w:val="1"/>
      <w:numFmt w:val="lowerRoman"/>
      <w:lvlText w:val="%9."/>
      <w:lvlJc w:val="right"/>
      <w:pPr>
        <w:ind w:left="4521" w:hanging="440"/>
      </w:pPr>
      <w:rPr>
        <w:rFonts w:hint="eastAsia"/>
      </w:rPr>
    </w:lvl>
  </w:abstractNum>
  <w:abstractNum w:abstractNumId="4">
    <w:nsid w:val="76C70969"/>
    <w:multiLevelType w:val="multilevel"/>
    <w:tmpl w:val="76C70969"/>
    <w:lvl w:ilvl="0" w:tentative="0">
      <w:start w:val="1"/>
      <w:numFmt w:val="chineseCountingThousand"/>
      <w:pStyle w:val="2"/>
      <w:lvlText w:val="%1、"/>
      <w:lvlJc w:val="left"/>
      <w:pPr>
        <w:ind w:left="1008" w:hanging="440"/>
      </w:p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kMWJkNzdkODFiMjE3ZDcyMTYzYTBjYzkxNGY2MTkifQ=="/>
  </w:docVars>
  <w:rsids>
    <w:rsidRoot w:val="72422AE2"/>
    <w:rsid w:val="0000184C"/>
    <w:rsid w:val="0000631C"/>
    <w:rsid w:val="00007179"/>
    <w:rsid w:val="0000763F"/>
    <w:rsid w:val="00010422"/>
    <w:rsid w:val="000108FD"/>
    <w:rsid w:val="00011646"/>
    <w:rsid w:val="00014034"/>
    <w:rsid w:val="00014FE8"/>
    <w:rsid w:val="0001519C"/>
    <w:rsid w:val="00017D46"/>
    <w:rsid w:val="000221B3"/>
    <w:rsid w:val="000229FB"/>
    <w:rsid w:val="00023D85"/>
    <w:rsid w:val="00024955"/>
    <w:rsid w:val="00030862"/>
    <w:rsid w:val="00032A55"/>
    <w:rsid w:val="00036260"/>
    <w:rsid w:val="000411ED"/>
    <w:rsid w:val="00042AB9"/>
    <w:rsid w:val="000439AC"/>
    <w:rsid w:val="00050797"/>
    <w:rsid w:val="000519FA"/>
    <w:rsid w:val="00052244"/>
    <w:rsid w:val="00053307"/>
    <w:rsid w:val="00053594"/>
    <w:rsid w:val="00053921"/>
    <w:rsid w:val="00054192"/>
    <w:rsid w:val="00055857"/>
    <w:rsid w:val="00060D8A"/>
    <w:rsid w:val="0006378A"/>
    <w:rsid w:val="00063973"/>
    <w:rsid w:val="00063BE9"/>
    <w:rsid w:val="00064043"/>
    <w:rsid w:val="000641FD"/>
    <w:rsid w:val="000655E7"/>
    <w:rsid w:val="0006739D"/>
    <w:rsid w:val="000679ED"/>
    <w:rsid w:val="000708F7"/>
    <w:rsid w:val="00070E63"/>
    <w:rsid w:val="00071FE6"/>
    <w:rsid w:val="0007249D"/>
    <w:rsid w:val="00073A84"/>
    <w:rsid w:val="00074FEC"/>
    <w:rsid w:val="0007594E"/>
    <w:rsid w:val="000767C4"/>
    <w:rsid w:val="000772F3"/>
    <w:rsid w:val="00080E51"/>
    <w:rsid w:val="000810AE"/>
    <w:rsid w:val="00081D5F"/>
    <w:rsid w:val="00083306"/>
    <w:rsid w:val="000849E7"/>
    <w:rsid w:val="00087DFF"/>
    <w:rsid w:val="00090FCF"/>
    <w:rsid w:val="00090FFB"/>
    <w:rsid w:val="00093626"/>
    <w:rsid w:val="00094104"/>
    <w:rsid w:val="00094FD0"/>
    <w:rsid w:val="0009634C"/>
    <w:rsid w:val="00096664"/>
    <w:rsid w:val="000A0F31"/>
    <w:rsid w:val="000A2995"/>
    <w:rsid w:val="000A3693"/>
    <w:rsid w:val="000A4100"/>
    <w:rsid w:val="000A7055"/>
    <w:rsid w:val="000A7289"/>
    <w:rsid w:val="000A7EA8"/>
    <w:rsid w:val="000B20E3"/>
    <w:rsid w:val="000B3072"/>
    <w:rsid w:val="000B72D5"/>
    <w:rsid w:val="000C04DE"/>
    <w:rsid w:val="000C3D3D"/>
    <w:rsid w:val="000C4DCB"/>
    <w:rsid w:val="000C563A"/>
    <w:rsid w:val="000D2887"/>
    <w:rsid w:val="000D3013"/>
    <w:rsid w:val="000D3CBC"/>
    <w:rsid w:val="000D3E05"/>
    <w:rsid w:val="000D6284"/>
    <w:rsid w:val="000D691A"/>
    <w:rsid w:val="000E730D"/>
    <w:rsid w:val="000F5D20"/>
    <w:rsid w:val="000F7E0E"/>
    <w:rsid w:val="00101854"/>
    <w:rsid w:val="00105C22"/>
    <w:rsid w:val="0010697D"/>
    <w:rsid w:val="001113D6"/>
    <w:rsid w:val="0011305C"/>
    <w:rsid w:val="001134D8"/>
    <w:rsid w:val="001151B7"/>
    <w:rsid w:val="0011526E"/>
    <w:rsid w:val="00115951"/>
    <w:rsid w:val="00117886"/>
    <w:rsid w:val="00120D0B"/>
    <w:rsid w:val="00121C5F"/>
    <w:rsid w:val="00123DDC"/>
    <w:rsid w:val="00124D4C"/>
    <w:rsid w:val="0012644E"/>
    <w:rsid w:val="00127031"/>
    <w:rsid w:val="00130F2F"/>
    <w:rsid w:val="0013216A"/>
    <w:rsid w:val="0013312B"/>
    <w:rsid w:val="00134176"/>
    <w:rsid w:val="00134D23"/>
    <w:rsid w:val="001363CA"/>
    <w:rsid w:val="00136BBC"/>
    <w:rsid w:val="00137DA1"/>
    <w:rsid w:val="0014048F"/>
    <w:rsid w:val="00142069"/>
    <w:rsid w:val="00142EC3"/>
    <w:rsid w:val="0014324A"/>
    <w:rsid w:val="00143417"/>
    <w:rsid w:val="001439FD"/>
    <w:rsid w:val="001471E9"/>
    <w:rsid w:val="00147F7F"/>
    <w:rsid w:val="0015032E"/>
    <w:rsid w:val="00152C2F"/>
    <w:rsid w:val="00153164"/>
    <w:rsid w:val="00155C1F"/>
    <w:rsid w:val="00156736"/>
    <w:rsid w:val="00156C69"/>
    <w:rsid w:val="00160D20"/>
    <w:rsid w:val="00160D51"/>
    <w:rsid w:val="001619F6"/>
    <w:rsid w:val="00166637"/>
    <w:rsid w:val="00171A4F"/>
    <w:rsid w:val="00171A57"/>
    <w:rsid w:val="00171BA7"/>
    <w:rsid w:val="00172290"/>
    <w:rsid w:val="001728F4"/>
    <w:rsid w:val="00173AB1"/>
    <w:rsid w:val="00173DAC"/>
    <w:rsid w:val="001741FC"/>
    <w:rsid w:val="00174C43"/>
    <w:rsid w:val="001760F7"/>
    <w:rsid w:val="00177BA1"/>
    <w:rsid w:val="00181FDF"/>
    <w:rsid w:val="001841D8"/>
    <w:rsid w:val="00184DC1"/>
    <w:rsid w:val="0018761D"/>
    <w:rsid w:val="00187F71"/>
    <w:rsid w:val="001924CE"/>
    <w:rsid w:val="00193794"/>
    <w:rsid w:val="001972AA"/>
    <w:rsid w:val="001A01DF"/>
    <w:rsid w:val="001A1110"/>
    <w:rsid w:val="001A1252"/>
    <w:rsid w:val="001A51B6"/>
    <w:rsid w:val="001A5C39"/>
    <w:rsid w:val="001A5FB9"/>
    <w:rsid w:val="001A65DB"/>
    <w:rsid w:val="001A7C67"/>
    <w:rsid w:val="001A7D8F"/>
    <w:rsid w:val="001B60C6"/>
    <w:rsid w:val="001C0EC8"/>
    <w:rsid w:val="001C1BEC"/>
    <w:rsid w:val="001C323E"/>
    <w:rsid w:val="001C4E9F"/>
    <w:rsid w:val="001C6EAE"/>
    <w:rsid w:val="001D0D08"/>
    <w:rsid w:val="001D1741"/>
    <w:rsid w:val="001D5C79"/>
    <w:rsid w:val="001D6EF4"/>
    <w:rsid w:val="001D7100"/>
    <w:rsid w:val="001E052D"/>
    <w:rsid w:val="001E05D0"/>
    <w:rsid w:val="001E2904"/>
    <w:rsid w:val="001E3B54"/>
    <w:rsid w:val="001E44F9"/>
    <w:rsid w:val="001E7B80"/>
    <w:rsid w:val="001F3A90"/>
    <w:rsid w:val="001F5B92"/>
    <w:rsid w:val="001F679C"/>
    <w:rsid w:val="001F7F9B"/>
    <w:rsid w:val="00201924"/>
    <w:rsid w:val="00203B13"/>
    <w:rsid w:val="0020436B"/>
    <w:rsid w:val="002046E7"/>
    <w:rsid w:val="00206312"/>
    <w:rsid w:val="0020691B"/>
    <w:rsid w:val="00207815"/>
    <w:rsid w:val="002110F6"/>
    <w:rsid w:val="002118A7"/>
    <w:rsid w:val="00214B63"/>
    <w:rsid w:val="00222C1C"/>
    <w:rsid w:val="00223CBB"/>
    <w:rsid w:val="002244FF"/>
    <w:rsid w:val="00224C80"/>
    <w:rsid w:val="00224D14"/>
    <w:rsid w:val="00225625"/>
    <w:rsid w:val="0022655F"/>
    <w:rsid w:val="002272E7"/>
    <w:rsid w:val="00231EB1"/>
    <w:rsid w:val="0023229C"/>
    <w:rsid w:val="00233691"/>
    <w:rsid w:val="00233DDD"/>
    <w:rsid w:val="00234601"/>
    <w:rsid w:val="0023530B"/>
    <w:rsid w:val="002360E1"/>
    <w:rsid w:val="002363D4"/>
    <w:rsid w:val="00236E32"/>
    <w:rsid w:val="00243295"/>
    <w:rsid w:val="0024338F"/>
    <w:rsid w:val="00247412"/>
    <w:rsid w:val="0025426D"/>
    <w:rsid w:val="00255D07"/>
    <w:rsid w:val="00256777"/>
    <w:rsid w:val="002604D9"/>
    <w:rsid w:val="00261444"/>
    <w:rsid w:val="00262933"/>
    <w:rsid w:val="002643DD"/>
    <w:rsid w:val="00266A32"/>
    <w:rsid w:val="00266AFE"/>
    <w:rsid w:val="00270091"/>
    <w:rsid w:val="002735D3"/>
    <w:rsid w:val="00275436"/>
    <w:rsid w:val="00277622"/>
    <w:rsid w:val="0028144A"/>
    <w:rsid w:val="002906FB"/>
    <w:rsid w:val="00290E75"/>
    <w:rsid w:val="0029149A"/>
    <w:rsid w:val="002916D3"/>
    <w:rsid w:val="002958AF"/>
    <w:rsid w:val="002974DE"/>
    <w:rsid w:val="00297C64"/>
    <w:rsid w:val="002A0FCB"/>
    <w:rsid w:val="002A2AB2"/>
    <w:rsid w:val="002A46DA"/>
    <w:rsid w:val="002A5EF2"/>
    <w:rsid w:val="002A676C"/>
    <w:rsid w:val="002A7326"/>
    <w:rsid w:val="002A7CD3"/>
    <w:rsid w:val="002A7E0E"/>
    <w:rsid w:val="002B0E66"/>
    <w:rsid w:val="002B2245"/>
    <w:rsid w:val="002C0199"/>
    <w:rsid w:val="002C1C19"/>
    <w:rsid w:val="002C406E"/>
    <w:rsid w:val="002C4C7A"/>
    <w:rsid w:val="002C4F3C"/>
    <w:rsid w:val="002C4FA8"/>
    <w:rsid w:val="002C5068"/>
    <w:rsid w:val="002C5D20"/>
    <w:rsid w:val="002C725C"/>
    <w:rsid w:val="002D03A5"/>
    <w:rsid w:val="002D1C5F"/>
    <w:rsid w:val="002D30EC"/>
    <w:rsid w:val="002D7429"/>
    <w:rsid w:val="002D7AC1"/>
    <w:rsid w:val="002E2794"/>
    <w:rsid w:val="002E61B8"/>
    <w:rsid w:val="002E7298"/>
    <w:rsid w:val="002F6593"/>
    <w:rsid w:val="003005E2"/>
    <w:rsid w:val="003013B2"/>
    <w:rsid w:val="003030A7"/>
    <w:rsid w:val="00306202"/>
    <w:rsid w:val="00310BAA"/>
    <w:rsid w:val="00310F1B"/>
    <w:rsid w:val="00312145"/>
    <w:rsid w:val="003131CA"/>
    <w:rsid w:val="0031637D"/>
    <w:rsid w:val="00317851"/>
    <w:rsid w:val="0031793C"/>
    <w:rsid w:val="003208C8"/>
    <w:rsid w:val="00321A39"/>
    <w:rsid w:val="003234EB"/>
    <w:rsid w:val="00324308"/>
    <w:rsid w:val="003349F3"/>
    <w:rsid w:val="00334C38"/>
    <w:rsid w:val="003410D3"/>
    <w:rsid w:val="00343090"/>
    <w:rsid w:val="00346737"/>
    <w:rsid w:val="0034784D"/>
    <w:rsid w:val="00347A00"/>
    <w:rsid w:val="00351826"/>
    <w:rsid w:val="00351913"/>
    <w:rsid w:val="003519FE"/>
    <w:rsid w:val="00351B6F"/>
    <w:rsid w:val="003547A9"/>
    <w:rsid w:val="00355081"/>
    <w:rsid w:val="00355436"/>
    <w:rsid w:val="003577CD"/>
    <w:rsid w:val="003579B0"/>
    <w:rsid w:val="00360FDF"/>
    <w:rsid w:val="0036389B"/>
    <w:rsid w:val="00363ABA"/>
    <w:rsid w:val="00363EEB"/>
    <w:rsid w:val="00363F3E"/>
    <w:rsid w:val="00365602"/>
    <w:rsid w:val="00365645"/>
    <w:rsid w:val="00365E84"/>
    <w:rsid w:val="00366252"/>
    <w:rsid w:val="003663C4"/>
    <w:rsid w:val="00367A2E"/>
    <w:rsid w:val="0037001C"/>
    <w:rsid w:val="00370411"/>
    <w:rsid w:val="00370B8C"/>
    <w:rsid w:val="003711CA"/>
    <w:rsid w:val="00373221"/>
    <w:rsid w:val="00375CEE"/>
    <w:rsid w:val="0037682F"/>
    <w:rsid w:val="00377440"/>
    <w:rsid w:val="00377D4A"/>
    <w:rsid w:val="00377E25"/>
    <w:rsid w:val="00380016"/>
    <w:rsid w:val="003811D9"/>
    <w:rsid w:val="00381C59"/>
    <w:rsid w:val="00381D07"/>
    <w:rsid w:val="00384881"/>
    <w:rsid w:val="00384E91"/>
    <w:rsid w:val="0038739E"/>
    <w:rsid w:val="00391696"/>
    <w:rsid w:val="00391769"/>
    <w:rsid w:val="003924E3"/>
    <w:rsid w:val="00395A43"/>
    <w:rsid w:val="00395AE6"/>
    <w:rsid w:val="003A0998"/>
    <w:rsid w:val="003A1936"/>
    <w:rsid w:val="003A19D1"/>
    <w:rsid w:val="003A1A0D"/>
    <w:rsid w:val="003A206A"/>
    <w:rsid w:val="003A2602"/>
    <w:rsid w:val="003A2FCC"/>
    <w:rsid w:val="003A4730"/>
    <w:rsid w:val="003A73EC"/>
    <w:rsid w:val="003A7789"/>
    <w:rsid w:val="003B173D"/>
    <w:rsid w:val="003B59EC"/>
    <w:rsid w:val="003B790A"/>
    <w:rsid w:val="003C0CF0"/>
    <w:rsid w:val="003C211D"/>
    <w:rsid w:val="003C3353"/>
    <w:rsid w:val="003C696D"/>
    <w:rsid w:val="003C72A9"/>
    <w:rsid w:val="003C75A0"/>
    <w:rsid w:val="003D0D0E"/>
    <w:rsid w:val="003D0F64"/>
    <w:rsid w:val="003D3240"/>
    <w:rsid w:val="003D3F54"/>
    <w:rsid w:val="003E0136"/>
    <w:rsid w:val="003E0D1E"/>
    <w:rsid w:val="003E2424"/>
    <w:rsid w:val="003E267C"/>
    <w:rsid w:val="003E378E"/>
    <w:rsid w:val="003E3B11"/>
    <w:rsid w:val="003E5215"/>
    <w:rsid w:val="003E74A7"/>
    <w:rsid w:val="003E7FD7"/>
    <w:rsid w:val="003F27B1"/>
    <w:rsid w:val="003F58CB"/>
    <w:rsid w:val="003F697F"/>
    <w:rsid w:val="003F69B2"/>
    <w:rsid w:val="004030B5"/>
    <w:rsid w:val="00403870"/>
    <w:rsid w:val="004039DD"/>
    <w:rsid w:val="004045B1"/>
    <w:rsid w:val="00404C6D"/>
    <w:rsid w:val="0040526B"/>
    <w:rsid w:val="00412E34"/>
    <w:rsid w:val="0041311F"/>
    <w:rsid w:val="00413672"/>
    <w:rsid w:val="00413D40"/>
    <w:rsid w:val="00414631"/>
    <w:rsid w:val="004156B8"/>
    <w:rsid w:val="00417574"/>
    <w:rsid w:val="0041759A"/>
    <w:rsid w:val="004177AE"/>
    <w:rsid w:val="00420019"/>
    <w:rsid w:val="004209AE"/>
    <w:rsid w:val="00422299"/>
    <w:rsid w:val="004235BA"/>
    <w:rsid w:val="004249F7"/>
    <w:rsid w:val="00425061"/>
    <w:rsid w:val="00426DFA"/>
    <w:rsid w:val="00426F22"/>
    <w:rsid w:val="00430420"/>
    <w:rsid w:val="00430D37"/>
    <w:rsid w:val="0043165E"/>
    <w:rsid w:val="00432262"/>
    <w:rsid w:val="004328DB"/>
    <w:rsid w:val="0043383F"/>
    <w:rsid w:val="004338BD"/>
    <w:rsid w:val="00434809"/>
    <w:rsid w:val="00443950"/>
    <w:rsid w:val="004448F7"/>
    <w:rsid w:val="004462F3"/>
    <w:rsid w:val="00452E4A"/>
    <w:rsid w:val="00454DB4"/>
    <w:rsid w:val="00460F0D"/>
    <w:rsid w:val="00462E9E"/>
    <w:rsid w:val="00463DEA"/>
    <w:rsid w:val="004655A0"/>
    <w:rsid w:val="00465B15"/>
    <w:rsid w:val="00465BAD"/>
    <w:rsid w:val="004660FF"/>
    <w:rsid w:val="0046734B"/>
    <w:rsid w:val="00467B42"/>
    <w:rsid w:val="00470699"/>
    <w:rsid w:val="004710AA"/>
    <w:rsid w:val="004710FD"/>
    <w:rsid w:val="00473436"/>
    <w:rsid w:val="0047359A"/>
    <w:rsid w:val="004746CD"/>
    <w:rsid w:val="00474AC7"/>
    <w:rsid w:val="004755DD"/>
    <w:rsid w:val="00475938"/>
    <w:rsid w:val="00476B01"/>
    <w:rsid w:val="00476E0B"/>
    <w:rsid w:val="0048047A"/>
    <w:rsid w:val="004816C4"/>
    <w:rsid w:val="0048477C"/>
    <w:rsid w:val="004847D6"/>
    <w:rsid w:val="00486503"/>
    <w:rsid w:val="00486D9C"/>
    <w:rsid w:val="0049141E"/>
    <w:rsid w:val="0049383C"/>
    <w:rsid w:val="00495119"/>
    <w:rsid w:val="00496AE1"/>
    <w:rsid w:val="00496B82"/>
    <w:rsid w:val="00496BC4"/>
    <w:rsid w:val="004A00E1"/>
    <w:rsid w:val="004A0744"/>
    <w:rsid w:val="004A1C0F"/>
    <w:rsid w:val="004A233C"/>
    <w:rsid w:val="004A261C"/>
    <w:rsid w:val="004A2894"/>
    <w:rsid w:val="004A3434"/>
    <w:rsid w:val="004A6B8D"/>
    <w:rsid w:val="004A796A"/>
    <w:rsid w:val="004A7DE3"/>
    <w:rsid w:val="004B2A32"/>
    <w:rsid w:val="004B4558"/>
    <w:rsid w:val="004B46FB"/>
    <w:rsid w:val="004B5E9D"/>
    <w:rsid w:val="004B652D"/>
    <w:rsid w:val="004B73F9"/>
    <w:rsid w:val="004C03FB"/>
    <w:rsid w:val="004C0932"/>
    <w:rsid w:val="004C63FA"/>
    <w:rsid w:val="004C6F26"/>
    <w:rsid w:val="004D0ADE"/>
    <w:rsid w:val="004D0E87"/>
    <w:rsid w:val="004D178D"/>
    <w:rsid w:val="004D2492"/>
    <w:rsid w:val="004D2887"/>
    <w:rsid w:val="004D48CA"/>
    <w:rsid w:val="004D5DFD"/>
    <w:rsid w:val="004D78B4"/>
    <w:rsid w:val="004D7E8F"/>
    <w:rsid w:val="004E13D2"/>
    <w:rsid w:val="004E2CD9"/>
    <w:rsid w:val="004E3519"/>
    <w:rsid w:val="004E3D3A"/>
    <w:rsid w:val="004E3F23"/>
    <w:rsid w:val="004F05AF"/>
    <w:rsid w:val="004F0E3C"/>
    <w:rsid w:val="004F2F89"/>
    <w:rsid w:val="005000F2"/>
    <w:rsid w:val="005018F5"/>
    <w:rsid w:val="00503A26"/>
    <w:rsid w:val="00503D5D"/>
    <w:rsid w:val="005110C2"/>
    <w:rsid w:val="00511D7E"/>
    <w:rsid w:val="00513DE2"/>
    <w:rsid w:val="00514B0B"/>
    <w:rsid w:val="00514D77"/>
    <w:rsid w:val="00516B91"/>
    <w:rsid w:val="00516C9C"/>
    <w:rsid w:val="005221E8"/>
    <w:rsid w:val="00531338"/>
    <w:rsid w:val="00532953"/>
    <w:rsid w:val="0053611C"/>
    <w:rsid w:val="00537799"/>
    <w:rsid w:val="00541457"/>
    <w:rsid w:val="00543CFA"/>
    <w:rsid w:val="00546903"/>
    <w:rsid w:val="00551567"/>
    <w:rsid w:val="00552AB7"/>
    <w:rsid w:val="00552ED5"/>
    <w:rsid w:val="00553166"/>
    <w:rsid w:val="005546C1"/>
    <w:rsid w:val="00560604"/>
    <w:rsid w:val="00562FFD"/>
    <w:rsid w:val="00565002"/>
    <w:rsid w:val="005666DE"/>
    <w:rsid w:val="00566B02"/>
    <w:rsid w:val="00570056"/>
    <w:rsid w:val="00572166"/>
    <w:rsid w:val="0057335C"/>
    <w:rsid w:val="00577376"/>
    <w:rsid w:val="00581837"/>
    <w:rsid w:val="0058604D"/>
    <w:rsid w:val="005860D0"/>
    <w:rsid w:val="00586139"/>
    <w:rsid w:val="0058656A"/>
    <w:rsid w:val="00586834"/>
    <w:rsid w:val="00592318"/>
    <w:rsid w:val="005963F4"/>
    <w:rsid w:val="00597D0A"/>
    <w:rsid w:val="005A42E8"/>
    <w:rsid w:val="005A5985"/>
    <w:rsid w:val="005A6638"/>
    <w:rsid w:val="005A7538"/>
    <w:rsid w:val="005A765A"/>
    <w:rsid w:val="005B1250"/>
    <w:rsid w:val="005B1A77"/>
    <w:rsid w:val="005B1A7A"/>
    <w:rsid w:val="005B4E3B"/>
    <w:rsid w:val="005B5BAF"/>
    <w:rsid w:val="005B5F59"/>
    <w:rsid w:val="005B70FF"/>
    <w:rsid w:val="005C255B"/>
    <w:rsid w:val="005C2FC1"/>
    <w:rsid w:val="005C4D42"/>
    <w:rsid w:val="005C51E7"/>
    <w:rsid w:val="005C578A"/>
    <w:rsid w:val="005C5B4F"/>
    <w:rsid w:val="005C6CAD"/>
    <w:rsid w:val="005C6FE5"/>
    <w:rsid w:val="005D08F3"/>
    <w:rsid w:val="005D0E22"/>
    <w:rsid w:val="005D2180"/>
    <w:rsid w:val="005D604A"/>
    <w:rsid w:val="005D6746"/>
    <w:rsid w:val="005E038D"/>
    <w:rsid w:val="005E0DE9"/>
    <w:rsid w:val="005E14AD"/>
    <w:rsid w:val="005E154C"/>
    <w:rsid w:val="005E17B0"/>
    <w:rsid w:val="005E2FDE"/>
    <w:rsid w:val="005E479F"/>
    <w:rsid w:val="005E7AC0"/>
    <w:rsid w:val="005F279F"/>
    <w:rsid w:val="005F29F5"/>
    <w:rsid w:val="005F3610"/>
    <w:rsid w:val="005F49D6"/>
    <w:rsid w:val="005F4D96"/>
    <w:rsid w:val="005F7FC7"/>
    <w:rsid w:val="0060040B"/>
    <w:rsid w:val="00600990"/>
    <w:rsid w:val="00605885"/>
    <w:rsid w:val="006112F7"/>
    <w:rsid w:val="0061197E"/>
    <w:rsid w:val="00613943"/>
    <w:rsid w:val="0061629F"/>
    <w:rsid w:val="00616682"/>
    <w:rsid w:val="0061780B"/>
    <w:rsid w:val="00621505"/>
    <w:rsid w:val="00621DBC"/>
    <w:rsid w:val="00622B00"/>
    <w:rsid w:val="00623494"/>
    <w:rsid w:val="006243E3"/>
    <w:rsid w:val="0062792E"/>
    <w:rsid w:val="00630C81"/>
    <w:rsid w:val="0063153B"/>
    <w:rsid w:val="00632590"/>
    <w:rsid w:val="0063290E"/>
    <w:rsid w:val="00633103"/>
    <w:rsid w:val="0063365A"/>
    <w:rsid w:val="0063403C"/>
    <w:rsid w:val="006367B3"/>
    <w:rsid w:val="006369F9"/>
    <w:rsid w:val="00637C4C"/>
    <w:rsid w:val="00641069"/>
    <w:rsid w:val="00641423"/>
    <w:rsid w:val="00646424"/>
    <w:rsid w:val="006467D2"/>
    <w:rsid w:val="00646D19"/>
    <w:rsid w:val="00650746"/>
    <w:rsid w:val="0065164E"/>
    <w:rsid w:val="006519AE"/>
    <w:rsid w:val="006541E9"/>
    <w:rsid w:val="0065428F"/>
    <w:rsid w:val="00654361"/>
    <w:rsid w:val="00655432"/>
    <w:rsid w:val="0065595F"/>
    <w:rsid w:val="00655B9B"/>
    <w:rsid w:val="00655ECB"/>
    <w:rsid w:val="00655F1A"/>
    <w:rsid w:val="0066047D"/>
    <w:rsid w:val="00661D20"/>
    <w:rsid w:val="006635CA"/>
    <w:rsid w:val="0066549E"/>
    <w:rsid w:val="00671AA4"/>
    <w:rsid w:val="006731BF"/>
    <w:rsid w:val="00673FEF"/>
    <w:rsid w:val="00674796"/>
    <w:rsid w:val="00674DD5"/>
    <w:rsid w:val="006806D9"/>
    <w:rsid w:val="006818D1"/>
    <w:rsid w:val="006842EE"/>
    <w:rsid w:val="006844DD"/>
    <w:rsid w:val="00685883"/>
    <w:rsid w:val="00690C5D"/>
    <w:rsid w:val="00692733"/>
    <w:rsid w:val="00694834"/>
    <w:rsid w:val="006973F2"/>
    <w:rsid w:val="00697CFC"/>
    <w:rsid w:val="006A0077"/>
    <w:rsid w:val="006A13EF"/>
    <w:rsid w:val="006A279D"/>
    <w:rsid w:val="006A5E32"/>
    <w:rsid w:val="006A7042"/>
    <w:rsid w:val="006B014F"/>
    <w:rsid w:val="006B04AD"/>
    <w:rsid w:val="006B1120"/>
    <w:rsid w:val="006B2B34"/>
    <w:rsid w:val="006B36FD"/>
    <w:rsid w:val="006B55B7"/>
    <w:rsid w:val="006C4B7C"/>
    <w:rsid w:val="006C6AA1"/>
    <w:rsid w:val="006D15A2"/>
    <w:rsid w:val="006D36FC"/>
    <w:rsid w:val="006D573E"/>
    <w:rsid w:val="006E0854"/>
    <w:rsid w:val="006E24AD"/>
    <w:rsid w:val="006E5CF7"/>
    <w:rsid w:val="006E66CD"/>
    <w:rsid w:val="006E6D45"/>
    <w:rsid w:val="006F2553"/>
    <w:rsid w:val="006F2D0F"/>
    <w:rsid w:val="006F3B94"/>
    <w:rsid w:val="006F3FEA"/>
    <w:rsid w:val="006F4AD1"/>
    <w:rsid w:val="006F4F87"/>
    <w:rsid w:val="006F7915"/>
    <w:rsid w:val="00705352"/>
    <w:rsid w:val="00705A13"/>
    <w:rsid w:val="00712B70"/>
    <w:rsid w:val="00712BDF"/>
    <w:rsid w:val="007131BB"/>
    <w:rsid w:val="00713A39"/>
    <w:rsid w:val="00714BD0"/>
    <w:rsid w:val="007154DF"/>
    <w:rsid w:val="00715B9A"/>
    <w:rsid w:val="00716394"/>
    <w:rsid w:val="00717A13"/>
    <w:rsid w:val="00720AD9"/>
    <w:rsid w:val="00722759"/>
    <w:rsid w:val="00723FCB"/>
    <w:rsid w:val="007255C2"/>
    <w:rsid w:val="00730517"/>
    <w:rsid w:val="00732119"/>
    <w:rsid w:val="00736803"/>
    <w:rsid w:val="00737DE9"/>
    <w:rsid w:val="0074040E"/>
    <w:rsid w:val="007419B1"/>
    <w:rsid w:val="0074724F"/>
    <w:rsid w:val="00751C0F"/>
    <w:rsid w:val="0075368D"/>
    <w:rsid w:val="007537DE"/>
    <w:rsid w:val="0075514B"/>
    <w:rsid w:val="00762CA4"/>
    <w:rsid w:val="00764D4A"/>
    <w:rsid w:val="0076722C"/>
    <w:rsid w:val="00772090"/>
    <w:rsid w:val="00773AEE"/>
    <w:rsid w:val="00774FC7"/>
    <w:rsid w:val="0077535C"/>
    <w:rsid w:val="00776713"/>
    <w:rsid w:val="007808EE"/>
    <w:rsid w:val="00781C4A"/>
    <w:rsid w:val="00784D2D"/>
    <w:rsid w:val="0079467E"/>
    <w:rsid w:val="00794BC6"/>
    <w:rsid w:val="007950B6"/>
    <w:rsid w:val="007952FB"/>
    <w:rsid w:val="007956D3"/>
    <w:rsid w:val="0079789E"/>
    <w:rsid w:val="007A16EF"/>
    <w:rsid w:val="007A3CF6"/>
    <w:rsid w:val="007A5BF7"/>
    <w:rsid w:val="007B1CD9"/>
    <w:rsid w:val="007B251E"/>
    <w:rsid w:val="007B38B7"/>
    <w:rsid w:val="007B41CE"/>
    <w:rsid w:val="007B44BA"/>
    <w:rsid w:val="007B491D"/>
    <w:rsid w:val="007B5191"/>
    <w:rsid w:val="007B544E"/>
    <w:rsid w:val="007B5E57"/>
    <w:rsid w:val="007B6408"/>
    <w:rsid w:val="007B66C3"/>
    <w:rsid w:val="007B6A6A"/>
    <w:rsid w:val="007B7386"/>
    <w:rsid w:val="007B7FCE"/>
    <w:rsid w:val="007C0551"/>
    <w:rsid w:val="007C13C5"/>
    <w:rsid w:val="007C165C"/>
    <w:rsid w:val="007C16EF"/>
    <w:rsid w:val="007C1E0D"/>
    <w:rsid w:val="007C324E"/>
    <w:rsid w:val="007C5F77"/>
    <w:rsid w:val="007C6029"/>
    <w:rsid w:val="007C695C"/>
    <w:rsid w:val="007C782F"/>
    <w:rsid w:val="007C7F7F"/>
    <w:rsid w:val="007D42D0"/>
    <w:rsid w:val="007D4CB3"/>
    <w:rsid w:val="007D558E"/>
    <w:rsid w:val="007D58E4"/>
    <w:rsid w:val="007D7C3E"/>
    <w:rsid w:val="007D7C69"/>
    <w:rsid w:val="007E1336"/>
    <w:rsid w:val="007E1D10"/>
    <w:rsid w:val="007E1E4A"/>
    <w:rsid w:val="007E2D9F"/>
    <w:rsid w:val="007E5840"/>
    <w:rsid w:val="007E6465"/>
    <w:rsid w:val="007E71CA"/>
    <w:rsid w:val="007F06A5"/>
    <w:rsid w:val="007F3259"/>
    <w:rsid w:val="007F3785"/>
    <w:rsid w:val="007F52F0"/>
    <w:rsid w:val="007F5D17"/>
    <w:rsid w:val="007F5D9D"/>
    <w:rsid w:val="008008CA"/>
    <w:rsid w:val="00801539"/>
    <w:rsid w:val="00802674"/>
    <w:rsid w:val="00804727"/>
    <w:rsid w:val="00805CC0"/>
    <w:rsid w:val="00806B0A"/>
    <w:rsid w:val="008118F6"/>
    <w:rsid w:val="008119DF"/>
    <w:rsid w:val="00812826"/>
    <w:rsid w:val="00814767"/>
    <w:rsid w:val="008153B8"/>
    <w:rsid w:val="0081588A"/>
    <w:rsid w:val="008166E6"/>
    <w:rsid w:val="00816E68"/>
    <w:rsid w:val="00817AC6"/>
    <w:rsid w:val="00817D8F"/>
    <w:rsid w:val="00820E83"/>
    <w:rsid w:val="00822355"/>
    <w:rsid w:val="00822A76"/>
    <w:rsid w:val="0082387A"/>
    <w:rsid w:val="00824980"/>
    <w:rsid w:val="008271F4"/>
    <w:rsid w:val="00827C66"/>
    <w:rsid w:val="00831005"/>
    <w:rsid w:val="00833680"/>
    <w:rsid w:val="0083415D"/>
    <w:rsid w:val="0083480E"/>
    <w:rsid w:val="00834D08"/>
    <w:rsid w:val="00835236"/>
    <w:rsid w:val="008364F1"/>
    <w:rsid w:val="008367A9"/>
    <w:rsid w:val="00842DBC"/>
    <w:rsid w:val="0084356F"/>
    <w:rsid w:val="008439D1"/>
    <w:rsid w:val="0084414F"/>
    <w:rsid w:val="00846494"/>
    <w:rsid w:val="00852F9D"/>
    <w:rsid w:val="00854129"/>
    <w:rsid w:val="00860AE9"/>
    <w:rsid w:val="00864255"/>
    <w:rsid w:val="00864299"/>
    <w:rsid w:val="008650B5"/>
    <w:rsid w:val="00865592"/>
    <w:rsid w:val="00865B0B"/>
    <w:rsid w:val="00867491"/>
    <w:rsid w:val="00872F6F"/>
    <w:rsid w:val="008747F1"/>
    <w:rsid w:val="00874B2C"/>
    <w:rsid w:val="00881445"/>
    <w:rsid w:val="00882192"/>
    <w:rsid w:val="0088298E"/>
    <w:rsid w:val="0088352A"/>
    <w:rsid w:val="00884D5B"/>
    <w:rsid w:val="00886011"/>
    <w:rsid w:val="00886B38"/>
    <w:rsid w:val="00890549"/>
    <w:rsid w:val="00892835"/>
    <w:rsid w:val="008932C1"/>
    <w:rsid w:val="00893432"/>
    <w:rsid w:val="00893788"/>
    <w:rsid w:val="00894447"/>
    <w:rsid w:val="00894D02"/>
    <w:rsid w:val="00896FF5"/>
    <w:rsid w:val="008A28E0"/>
    <w:rsid w:val="008A2CA0"/>
    <w:rsid w:val="008A3290"/>
    <w:rsid w:val="008A3E34"/>
    <w:rsid w:val="008A5B68"/>
    <w:rsid w:val="008B191E"/>
    <w:rsid w:val="008B25A6"/>
    <w:rsid w:val="008B68EA"/>
    <w:rsid w:val="008B6A27"/>
    <w:rsid w:val="008B7B40"/>
    <w:rsid w:val="008C0A0F"/>
    <w:rsid w:val="008C2FE1"/>
    <w:rsid w:val="008C4E43"/>
    <w:rsid w:val="008C4FA6"/>
    <w:rsid w:val="008C549E"/>
    <w:rsid w:val="008C6B8D"/>
    <w:rsid w:val="008D078F"/>
    <w:rsid w:val="008D1324"/>
    <w:rsid w:val="008E5A06"/>
    <w:rsid w:val="008E5A27"/>
    <w:rsid w:val="008E64C5"/>
    <w:rsid w:val="008E679A"/>
    <w:rsid w:val="008F23E9"/>
    <w:rsid w:val="008F2F4A"/>
    <w:rsid w:val="008F4330"/>
    <w:rsid w:val="008F4A42"/>
    <w:rsid w:val="00900E58"/>
    <w:rsid w:val="00902589"/>
    <w:rsid w:val="0090299D"/>
    <w:rsid w:val="00902E85"/>
    <w:rsid w:val="0090475E"/>
    <w:rsid w:val="00905034"/>
    <w:rsid w:val="009074DF"/>
    <w:rsid w:val="009107D8"/>
    <w:rsid w:val="009119CA"/>
    <w:rsid w:val="00911B0A"/>
    <w:rsid w:val="00917AE6"/>
    <w:rsid w:val="00922AA6"/>
    <w:rsid w:val="009237C2"/>
    <w:rsid w:val="00924CC6"/>
    <w:rsid w:val="00927735"/>
    <w:rsid w:val="0093291E"/>
    <w:rsid w:val="00934EDF"/>
    <w:rsid w:val="009358B2"/>
    <w:rsid w:val="0094027E"/>
    <w:rsid w:val="00941C0D"/>
    <w:rsid w:val="009426AB"/>
    <w:rsid w:val="00952FA5"/>
    <w:rsid w:val="009537FB"/>
    <w:rsid w:val="00954CE7"/>
    <w:rsid w:val="009560D3"/>
    <w:rsid w:val="009577B9"/>
    <w:rsid w:val="00957C76"/>
    <w:rsid w:val="0096067D"/>
    <w:rsid w:val="00961412"/>
    <w:rsid w:val="00961464"/>
    <w:rsid w:val="00962998"/>
    <w:rsid w:val="009638F2"/>
    <w:rsid w:val="00963CB4"/>
    <w:rsid w:val="00963DE5"/>
    <w:rsid w:val="00966F73"/>
    <w:rsid w:val="00967157"/>
    <w:rsid w:val="0096747D"/>
    <w:rsid w:val="00970588"/>
    <w:rsid w:val="009707F2"/>
    <w:rsid w:val="00971A89"/>
    <w:rsid w:val="0097431C"/>
    <w:rsid w:val="00975C8E"/>
    <w:rsid w:val="00977A5A"/>
    <w:rsid w:val="00980E7A"/>
    <w:rsid w:val="00981E2C"/>
    <w:rsid w:val="0098429E"/>
    <w:rsid w:val="00985CDE"/>
    <w:rsid w:val="00991FC1"/>
    <w:rsid w:val="00992C5E"/>
    <w:rsid w:val="009953E0"/>
    <w:rsid w:val="00995D2D"/>
    <w:rsid w:val="00995D56"/>
    <w:rsid w:val="0099612C"/>
    <w:rsid w:val="00996EF7"/>
    <w:rsid w:val="0099722C"/>
    <w:rsid w:val="009A1A1F"/>
    <w:rsid w:val="009A22EF"/>
    <w:rsid w:val="009A2FE7"/>
    <w:rsid w:val="009A5C31"/>
    <w:rsid w:val="009B49F2"/>
    <w:rsid w:val="009B580D"/>
    <w:rsid w:val="009B5A07"/>
    <w:rsid w:val="009B66A1"/>
    <w:rsid w:val="009B719E"/>
    <w:rsid w:val="009C0CB6"/>
    <w:rsid w:val="009C1DD8"/>
    <w:rsid w:val="009C225E"/>
    <w:rsid w:val="009C228F"/>
    <w:rsid w:val="009C4544"/>
    <w:rsid w:val="009D09EC"/>
    <w:rsid w:val="009D27E0"/>
    <w:rsid w:val="009E0529"/>
    <w:rsid w:val="009E0F10"/>
    <w:rsid w:val="009E3212"/>
    <w:rsid w:val="009E6BDA"/>
    <w:rsid w:val="009F110A"/>
    <w:rsid w:val="009F163B"/>
    <w:rsid w:val="009F1AF9"/>
    <w:rsid w:val="009F2FA4"/>
    <w:rsid w:val="009F30AA"/>
    <w:rsid w:val="009F4FBE"/>
    <w:rsid w:val="009F5356"/>
    <w:rsid w:val="009F5BAC"/>
    <w:rsid w:val="009F5C14"/>
    <w:rsid w:val="009F7AB6"/>
    <w:rsid w:val="00A0102C"/>
    <w:rsid w:val="00A0311C"/>
    <w:rsid w:val="00A05A24"/>
    <w:rsid w:val="00A0650D"/>
    <w:rsid w:val="00A06D5F"/>
    <w:rsid w:val="00A13D37"/>
    <w:rsid w:val="00A1734F"/>
    <w:rsid w:val="00A24F48"/>
    <w:rsid w:val="00A25918"/>
    <w:rsid w:val="00A26A7F"/>
    <w:rsid w:val="00A274FC"/>
    <w:rsid w:val="00A278AF"/>
    <w:rsid w:val="00A337E9"/>
    <w:rsid w:val="00A35CD9"/>
    <w:rsid w:val="00A40C8C"/>
    <w:rsid w:val="00A40D7F"/>
    <w:rsid w:val="00A44F87"/>
    <w:rsid w:val="00A453C3"/>
    <w:rsid w:val="00A479E3"/>
    <w:rsid w:val="00A47C78"/>
    <w:rsid w:val="00A5076B"/>
    <w:rsid w:val="00A50AC5"/>
    <w:rsid w:val="00A5122C"/>
    <w:rsid w:val="00A51D97"/>
    <w:rsid w:val="00A537D9"/>
    <w:rsid w:val="00A55538"/>
    <w:rsid w:val="00A55B33"/>
    <w:rsid w:val="00A561C2"/>
    <w:rsid w:val="00A573E4"/>
    <w:rsid w:val="00A60B97"/>
    <w:rsid w:val="00A62CA7"/>
    <w:rsid w:val="00A6365F"/>
    <w:rsid w:val="00A646F7"/>
    <w:rsid w:val="00A65FFE"/>
    <w:rsid w:val="00A70A73"/>
    <w:rsid w:val="00A71769"/>
    <w:rsid w:val="00A71A7A"/>
    <w:rsid w:val="00A72845"/>
    <w:rsid w:val="00A73E50"/>
    <w:rsid w:val="00A748B1"/>
    <w:rsid w:val="00A80CDD"/>
    <w:rsid w:val="00A80F01"/>
    <w:rsid w:val="00A818F2"/>
    <w:rsid w:val="00A81940"/>
    <w:rsid w:val="00A831A9"/>
    <w:rsid w:val="00A873EC"/>
    <w:rsid w:val="00A9198D"/>
    <w:rsid w:val="00A94F72"/>
    <w:rsid w:val="00A95C39"/>
    <w:rsid w:val="00A95FA8"/>
    <w:rsid w:val="00A97025"/>
    <w:rsid w:val="00A971B9"/>
    <w:rsid w:val="00AA01B0"/>
    <w:rsid w:val="00AA07FA"/>
    <w:rsid w:val="00AA08C0"/>
    <w:rsid w:val="00AA2CA8"/>
    <w:rsid w:val="00AA4451"/>
    <w:rsid w:val="00AA5DE0"/>
    <w:rsid w:val="00AB15A2"/>
    <w:rsid w:val="00AB1634"/>
    <w:rsid w:val="00AB1650"/>
    <w:rsid w:val="00AB4608"/>
    <w:rsid w:val="00AB699B"/>
    <w:rsid w:val="00AB6EFB"/>
    <w:rsid w:val="00AC00DC"/>
    <w:rsid w:val="00AC0439"/>
    <w:rsid w:val="00AC13CF"/>
    <w:rsid w:val="00AC36CF"/>
    <w:rsid w:val="00AC4383"/>
    <w:rsid w:val="00AD1017"/>
    <w:rsid w:val="00AD3EE4"/>
    <w:rsid w:val="00AD4D18"/>
    <w:rsid w:val="00AD5ECB"/>
    <w:rsid w:val="00AD64DF"/>
    <w:rsid w:val="00AD6D85"/>
    <w:rsid w:val="00AD7094"/>
    <w:rsid w:val="00AE0A5E"/>
    <w:rsid w:val="00AE0C05"/>
    <w:rsid w:val="00AE10E0"/>
    <w:rsid w:val="00AE2335"/>
    <w:rsid w:val="00AE3660"/>
    <w:rsid w:val="00AE5317"/>
    <w:rsid w:val="00AE5F04"/>
    <w:rsid w:val="00AE60C9"/>
    <w:rsid w:val="00AE7DDF"/>
    <w:rsid w:val="00AF1C3E"/>
    <w:rsid w:val="00AF24E7"/>
    <w:rsid w:val="00AF26C1"/>
    <w:rsid w:val="00AF29F8"/>
    <w:rsid w:val="00AF424A"/>
    <w:rsid w:val="00AF4325"/>
    <w:rsid w:val="00AF51FF"/>
    <w:rsid w:val="00AF5374"/>
    <w:rsid w:val="00AF5A8E"/>
    <w:rsid w:val="00AF6E72"/>
    <w:rsid w:val="00B00B7D"/>
    <w:rsid w:val="00B05144"/>
    <w:rsid w:val="00B10D3F"/>
    <w:rsid w:val="00B12930"/>
    <w:rsid w:val="00B1655B"/>
    <w:rsid w:val="00B26D11"/>
    <w:rsid w:val="00B27F33"/>
    <w:rsid w:val="00B30A4E"/>
    <w:rsid w:val="00B33887"/>
    <w:rsid w:val="00B35314"/>
    <w:rsid w:val="00B35543"/>
    <w:rsid w:val="00B360E5"/>
    <w:rsid w:val="00B361C1"/>
    <w:rsid w:val="00B37B71"/>
    <w:rsid w:val="00B4006C"/>
    <w:rsid w:val="00B43883"/>
    <w:rsid w:val="00B44871"/>
    <w:rsid w:val="00B462B5"/>
    <w:rsid w:val="00B46E90"/>
    <w:rsid w:val="00B46E95"/>
    <w:rsid w:val="00B528C1"/>
    <w:rsid w:val="00B5290E"/>
    <w:rsid w:val="00B53E7E"/>
    <w:rsid w:val="00B5407E"/>
    <w:rsid w:val="00B54BFC"/>
    <w:rsid w:val="00B5595F"/>
    <w:rsid w:val="00B57BF5"/>
    <w:rsid w:val="00B63B60"/>
    <w:rsid w:val="00B64374"/>
    <w:rsid w:val="00B700B7"/>
    <w:rsid w:val="00B72FD3"/>
    <w:rsid w:val="00B73171"/>
    <w:rsid w:val="00B7385A"/>
    <w:rsid w:val="00B74457"/>
    <w:rsid w:val="00B77640"/>
    <w:rsid w:val="00B82963"/>
    <w:rsid w:val="00B83490"/>
    <w:rsid w:val="00B83DEA"/>
    <w:rsid w:val="00B85858"/>
    <w:rsid w:val="00B861FF"/>
    <w:rsid w:val="00B862AF"/>
    <w:rsid w:val="00B87A1B"/>
    <w:rsid w:val="00B90835"/>
    <w:rsid w:val="00B910A4"/>
    <w:rsid w:val="00B92505"/>
    <w:rsid w:val="00B9291F"/>
    <w:rsid w:val="00B9387C"/>
    <w:rsid w:val="00B94FE1"/>
    <w:rsid w:val="00B956D9"/>
    <w:rsid w:val="00B9585B"/>
    <w:rsid w:val="00B97B71"/>
    <w:rsid w:val="00BA0CED"/>
    <w:rsid w:val="00BA3467"/>
    <w:rsid w:val="00BA482F"/>
    <w:rsid w:val="00BA59E3"/>
    <w:rsid w:val="00BA5DCB"/>
    <w:rsid w:val="00BA669A"/>
    <w:rsid w:val="00BA6B36"/>
    <w:rsid w:val="00BA7154"/>
    <w:rsid w:val="00BB0445"/>
    <w:rsid w:val="00BB7E60"/>
    <w:rsid w:val="00BC2393"/>
    <w:rsid w:val="00BC353D"/>
    <w:rsid w:val="00BD16BD"/>
    <w:rsid w:val="00BD2956"/>
    <w:rsid w:val="00BD30BF"/>
    <w:rsid w:val="00BD4331"/>
    <w:rsid w:val="00BD458B"/>
    <w:rsid w:val="00BD6D3E"/>
    <w:rsid w:val="00BD79CB"/>
    <w:rsid w:val="00BE43BF"/>
    <w:rsid w:val="00BE4B65"/>
    <w:rsid w:val="00BF01B9"/>
    <w:rsid w:val="00BF057C"/>
    <w:rsid w:val="00BF08D3"/>
    <w:rsid w:val="00BF120B"/>
    <w:rsid w:val="00BF17AD"/>
    <w:rsid w:val="00BF3D30"/>
    <w:rsid w:val="00BF4871"/>
    <w:rsid w:val="00BF56DB"/>
    <w:rsid w:val="00BF6950"/>
    <w:rsid w:val="00C0217A"/>
    <w:rsid w:val="00C03BF1"/>
    <w:rsid w:val="00C04395"/>
    <w:rsid w:val="00C056DA"/>
    <w:rsid w:val="00C057FE"/>
    <w:rsid w:val="00C10029"/>
    <w:rsid w:val="00C103A0"/>
    <w:rsid w:val="00C11B92"/>
    <w:rsid w:val="00C12380"/>
    <w:rsid w:val="00C135E4"/>
    <w:rsid w:val="00C14345"/>
    <w:rsid w:val="00C209AE"/>
    <w:rsid w:val="00C209CE"/>
    <w:rsid w:val="00C2191D"/>
    <w:rsid w:val="00C21C89"/>
    <w:rsid w:val="00C226A5"/>
    <w:rsid w:val="00C22F66"/>
    <w:rsid w:val="00C2334C"/>
    <w:rsid w:val="00C248AF"/>
    <w:rsid w:val="00C24A42"/>
    <w:rsid w:val="00C265E3"/>
    <w:rsid w:val="00C27F30"/>
    <w:rsid w:val="00C33061"/>
    <w:rsid w:val="00C3312C"/>
    <w:rsid w:val="00C33313"/>
    <w:rsid w:val="00C3505D"/>
    <w:rsid w:val="00C36A42"/>
    <w:rsid w:val="00C37938"/>
    <w:rsid w:val="00C407F9"/>
    <w:rsid w:val="00C424B4"/>
    <w:rsid w:val="00C42F6F"/>
    <w:rsid w:val="00C4304C"/>
    <w:rsid w:val="00C47926"/>
    <w:rsid w:val="00C4797D"/>
    <w:rsid w:val="00C50048"/>
    <w:rsid w:val="00C50E3E"/>
    <w:rsid w:val="00C56288"/>
    <w:rsid w:val="00C577B4"/>
    <w:rsid w:val="00C579B8"/>
    <w:rsid w:val="00C60237"/>
    <w:rsid w:val="00C61203"/>
    <w:rsid w:val="00C652F9"/>
    <w:rsid w:val="00C66159"/>
    <w:rsid w:val="00C70C1D"/>
    <w:rsid w:val="00C73F20"/>
    <w:rsid w:val="00C740B3"/>
    <w:rsid w:val="00C74F74"/>
    <w:rsid w:val="00C760E6"/>
    <w:rsid w:val="00C77662"/>
    <w:rsid w:val="00C80AAF"/>
    <w:rsid w:val="00C834A0"/>
    <w:rsid w:val="00C86731"/>
    <w:rsid w:val="00C87C5D"/>
    <w:rsid w:val="00C90B4F"/>
    <w:rsid w:val="00C948F2"/>
    <w:rsid w:val="00C95210"/>
    <w:rsid w:val="00C96110"/>
    <w:rsid w:val="00CA2D74"/>
    <w:rsid w:val="00CA4325"/>
    <w:rsid w:val="00CA555F"/>
    <w:rsid w:val="00CA66FE"/>
    <w:rsid w:val="00CB2E4E"/>
    <w:rsid w:val="00CB347B"/>
    <w:rsid w:val="00CB57FB"/>
    <w:rsid w:val="00CB5BFA"/>
    <w:rsid w:val="00CB6801"/>
    <w:rsid w:val="00CB7489"/>
    <w:rsid w:val="00CC00D2"/>
    <w:rsid w:val="00CC0FE2"/>
    <w:rsid w:val="00CC2CD8"/>
    <w:rsid w:val="00CC3120"/>
    <w:rsid w:val="00CC4596"/>
    <w:rsid w:val="00CC46A1"/>
    <w:rsid w:val="00CC5571"/>
    <w:rsid w:val="00CC66B8"/>
    <w:rsid w:val="00CC686E"/>
    <w:rsid w:val="00CC6DCB"/>
    <w:rsid w:val="00CD0A8A"/>
    <w:rsid w:val="00CD49FB"/>
    <w:rsid w:val="00CD4FE6"/>
    <w:rsid w:val="00CD59FB"/>
    <w:rsid w:val="00CD5E08"/>
    <w:rsid w:val="00CD62A8"/>
    <w:rsid w:val="00CD6CAC"/>
    <w:rsid w:val="00CD7B38"/>
    <w:rsid w:val="00CE301E"/>
    <w:rsid w:val="00CE32C2"/>
    <w:rsid w:val="00CE34AC"/>
    <w:rsid w:val="00CE6562"/>
    <w:rsid w:val="00CE675D"/>
    <w:rsid w:val="00CE6AA7"/>
    <w:rsid w:val="00CF025E"/>
    <w:rsid w:val="00CF1CCF"/>
    <w:rsid w:val="00CF1F56"/>
    <w:rsid w:val="00CF4FDF"/>
    <w:rsid w:val="00D00A41"/>
    <w:rsid w:val="00D02068"/>
    <w:rsid w:val="00D04AD4"/>
    <w:rsid w:val="00D07D6E"/>
    <w:rsid w:val="00D10528"/>
    <w:rsid w:val="00D14D92"/>
    <w:rsid w:val="00D16670"/>
    <w:rsid w:val="00D167F3"/>
    <w:rsid w:val="00D171F2"/>
    <w:rsid w:val="00D2036C"/>
    <w:rsid w:val="00D238B1"/>
    <w:rsid w:val="00D253D3"/>
    <w:rsid w:val="00D255FE"/>
    <w:rsid w:val="00D266DB"/>
    <w:rsid w:val="00D26C06"/>
    <w:rsid w:val="00D2718C"/>
    <w:rsid w:val="00D2790D"/>
    <w:rsid w:val="00D303D5"/>
    <w:rsid w:val="00D34F42"/>
    <w:rsid w:val="00D36A3B"/>
    <w:rsid w:val="00D37337"/>
    <w:rsid w:val="00D434D3"/>
    <w:rsid w:val="00D4466C"/>
    <w:rsid w:val="00D45EA8"/>
    <w:rsid w:val="00D46E67"/>
    <w:rsid w:val="00D520E3"/>
    <w:rsid w:val="00D54BCC"/>
    <w:rsid w:val="00D56DB1"/>
    <w:rsid w:val="00D62BD9"/>
    <w:rsid w:val="00D6629D"/>
    <w:rsid w:val="00D67F12"/>
    <w:rsid w:val="00D706A4"/>
    <w:rsid w:val="00D70D98"/>
    <w:rsid w:val="00D73726"/>
    <w:rsid w:val="00D73B35"/>
    <w:rsid w:val="00D762F2"/>
    <w:rsid w:val="00D76CFE"/>
    <w:rsid w:val="00D774EA"/>
    <w:rsid w:val="00D81AF5"/>
    <w:rsid w:val="00D82C88"/>
    <w:rsid w:val="00D86CC4"/>
    <w:rsid w:val="00D8713E"/>
    <w:rsid w:val="00D90117"/>
    <w:rsid w:val="00D92BCD"/>
    <w:rsid w:val="00D95477"/>
    <w:rsid w:val="00DA06C7"/>
    <w:rsid w:val="00DA5D9B"/>
    <w:rsid w:val="00DA777B"/>
    <w:rsid w:val="00DA77E1"/>
    <w:rsid w:val="00DB08C3"/>
    <w:rsid w:val="00DB4601"/>
    <w:rsid w:val="00DB4D1C"/>
    <w:rsid w:val="00DB5A06"/>
    <w:rsid w:val="00DB5C80"/>
    <w:rsid w:val="00DB62BB"/>
    <w:rsid w:val="00DB650B"/>
    <w:rsid w:val="00DB747D"/>
    <w:rsid w:val="00DC0565"/>
    <w:rsid w:val="00DC196E"/>
    <w:rsid w:val="00DC2FE4"/>
    <w:rsid w:val="00DC3F0E"/>
    <w:rsid w:val="00DC4CB8"/>
    <w:rsid w:val="00DC4F78"/>
    <w:rsid w:val="00DD00D1"/>
    <w:rsid w:val="00DD1C5A"/>
    <w:rsid w:val="00DD2B6D"/>
    <w:rsid w:val="00DD326D"/>
    <w:rsid w:val="00DD7D45"/>
    <w:rsid w:val="00DE1149"/>
    <w:rsid w:val="00DE159E"/>
    <w:rsid w:val="00DE333E"/>
    <w:rsid w:val="00DE454A"/>
    <w:rsid w:val="00DE5278"/>
    <w:rsid w:val="00DE6D16"/>
    <w:rsid w:val="00DE7486"/>
    <w:rsid w:val="00DF2051"/>
    <w:rsid w:val="00DF6465"/>
    <w:rsid w:val="00E011BD"/>
    <w:rsid w:val="00E0135E"/>
    <w:rsid w:val="00E04B3D"/>
    <w:rsid w:val="00E07F28"/>
    <w:rsid w:val="00E1078B"/>
    <w:rsid w:val="00E11970"/>
    <w:rsid w:val="00E1284E"/>
    <w:rsid w:val="00E12854"/>
    <w:rsid w:val="00E12C20"/>
    <w:rsid w:val="00E13757"/>
    <w:rsid w:val="00E137B5"/>
    <w:rsid w:val="00E160B9"/>
    <w:rsid w:val="00E1776D"/>
    <w:rsid w:val="00E20743"/>
    <w:rsid w:val="00E220D1"/>
    <w:rsid w:val="00E22A9B"/>
    <w:rsid w:val="00E23825"/>
    <w:rsid w:val="00E25FB2"/>
    <w:rsid w:val="00E260F3"/>
    <w:rsid w:val="00E273CD"/>
    <w:rsid w:val="00E27C93"/>
    <w:rsid w:val="00E30126"/>
    <w:rsid w:val="00E311E3"/>
    <w:rsid w:val="00E32607"/>
    <w:rsid w:val="00E330ED"/>
    <w:rsid w:val="00E336D9"/>
    <w:rsid w:val="00E33826"/>
    <w:rsid w:val="00E33A28"/>
    <w:rsid w:val="00E3410B"/>
    <w:rsid w:val="00E34E06"/>
    <w:rsid w:val="00E35D8C"/>
    <w:rsid w:val="00E370CA"/>
    <w:rsid w:val="00E37435"/>
    <w:rsid w:val="00E409FC"/>
    <w:rsid w:val="00E40CAC"/>
    <w:rsid w:val="00E42859"/>
    <w:rsid w:val="00E432E9"/>
    <w:rsid w:val="00E46213"/>
    <w:rsid w:val="00E4775D"/>
    <w:rsid w:val="00E50378"/>
    <w:rsid w:val="00E53434"/>
    <w:rsid w:val="00E542B2"/>
    <w:rsid w:val="00E577B3"/>
    <w:rsid w:val="00E649CE"/>
    <w:rsid w:val="00E654F3"/>
    <w:rsid w:val="00E65792"/>
    <w:rsid w:val="00E65D7E"/>
    <w:rsid w:val="00E67F5A"/>
    <w:rsid w:val="00E70E0E"/>
    <w:rsid w:val="00E71786"/>
    <w:rsid w:val="00E72319"/>
    <w:rsid w:val="00E76BA2"/>
    <w:rsid w:val="00E8215C"/>
    <w:rsid w:val="00E8273D"/>
    <w:rsid w:val="00E82CB0"/>
    <w:rsid w:val="00E833F9"/>
    <w:rsid w:val="00E83E90"/>
    <w:rsid w:val="00E84566"/>
    <w:rsid w:val="00E91CB5"/>
    <w:rsid w:val="00E936C9"/>
    <w:rsid w:val="00E9558B"/>
    <w:rsid w:val="00E957B2"/>
    <w:rsid w:val="00EA0E4A"/>
    <w:rsid w:val="00EA11B0"/>
    <w:rsid w:val="00EA1F23"/>
    <w:rsid w:val="00EA4763"/>
    <w:rsid w:val="00EA6177"/>
    <w:rsid w:val="00EA689C"/>
    <w:rsid w:val="00EA6ED0"/>
    <w:rsid w:val="00EA7D9C"/>
    <w:rsid w:val="00EB0A20"/>
    <w:rsid w:val="00EB279E"/>
    <w:rsid w:val="00EB335B"/>
    <w:rsid w:val="00EB36C7"/>
    <w:rsid w:val="00EB3D19"/>
    <w:rsid w:val="00EB53AA"/>
    <w:rsid w:val="00EB730E"/>
    <w:rsid w:val="00EC1D89"/>
    <w:rsid w:val="00EC3916"/>
    <w:rsid w:val="00EC6824"/>
    <w:rsid w:val="00EC687C"/>
    <w:rsid w:val="00ED0F2E"/>
    <w:rsid w:val="00ED1439"/>
    <w:rsid w:val="00ED14C4"/>
    <w:rsid w:val="00ED14FE"/>
    <w:rsid w:val="00ED20FD"/>
    <w:rsid w:val="00ED243A"/>
    <w:rsid w:val="00ED2D33"/>
    <w:rsid w:val="00ED5EE9"/>
    <w:rsid w:val="00ED7B80"/>
    <w:rsid w:val="00EE0B26"/>
    <w:rsid w:val="00EE0B9D"/>
    <w:rsid w:val="00EE0E44"/>
    <w:rsid w:val="00EE3836"/>
    <w:rsid w:val="00EE5477"/>
    <w:rsid w:val="00EE54E0"/>
    <w:rsid w:val="00EE611C"/>
    <w:rsid w:val="00EE657E"/>
    <w:rsid w:val="00EF03BA"/>
    <w:rsid w:val="00EF77C3"/>
    <w:rsid w:val="00F058F4"/>
    <w:rsid w:val="00F07810"/>
    <w:rsid w:val="00F1024B"/>
    <w:rsid w:val="00F10B56"/>
    <w:rsid w:val="00F11C4D"/>
    <w:rsid w:val="00F11E06"/>
    <w:rsid w:val="00F12CD5"/>
    <w:rsid w:val="00F131A3"/>
    <w:rsid w:val="00F1325D"/>
    <w:rsid w:val="00F13CF6"/>
    <w:rsid w:val="00F141BE"/>
    <w:rsid w:val="00F14C5B"/>
    <w:rsid w:val="00F14F25"/>
    <w:rsid w:val="00F16C06"/>
    <w:rsid w:val="00F17BB5"/>
    <w:rsid w:val="00F17CEE"/>
    <w:rsid w:val="00F20C1F"/>
    <w:rsid w:val="00F21EEB"/>
    <w:rsid w:val="00F22D72"/>
    <w:rsid w:val="00F240D8"/>
    <w:rsid w:val="00F26008"/>
    <w:rsid w:val="00F26BD0"/>
    <w:rsid w:val="00F31DDC"/>
    <w:rsid w:val="00F32A19"/>
    <w:rsid w:val="00F32E64"/>
    <w:rsid w:val="00F350D7"/>
    <w:rsid w:val="00F3595E"/>
    <w:rsid w:val="00F35AB3"/>
    <w:rsid w:val="00F369C8"/>
    <w:rsid w:val="00F36B80"/>
    <w:rsid w:val="00F36C2E"/>
    <w:rsid w:val="00F40767"/>
    <w:rsid w:val="00F42114"/>
    <w:rsid w:val="00F43F98"/>
    <w:rsid w:val="00F46104"/>
    <w:rsid w:val="00F47A46"/>
    <w:rsid w:val="00F52CC3"/>
    <w:rsid w:val="00F5566F"/>
    <w:rsid w:val="00F605EB"/>
    <w:rsid w:val="00F60A3F"/>
    <w:rsid w:val="00F64B75"/>
    <w:rsid w:val="00F70480"/>
    <w:rsid w:val="00F713BA"/>
    <w:rsid w:val="00F71EB0"/>
    <w:rsid w:val="00F72741"/>
    <w:rsid w:val="00F728A1"/>
    <w:rsid w:val="00F72A34"/>
    <w:rsid w:val="00F730B8"/>
    <w:rsid w:val="00F73CDE"/>
    <w:rsid w:val="00F7536E"/>
    <w:rsid w:val="00F7663B"/>
    <w:rsid w:val="00F77558"/>
    <w:rsid w:val="00F838C7"/>
    <w:rsid w:val="00F841C0"/>
    <w:rsid w:val="00F85DF3"/>
    <w:rsid w:val="00F8771E"/>
    <w:rsid w:val="00F87EE5"/>
    <w:rsid w:val="00F901CE"/>
    <w:rsid w:val="00F91363"/>
    <w:rsid w:val="00F934B6"/>
    <w:rsid w:val="00FA0CCE"/>
    <w:rsid w:val="00FA0E3C"/>
    <w:rsid w:val="00FA20EA"/>
    <w:rsid w:val="00FA307F"/>
    <w:rsid w:val="00FA7E71"/>
    <w:rsid w:val="00FB1244"/>
    <w:rsid w:val="00FB21C8"/>
    <w:rsid w:val="00FB4D5D"/>
    <w:rsid w:val="00FB5430"/>
    <w:rsid w:val="00FB64A1"/>
    <w:rsid w:val="00FB75A6"/>
    <w:rsid w:val="00FC12D4"/>
    <w:rsid w:val="00FC198A"/>
    <w:rsid w:val="00FC2750"/>
    <w:rsid w:val="00FC6ECF"/>
    <w:rsid w:val="00FC713E"/>
    <w:rsid w:val="00FC7DFA"/>
    <w:rsid w:val="00FD11DD"/>
    <w:rsid w:val="00FD220B"/>
    <w:rsid w:val="00FD3A14"/>
    <w:rsid w:val="00FD3DF0"/>
    <w:rsid w:val="00FD4673"/>
    <w:rsid w:val="00FD4B9E"/>
    <w:rsid w:val="00FD789A"/>
    <w:rsid w:val="00FD7A39"/>
    <w:rsid w:val="00FE14EC"/>
    <w:rsid w:val="00FE2AC1"/>
    <w:rsid w:val="00FE5A00"/>
    <w:rsid w:val="00FE7F94"/>
    <w:rsid w:val="00FF1227"/>
    <w:rsid w:val="00FF2649"/>
    <w:rsid w:val="00FF4818"/>
    <w:rsid w:val="01CC1A40"/>
    <w:rsid w:val="025039E1"/>
    <w:rsid w:val="03595555"/>
    <w:rsid w:val="03D9551C"/>
    <w:rsid w:val="04081968"/>
    <w:rsid w:val="05054C8B"/>
    <w:rsid w:val="051E77F4"/>
    <w:rsid w:val="06F947E6"/>
    <w:rsid w:val="094E18C4"/>
    <w:rsid w:val="09B4115B"/>
    <w:rsid w:val="09F65A96"/>
    <w:rsid w:val="0C2506CA"/>
    <w:rsid w:val="0D9D1579"/>
    <w:rsid w:val="0EB140DD"/>
    <w:rsid w:val="0FBF585C"/>
    <w:rsid w:val="10D75E44"/>
    <w:rsid w:val="11B67681"/>
    <w:rsid w:val="12117246"/>
    <w:rsid w:val="12E0359D"/>
    <w:rsid w:val="16A83361"/>
    <w:rsid w:val="178B3958"/>
    <w:rsid w:val="19AE476B"/>
    <w:rsid w:val="19F82AFF"/>
    <w:rsid w:val="1A5C7852"/>
    <w:rsid w:val="1AB77B50"/>
    <w:rsid w:val="1B5D6EDB"/>
    <w:rsid w:val="1C7479D2"/>
    <w:rsid w:val="1C9D46DC"/>
    <w:rsid w:val="1CF806C3"/>
    <w:rsid w:val="1D826D7B"/>
    <w:rsid w:val="1F1F7F88"/>
    <w:rsid w:val="1F7142BB"/>
    <w:rsid w:val="201E5F05"/>
    <w:rsid w:val="20D714C9"/>
    <w:rsid w:val="20EF0E4F"/>
    <w:rsid w:val="213056EF"/>
    <w:rsid w:val="23472730"/>
    <w:rsid w:val="23B440F0"/>
    <w:rsid w:val="254758A3"/>
    <w:rsid w:val="25D34863"/>
    <w:rsid w:val="265A320F"/>
    <w:rsid w:val="26EF7B95"/>
    <w:rsid w:val="27C85860"/>
    <w:rsid w:val="28BE2E43"/>
    <w:rsid w:val="29D364EB"/>
    <w:rsid w:val="2AAF1D7B"/>
    <w:rsid w:val="2AC65B3D"/>
    <w:rsid w:val="2C8D33D4"/>
    <w:rsid w:val="2CDF621C"/>
    <w:rsid w:val="2DA07C26"/>
    <w:rsid w:val="2FA63B62"/>
    <w:rsid w:val="2FCF4DFD"/>
    <w:rsid w:val="319A4B1E"/>
    <w:rsid w:val="320E59EA"/>
    <w:rsid w:val="34684C5B"/>
    <w:rsid w:val="34D47D54"/>
    <w:rsid w:val="350C7DCA"/>
    <w:rsid w:val="362853ED"/>
    <w:rsid w:val="375630CB"/>
    <w:rsid w:val="38D676C9"/>
    <w:rsid w:val="39A607ED"/>
    <w:rsid w:val="39E862DD"/>
    <w:rsid w:val="3A6479D5"/>
    <w:rsid w:val="3B295B82"/>
    <w:rsid w:val="3C8368C4"/>
    <w:rsid w:val="3E472DE6"/>
    <w:rsid w:val="3E664BC9"/>
    <w:rsid w:val="3E8C50D4"/>
    <w:rsid w:val="3EF44A8C"/>
    <w:rsid w:val="428A31E3"/>
    <w:rsid w:val="436808C1"/>
    <w:rsid w:val="43E02B4D"/>
    <w:rsid w:val="44A20857"/>
    <w:rsid w:val="460355F1"/>
    <w:rsid w:val="4B321EE0"/>
    <w:rsid w:val="4B7614FD"/>
    <w:rsid w:val="4B810673"/>
    <w:rsid w:val="4BE63515"/>
    <w:rsid w:val="4C503A1A"/>
    <w:rsid w:val="4C6C1422"/>
    <w:rsid w:val="4D2B34E9"/>
    <w:rsid w:val="4E6A2BDB"/>
    <w:rsid w:val="4E6A7BE3"/>
    <w:rsid w:val="4FA1148B"/>
    <w:rsid w:val="512B1A49"/>
    <w:rsid w:val="520605DB"/>
    <w:rsid w:val="570515DE"/>
    <w:rsid w:val="58555E2B"/>
    <w:rsid w:val="58AF078D"/>
    <w:rsid w:val="5AA224B3"/>
    <w:rsid w:val="5C2956DB"/>
    <w:rsid w:val="5CFD10CB"/>
    <w:rsid w:val="5F294F51"/>
    <w:rsid w:val="614D518B"/>
    <w:rsid w:val="61E12853"/>
    <w:rsid w:val="62FD40BD"/>
    <w:rsid w:val="63593AA3"/>
    <w:rsid w:val="649E25E0"/>
    <w:rsid w:val="668352A7"/>
    <w:rsid w:val="668B51BE"/>
    <w:rsid w:val="67FC4F5C"/>
    <w:rsid w:val="68620580"/>
    <w:rsid w:val="6A07014E"/>
    <w:rsid w:val="6A2A361C"/>
    <w:rsid w:val="6C5F0204"/>
    <w:rsid w:val="6D8B3589"/>
    <w:rsid w:val="6E6813FF"/>
    <w:rsid w:val="6EF72976"/>
    <w:rsid w:val="6F9438C6"/>
    <w:rsid w:val="6FE436CB"/>
    <w:rsid w:val="71451292"/>
    <w:rsid w:val="722A4E10"/>
    <w:rsid w:val="72422AE2"/>
    <w:rsid w:val="72DC1889"/>
    <w:rsid w:val="72DF026D"/>
    <w:rsid w:val="730C76FE"/>
    <w:rsid w:val="75D349E1"/>
    <w:rsid w:val="76BD2199"/>
    <w:rsid w:val="778139C7"/>
    <w:rsid w:val="79D816A4"/>
    <w:rsid w:val="7A1775D3"/>
    <w:rsid w:val="7A5F5873"/>
    <w:rsid w:val="7ECF2FC7"/>
    <w:rsid w:val="DF8BC5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8"/>
      <w:lang w:val="en-US" w:eastAsia="zh-CN" w:bidi="ar-SA"/>
    </w:rPr>
  </w:style>
  <w:style w:type="paragraph" w:styleId="2">
    <w:name w:val="heading 1"/>
    <w:basedOn w:val="1"/>
    <w:next w:val="1"/>
    <w:link w:val="28"/>
    <w:qFormat/>
    <w:uiPriority w:val="0"/>
    <w:pPr>
      <w:keepNext/>
      <w:keepLines/>
      <w:numPr>
        <w:ilvl w:val="0"/>
        <w:numId w:val="1"/>
      </w:numPr>
      <w:spacing w:before="100" w:beforeLines="100"/>
      <w:ind w:firstLine="0" w:firstLineChars="0"/>
      <w:outlineLvl w:val="0"/>
    </w:pPr>
    <w:rPr>
      <w:b/>
      <w:bCs/>
      <w:kern w:val="44"/>
      <w:szCs w:val="44"/>
    </w:rPr>
  </w:style>
  <w:style w:type="paragraph" w:styleId="3">
    <w:name w:val="heading 2"/>
    <w:basedOn w:val="1"/>
    <w:next w:val="1"/>
    <w:link w:val="29"/>
    <w:unhideWhenUsed/>
    <w:qFormat/>
    <w:uiPriority w:val="0"/>
    <w:pPr>
      <w:keepNext/>
      <w:keepLines/>
      <w:numPr>
        <w:ilvl w:val="0"/>
        <w:numId w:val="2"/>
      </w:numPr>
      <w:ind w:firstLine="0" w:firstLineChars="0"/>
      <w:jc w:val="left"/>
      <w:outlineLvl w:val="1"/>
    </w:pPr>
    <w:rPr>
      <w:rFonts w:asciiTheme="majorHAnsi" w:hAnsiTheme="majorHAnsi" w:cstheme="majorBidi"/>
      <w:b/>
      <w:bCs/>
      <w:szCs w:val="32"/>
    </w:rPr>
  </w:style>
  <w:style w:type="paragraph" w:styleId="4">
    <w:name w:val="heading 3"/>
    <w:basedOn w:val="1"/>
    <w:next w:val="1"/>
    <w:link w:val="30"/>
    <w:unhideWhenUsed/>
    <w:qFormat/>
    <w:uiPriority w:val="0"/>
    <w:pPr>
      <w:keepNext/>
      <w:keepLines/>
      <w:numPr>
        <w:ilvl w:val="0"/>
        <w:numId w:val="3"/>
      </w:numPr>
      <w:spacing w:line="240" w:lineRule="auto"/>
      <w:ind w:firstLine="0" w:firstLineChars="0"/>
      <w:outlineLvl w:val="2"/>
    </w:pPr>
    <w:rPr>
      <w:b/>
      <w:bCs/>
      <w:szCs w:val="32"/>
    </w:rPr>
  </w:style>
  <w:style w:type="paragraph" w:styleId="5">
    <w:name w:val="heading 4"/>
    <w:basedOn w:val="1"/>
    <w:next w:val="1"/>
    <w:link w:val="32"/>
    <w:semiHidden/>
    <w:unhideWhenUsed/>
    <w:qFormat/>
    <w:uiPriority w:val="0"/>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link w:val="26"/>
    <w:qFormat/>
    <w:uiPriority w:val="0"/>
    <w:pPr>
      <w:jc w:val="left"/>
    </w:pPr>
  </w:style>
  <w:style w:type="paragraph" w:styleId="7">
    <w:name w:val="Body Text"/>
    <w:basedOn w:val="1"/>
    <w:unhideWhenUsed/>
    <w:qFormat/>
    <w:uiPriority w:val="0"/>
    <w:pPr>
      <w:spacing w:after="120"/>
    </w:pPr>
  </w:style>
  <w:style w:type="paragraph" w:styleId="8">
    <w:name w:val="Body Text Indent"/>
    <w:basedOn w:val="1"/>
    <w:link w:val="42"/>
    <w:qFormat/>
    <w:uiPriority w:val="0"/>
    <w:pPr>
      <w:spacing w:after="120"/>
      <w:ind w:left="420" w:leftChars="200"/>
    </w:pPr>
  </w:style>
  <w:style w:type="paragraph" w:styleId="9">
    <w:name w:val="Plain Text"/>
    <w:basedOn w:val="1"/>
    <w:qFormat/>
    <w:uiPriority w:val="0"/>
    <w:rPr>
      <w:rFonts w:ascii="宋体" w:hAnsi="Courier New"/>
    </w:rPr>
  </w:style>
  <w:style w:type="paragraph" w:styleId="10">
    <w:name w:val="endnote text"/>
    <w:basedOn w:val="1"/>
    <w:link w:val="33"/>
    <w:qFormat/>
    <w:uiPriority w:val="0"/>
    <w:pPr>
      <w:snapToGrid w:val="0"/>
      <w:jc w:val="left"/>
    </w:pPr>
  </w:style>
  <w:style w:type="paragraph" w:styleId="11">
    <w:name w:val="Balloon Text"/>
    <w:basedOn w:val="1"/>
    <w:link w:val="41"/>
    <w:qFormat/>
    <w:uiPriority w:val="0"/>
    <w:pPr>
      <w:spacing w:line="240" w:lineRule="auto"/>
    </w:pPr>
    <w:rPr>
      <w:sz w:val="18"/>
      <w:szCs w:val="18"/>
    </w:rPr>
  </w:style>
  <w:style w:type="paragraph" w:styleId="12">
    <w:name w:val="footer"/>
    <w:basedOn w:val="1"/>
    <w:link w:val="40"/>
    <w:qFormat/>
    <w:uiPriority w:val="99"/>
    <w:pPr>
      <w:tabs>
        <w:tab w:val="center" w:pos="4153"/>
        <w:tab w:val="right" w:pos="8306"/>
      </w:tabs>
      <w:snapToGrid w:val="0"/>
      <w:jc w:val="left"/>
    </w:pPr>
    <w:rPr>
      <w:sz w:val="18"/>
      <w:szCs w:val="18"/>
    </w:rPr>
  </w:style>
  <w:style w:type="paragraph" w:styleId="13">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styleId="15">
    <w:name w:val="Title"/>
    <w:basedOn w:val="1"/>
    <w:next w:val="1"/>
    <w:link w:val="31"/>
    <w:qFormat/>
    <w:uiPriority w:val="0"/>
    <w:pPr>
      <w:numPr>
        <w:ilvl w:val="0"/>
        <w:numId w:val="4"/>
      </w:numPr>
      <w:spacing w:line="240" w:lineRule="auto"/>
      <w:ind w:firstLine="0" w:firstLineChars="0"/>
      <w:outlineLvl w:val="3"/>
    </w:pPr>
    <w:rPr>
      <w:rFonts w:asciiTheme="majorHAnsi" w:hAnsiTheme="majorHAnsi" w:cstheme="majorBidi"/>
      <w:bCs/>
      <w:szCs w:val="32"/>
    </w:rPr>
  </w:style>
  <w:style w:type="paragraph" w:styleId="16">
    <w:name w:val="annotation subject"/>
    <w:basedOn w:val="6"/>
    <w:next w:val="6"/>
    <w:link w:val="27"/>
    <w:qFormat/>
    <w:uiPriority w:val="0"/>
    <w:rPr>
      <w:b/>
      <w:bCs/>
    </w:rPr>
  </w:style>
  <w:style w:type="paragraph" w:styleId="17">
    <w:name w:val="Body Text First Indent 2"/>
    <w:basedOn w:val="8"/>
    <w:link w:val="43"/>
    <w:qFormat/>
    <w:uiPriority w:val="0"/>
    <w:pPr>
      <w:ind w:firstLine="420"/>
    </w:p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endnote reference"/>
    <w:basedOn w:val="20"/>
    <w:qFormat/>
    <w:uiPriority w:val="0"/>
    <w:rPr>
      <w:vertAlign w:val="superscript"/>
    </w:rPr>
  </w:style>
  <w:style w:type="character" w:styleId="22">
    <w:name w:val="page number"/>
    <w:qFormat/>
    <w:uiPriority w:val="0"/>
  </w:style>
  <w:style w:type="character" w:styleId="23">
    <w:name w:val="Hyperlink"/>
    <w:basedOn w:val="20"/>
    <w:unhideWhenUsed/>
    <w:qFormat/>
    <w:uiPriority w:val="0"/>
    <w:rPr>
      <w:color w:val="0000FF"/>
      <w:u w:val="single"/>
    </w:rPr>
  </w:style>
  <w:style w:type="character" w:styleId="24">
    <w:name w:val="annotation reference"/>
    <w:basedOn w:val="20"/>
    <w:qFormat/>
    <w:uiPriority w:val="0"/>
    <w:rPr>
      <w:sz w:val="21"/>
      <w:szCs w:val="21"/>
    </w:rPr>
  </w:style>
  <w:style w:type="paragraph" w:styleId="25">
    <w:name w:val="List Paragraph"/>
    <w:basedOn w:val="1"/>
    <w:qFormat/>
    <w:uiPriority w:val="34"/>
    <w:pPr>
      <w:ind w:firstLine="420"/>
    </w:pPr>
  </w:style>
  <w:style w:type="character" w:customStyle="1" w:styleId="26">
    <w:name w:val="批注文字 字符"/>
    <w:basedOn w:val="20"/>
    <w:link w:val="6"/>
    <w:qFormat/>
    <w:uiPriority w:val="0"/>
    <w:rPr>
      <w:kern w:val="2"/>
      <w:sz w:val="21"/>
    </w:rPr>
  </w:style>
  <w:style w:type="character" w:customStyle="1" w:styleId="27">
    <w:name w:val="批注主题 字符"/>
    <w:basedOn w:val="26"/>
    <w:link w:val="16"/>
    <w:qFormat/>
    <w:uiPriority w:val="0"/>
    <w:rPr>
      <w:b/>
      <w:bCs/>
      <w:kern w:val="2"/>
      <w:sz w:val="21"/>
    </w:rPr>
  </w:style>
  <w:style w:type="character" w:customStyle="1" w:styleId="28">
    <w:name w:val="标题 1 字符"/>
    <w:basedOn w:val="20"/>
    <w:link w:val="2"/>
    <w:qFormat/>
    <w:uiPriority w:val="0"/>
    <w:rPr>
      <w:b/>
      <w:bCs/>
      <w:kern w:val="44"/>
      <w:sz w:val="28"/>
      <w:szCs w:val="44"/>
    </w:rPr>
  </w:style>
  <w:style w:type="character" w:customStyle="1" w:styleId="29">
    <w:name w:val="标题 2 字符"/>
    <w:basedOn w:val="20"/>
    <w:link w:val="3"/>
    <w:qFormat/>
    <w:uiPriority w:val="0"/>
    <w:rPr>
      <w:rFonts w:asciiTheme="majorHAnsi" w:hAnsiTheme="majorHAnsi" w:cstheme="majorBidi"/>
      <w:b/>
      <w:bCs/>
      <w:kern w:val="2"/>
      <w:sz w:val="28"/>
      <w:szCs w:val="32"/>
    </w:rPr>
  </w:style>
  <w:style w:type="character" w:customStyle="1" w:styleId="30">
    <w:name w:val="标题 3 字符"/>
    <w:basedOn w:val="20"/>
    <w:link w:val="4"/>
    <w:qFormat/>
    <w:uiPriority w:val="0"/>
    <w:rPr>
      <w:b/>
      <w:bCs/>
      <w:kern w:val="2"/>
      <w:sz w:val="28"/>
      <w:szCs w:val="32"/>
    </w:rPr>
  </w:style>
  <w:style w:type="character" w:customStyle="1" w:styleId="31">
    <w:name w:val="标题 字符"/>
    <w:basedOn w:val="20"/>
    <w:link w:val="15"/>
    <w:qFormat/>
    <w:uiPriority w:val="0"/>
    <w:rPr>
      <w:rFonts w:asciiTheme="majorHAnsi" w:hAnsiTheme="majorHAnsi" w:cstheme="majorBidi"/>
      <w:bCs/>
      <w:kern w:val="2"/>
      <w:sz w:val="28"/>
      <w:szCs w:val="32"/>
    </w:rPr>
  </w:style>
  <w:style w:type="character" w:customStyle="1" w:styleId="32">
    <w:name w:val="标题 4 字符"/>
    <w:basedOn w:val="20"/>
    <w:link w:val="5"/>
    <w:semiHidden/>
    <w:qFormat/>
    <w:uiPriority w:val="0"/>
    <w:rPr>
      <w:rFonts w:asciiTheme="majorHAnsi" w:hAnsiTheme="majorHAnsi" w:eastAsiaTheme="majorEastAsia" w:cstheme="majorBidi"/>
      <w:b/>
      <w:bCs/>
      <w:kern w:val="2"/>
      <w:sz w:val="28"/>
      <w:szCs w:val="28"/>
    </w:rPr>
  </w:style>
  <w:style w:type="character" w:customStyle="1" w:styleId="33">
    <w:name w:val="尾注文本 字符"/>
    <w:basedOn w:val="20"/>
    <w:link w:val="10"/>
    <w:qFormat/>
    <w:uiPriority w:val="0"/>
    <w:rPr>
      <w:kern w:val="2"/>
      <w:sz w:val="28"/>
    </w:rPr>
  </w:style>
  <w:style w:type="character" w:customStyle="1" w:styleId="34">
    <w:name w:val="页眉 字符"/>
    <w:basedOn w:val="20"/>
    <w:link w:val="13"/>
    <w:qFormat/>
    <w:uiPriority w:val="99"/>
    <w:rPr>
      <w:kern w:val="2"/>
      <w:sz w:val="18"/>
      <w:szCs w:val="18"/>
    </w:rPr>
  </w:style>
  <w:style w:type="character" w:customStyle="1" w:styleId="35">
    <w:name w:val="16"/>
    <w:basedOn w:val="20"/>
    <w:qFormat/>
    <w:uiPriority w:val="0"/>
    <w:rPr>
      <w:rFonts w:hint="default" w:ascii="Arial" w:hAnsi="Arial" w:cs="Arial"/>
    </w:rPr>
  </w:style>
  <w:style w:type="paragraph" w:customStyle="1" w:styleId="36">
    <w:name w:val="修订1"/>
    <w:hidden/>
    <w:semiHidden/>
    <w:qFormat/>
    <w:uiPriority w:val="99"/>
    <w:rPr>
      <w:rFonts w:ascii="Times New Roman" w:hAnsi="Times New Roman" w:eastAsia="宋体" w:cs="Times New Roman"/>
      <w:kern w:val="2"/>
      <w:sz w:val="28"/>
      <w:lang w:val="en-US" w:eastAsia="zh-CN" w:bidi="ar-SA"/>
    </w:rPr>
  </w:style>
  <w:style w:type="paragraph" w:customStyle="1" w:styleId="37">
    <w:name w:val="列表段落1"/>
    <w:basedOn w:val="1"/>
    <w:qFormat/>
    <w:uiPriority w:val="0"/>
    <w:pPr>
      <w:spacing w:line="240" w:lineRule="auto"/>
      <w:ind w:firstLine="420"/>
    </w:pPr>
    <w:rPr>
      <w:rFonts w:ascii="Calibri" w:hAnsi="Calibri" w:cs="宋体"/>
      <w:sz w:val="21"/>
      <w:szCs w:val="21"/>
    </w:rPr>
  </w:style>
  <w:style w:type="paragraph" w:customStyle="1" w:styleId="38">
    <w:name w:val="列出段落1"/>
    <w:basedOn w:val="1"/>
    <w:qFormat/>
    <w:uiPriority w:val="0"/>
    <w:pPr>
      <w:widowControl/>
      <w:spacing w:line="240" w:lineRule="auto"/>
      <w:ind w:firstLine="420"/>
      <w:jc w:val="left"/>
    </w:pPr>
    <w:rPr>
      <w:sz w:val="21"/>
      <w:szCs w:val="21"/>
    </w:rPr>
  </w:style>
  <w:style w:type="paragraph" w:customStyle="1" w:styleId="39">
    <w:name w:val="修订2"/>
    <w:hidden/>
    <w:semiHidden/>
    <w:qFormat/>
    <w:uiPriority w:val="99"/>
    <w:rPr>
      <w:rFonts w:ascii="Times New Roman" w:hAnsi="Times New Roman" w:eastAsia="宋体" w:cs="Times New Roman"/>
      <w:kern w:val="2"/>
      <w:sz w:val="28"/>
      <w:lang w:val="en-US" w:eastAsia="zh-CN" w:bidi="ar-SA"/>
    </w:rPr>
  </w:style>
  <w:style w:type="character" w:customStyle="1" w:styleId="40">
    <w:name w:val="页脚 字符"/>
    <w:basedOn w:val="20"/>
    <w:link w:val="12"/>
    <w:qFormat/>
    <w:uiPriority w:val="99"/>
    <w:rPr>
      <w:kern w:val="2"/>
      <w:sz w:val="18"/>
      <w:szCs w:val="18"/>
    </w:rPr>
  </w:style>
  <w:style w:type="character" w:customStyle="1" w:styleId="41">
    <w:name w:val="批注框文本 字符"/>
    <w:basedOn w:val="20"/>
    <w:link w:val="11"/>
    <w:qFormat/>
    <w:uiPriority w:val="0"/>
    <w:rPr>
      <w:kern w:val="2"/>
      <w:sz w:val="18"/>
      <w:szCs w:val="18"/>
    </w:rPr>
  </w:style>
  <w:style w:type="character" w:customStyle="1" w:styleId="42">
    <w:name w:val="正文文本缩进 字符"/>
    <w:basedOn w:val="20"/>
    <w:link w:val="8"/>
    <w:qFormat/>
    <w:uiPriority w:val="0"/>
    <w:rPr>
      <w:kern w:val="2"/>
      <w:sz w:val="28"/>
    </w:rPr>
  </w:style>
  <w:style w:type="character" w:customStyle="1" w:styleId="43">
    <w:name w:val="正文文本首行缩进 2 字符"/>
    <w:basedOn w:val="42"/>
    <w:link w:val="17"/>
    <w:qFormat/>
    <w:uiPriority w:val="0"/>
    <w:rPr>
      <w:kern w:val="2"/>
      <w:sz w:val="28"/>
    </w:rPr>
  </w:style>
  <w:style w:type="paragraph" w:customStyle="1" w:styleId="44">
    <w:name w:val="修订3"/>
    <w:hidden/>
    <w:unhideWhenUsed/>
    <w:qFormat/>
    <w:uiPriority w:val="99"/>
    <w:rPr>
      <w:rFonts w:ascii="Times New Roman" w:hAnsi="Times New Roman" w:eastAsia="宋体" w:cs="Times New Roman"/>
      <w:kern w:val="2"/>
      <w:sz w:val="28"/>
      <w:lang w:val="en-US" w:eastAsia="zh-CN" w:bidi="ar-SA"/>
    </w:rPr>
  </w:style>
  <w:style w:type="character" w:customStyle="1" w:styleId="45">
    <w:name w:val="font11"/>
    <w:basedOn w:val="20"/>
    <w:qFormat/>
    <w:uiPriority w:val="0"/>
    <w:rPr>
      <w:rFonts w:hint="eastAsia" w:ascii="宋体" w:hAnsi="宋体" w:eastAsia="宋体"/>
      <w:color w:val="000000"/>
      <w:sz w:val="21"/>
      <w:szCs w:val="21"/>
      <w:u w:val="none"/>
    </w:rPr>
  </w:style>
  <w:style w:type="paragraph" w:customStyle="1" w:styleId="46">
    <w:name w:val="修订4"/>
    <w:hidden/>
    <w:unhideWhenUsed/>
    <w:qFormat/>
    <w:uiPriority w:val="99"/>
    <w:rPr>
      <w:rFonts w:ascii="Times New Roman" w:hAnsi="Times New Roman" w:eastAsia="宋体" w:cs="Times New Roman"/>
      <w:kern w:val="2"/>
      <w:sz w:val="28"/>
      <w:lang w:val="en-US" w:eastAsia="zh-CN" w:bidi="ar-SA"/>
    </w:rPr>
  </w:style>
  <w:style w:type="paragraph" w:customStyle="1" w:styleId="47">
    <w:name w:val="修订5"/>
    <w:hidden/>
    <w:unhideWhenUsed/>
    <w:qFormat/>
    <w:uiPriority w:val="99"/>
    <w:rPr>
      <w:rFonts w:ascii="Times New Roman" w:hAnsi="Times New Roman" w:eastAsia="宋体" w:cs="Times New Roman"/>
      <w:kern w:val="2"/>
      <w:sz w:val="28"/>
      <w:lang w:val="en-US" w:eastAsia="zh-CN" w:bidi="ar-SA"/>
    </w:rPr>
  </w:style>
  <w:style w:type="character" w:customStyle="1" w:styleId="48">
    <w:name w:val="font61"/>
    <w:basedOn w:val="20"/>
    <w:qFormat/>
    <w:uiPriority w:val="0"/>
    <w:rPr>
      <w:rFonts w:hint="default" w:ascii="Cambria Math" w:hAnsi="Cambria Math"/>
      <w:color w:val="000000"/>
      <w:sz w:val="18"/>
      <w:szCs w:val="18"/>
      <w:u w:val="none"/>
    </w:rPr>
  </w:style>
  <w:style w:type="character" w:customStyle="1" w:styleId="49">
    <w:name w:val="font21"/>
    <w:basedOn w:val="20"/>
    <w:qFormat/>
    <w:uiPriority w:val="0"/>
    <w:rPr>
      <w:rFonts w:hint="eastAsia" w:ascii="方正仿宋_GBK" w:eastAsia="方正仿宋_GBK"/>
      <w:color w:val="000000"/>
      <w:sz w:val="18"/>
      <w:szCs w:val="18"/>
      <w:u w:val="none"/>
    </w:rPr>
  </w:style>
  <w:style w:type="character" w:customStyle="1" w:styleId="50">
    <w:name w:val="font51"/>
    <w:basedOn w:val="20"/>
    <w:qFormat/>
    <w:uiPriority w:val="0"/>
    <w:rPr>
      <w:rFonts w:hint="default" w:ascii="Cambria Math" w:hAnsi="Cambria Math"/>
      <w:color w:val="000000"/>
      <w:sz w:val="18"/>
      <w:szCs w:val="18"/>
      <w:u w:val="none"/>
    </w:rPr>
  </w:style>
  <w:style w:type="character" w:customStyle="1" w:styleId="51">
    <w:name w:val="font71"/>
    <w:basedOn w:val="20"/>
    <w:qFormat/>
    <w:uiPriority w:val="0"/>
    <w:rPr>
      <w:rFonts w:ascii="Cambria Math" w:hAnsi="Cambria Math" w:eastAsia="Cambria Math" w:cs="Cambria Math"/>
      <w:color w:val="000000"/>
      <w:sz w:val="18"/>
      <w:szCs w:val="18"/>
      <w:u w:val="none"/>
    </w:rPr>
  </w:style>
  <w:style w:type="character" w:customStyle="1" w:styleId="52">
    <w:name w:val="font31"/>
    <w:basedOn w:val="20"/>
    <w:qFormat/>
    <w:uiPriority w:val="0"/>
    <w:rPr>
      <w:rFonts w:hint="default" w:ascii="方正仿宋_GBK" w:hAnsi="方正仿宋_GBK" w:eastAsia="方正仿宋_GBK" w:cs="方正仿宋_GBK"/>
      <w:color w:val="FF0000"/>
      <w:sz w:val="18"/>
      <w:szCs w:val="18"/>
      <w:u w:val="none"/>
    </w:rPr>
  </w:style>
  <w:style w:type="paragraph" w:customStyle="1" w:styleId="53">
    <w:name w:val="Revision"/>
    <w:hidden/>
    <w:unhideWhenUsed/>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D66BC1-BAB3-426C-B709-4BE01E0E3F36}">
  <ds:schemaRefs/>
</ds:datastoreItem>
</file>

<file path=docProps/app.xml><?xml version="1.0" encoding="utf-8"?>
<Properties xmlns="http://schemas.openxmlformats.org/officeDocument/2006/extended-properties" xmlns:vt="http://schemas.openxmlformats.org/officeDocument/2006/docPropsVTypes">
  <Template>Normal</Template>
  <Pages>19</Pages>
  <Words>6920</Words>
  <Characters>7354</Characters>
  <Lines>73</Lines>
  <Paragraphs>20</Paragraphs>
  <TotalTime>787</TotalTime>
  <ScaleCrop>false</ScaleCrop>
  <LinksUpToDate>false</LinksUpToDate>
  <CharactersWithSpaces>7365</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2023-12-22T02:53:00Z</dcterms:created>
  <dc:creator>ThinkPad</dc:creator>
  <cp:lastModifiedBy>HP</cp:lastModifiedBy>
  <cp:lastPrinted>2023-10-23T15:36:00Z</cp:lastPrinted>
  <dcterms:modified xsi:type="dcterms:W3CDTF">2024-11-11T08:38:10Z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57A71751CCCE490EAF343956FB8B2222_12</vt:lpwstr>
  </property>
</Properties>
</file>