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ind w:firstLine="0" w:firstLineChars="0"/>
        <w:rPr>
          <w:rFonts w:ascii="Arial Narrow" w:hAnsi="Arial Narrow"/>
          <w:sz w:val="21"/>
        </w:rPr>
      </w:pPr>
    </w:p>
    <w:p>
      <w:pPr>
        <w:spacing w:line="240" w:lineRule="auto"/>
        <w:ind w:firstLine="0" w:firstLineChars="0"/>
        <w:rPr>
          <w:rFonts w:ascii="Arial Narrow" w:hAnsi="Arial Narrow"/>
          <w:sz w:val="21"/>
        </w:rPr>
      </w:pPr>
    </w:p>
    <w:p>
      <w:pPr>
        <w:spacing w:line="240" w:lineRule="auto"/>
        <w:ind w:firstLine="0" w:firstLineChars="0"/>
        <w:rPr>
          <w:rFonts w:ascii="Arial Narrow" w:hAnsi="Arial Narrow"/>
          <w:sz w:val="21"/>
        </w:rPr>
      </w:pPr>
    </w:p>
    <w:p>
      <w:pPr>
        <w:spacing w:line="240" w:lineRule="auto"/>
        <w:ind w:firstLine="0" w:firstLineChars="0"/>
        <w:rPr>
          <w:rFonts w:ascii="Arial Narrow" w:hAnsi="Arial Narrow"/>
          <w:sz w:val="21"/>
        </w:rPr>
      </w:pPr>
    </w:p>
    <w:p>
      <w:pPr>
        <w:spacing w:line="240" w:lineRule="auto"/>
        <w:ind w:firstLine="0" w:firstLineChars="0"/>
        <w:rPr>
          <w:rFonts w:ascii="Arial Narrow" w:hAnsi="Arial Narrow"/>
          <w:sz w:val="21"/>
        </w:rPr>
      </w:pPr>
    </w:p>
    <w:p>
      <w:pPr>
        <w:spacing w:line="240" w:lineRule="auto"/>
        <w:ind w:firstLine="0" w:firstLineChars="0"/>
        <w:rPr>
          <w:rFonts w:ascii="Arial Narrow" w:hAnsi="Arial Narrow"/>
          <w:sz w:val="21"/>
        </w:rPr>
      </w:pPr>
    </w:p>
    <w:p>
      <w:pPr>
        <w:spacing w:line="240" w:lineRule="auto"/>
        <w:ind w:firstLine="0" w:firstLineChars="0"/>
        <w:rPr>
          <w:rFonts w:ascii="Arial Narrow" w:hAnsi="Arial Narrow"/>
          <w:sz w:val="21"/>
        </w:rPr>
      </w:pPr>
    </w:p>
    <w:p>
      <w:pPr>
        <w:spacing w:line="240" w:lineRule="auto"/>
        <w:ind w:firstLine="0" w:firstLineChars="0"/>
        <w:rPr>
          <w:rFonts w:ascii="Arial Narrow" w:hAnsi="Arial Narrow"/>
          <w:sz w:val="21"/>
        </w:rPr>
      </w:pPr>
    </w:p>
    <w:p>
      <w:pPr>
        <w:spacing w:line="240" w:lineRule="auto"/>
        <w:ind w:firstLine="0" w:firstLineChars="0"/>
        <w:rPr>
          <w:rFonts w:ascii="Arial Narrow" w:hAnsi="Arial Narrow"/>
          <w:sz w:val="21"/>
        </w:rPr>
      </w:pPr>
    </w:p>
    <w:p>
      <w:pPr>
        <w:spacing w:line="240" w:lineRule="auto"/>
        <w:ind w:firstLine="0" w:firstLineChars="0"/>
        <w:rPr>
          <w:rFonts w:ascii="Arial Narrow" w:hAnsi="Arial Narrow"/>
          <w:sz w:val="21"/>
        </w:rPr>
      </w:pPr>
    </w:p>
    <w:p>
      <w:pPr>
        <w:spacing w:line="240" w:lineRule="auto"/>
        <w:ind w:firstLine="0" w:firstLineChars="0"/>
        <w:rPr>
          <w:rFonts w:ascii="Arial Narrow" w:hAnsi="Arial Narrow"/>
          <w:sz w:val="21"/>
        </w:rPr>
      </w:pPr>
    </w:p>
    <w:p>
      <w:pPr>
        <w:spacing w:line="240" w:lineRule="auto"/>
        <w:ind w:firstLine="0" w:firstLineChars="0"/>
        <w:rPr>
          <w:rFonts w:ascii="Arial Narrow" w:hAnsi="Arial Narrow"/>
          <w:sz w:val="21"/>
        </w:rPr>
      </w:pPr>
    </w:p>
    <w:p>
      <w:pPr>
        <w:spacing w:line="560" w:lineRule="exact"/>
        <w:ind w:left="560" w:firstLine="0" w:firstLineChars="0"/>
        <w:jc w:val="center"/>
        <w:rPr>
          <w:b/>
          <w:sz w:val="32"/>
          <w:szCs w:val="32"/>
        </w:rPr>
      </w:pPr>
      <w:bookmarkStart w:id="0" w:name="_Hlk170378308"/>
      <w:r>
        <w:rPr>
          <w:rFonts w:hint="eastAsia"/>
          <w:b/>
          <w:sz w:val="32"/>
          <w:szCs w:val="32"/>
        </w:rPr>
        <w:t>重庆市铜梁区场镇基础设施功能</w:t>
      </w:r>
    </w:p>
    <w:p>
      <w:pPr>
        <w:spacing w:line="560" w:lineRule="exact"/>
        <w:ind w:left="560" w:firstLine="0" w:firstLineChars="0"/>
        <w:jc w:val="center"/>
        <w:rPr>
          <w:b/>
          <w:sz w:val="32"/>
          <w:szCs w:val="32"/>
        </w:rPr>
      </w:pPr>
      <w:r>
        <w:rPr>
          <w:rFonts w:hint="eastAsia"/>
          <w:b/>
          <w:sz w:val="32"/>
          <w:szCs w:val="32"/>
        </w:rPr>
        <w:t>补短板建设项目</w:t>
      </w:r>
      <w:bookmarkEnd w:id="0"/>
      <w:r>
        <w:rPr>
          <w:rFonts w:hint="eastAsia"/>
          <w:b/>
          <w:sz w:val="32"/>
          <w:szCs w:val="32"/>
        </w:rPr>
        <w:t>绩效评价报告</w:t>
      </w:r>
    </w:p>
    <w:p>
      <w:pPr>
        <w:spacing w:line="240" w:lineRule="auto"/>
        <w:ind w:firstLine="0" w:firstLineChars="0"/>
        <w:rPr>
          <w:rFonts w:ascii="Arial Narrow" w:hAnsi="Arial Narrow"/>
          <w:sz w:val="21"/>
        </w:rPr>
      </w:pPr>
    </w:p>
    <w:p>
      <w:pPr>
        <w:spacing w:line="240" w:lineRule="auto"/>
        <w:ind w:firstLine="0" w:firstLineChars="0"/>
        <w:rPr>
          <w:rFonts w:ascii="Arial Narrow" w:hAnsi="Arial Narrow"/>
          <w:sz w:val="21"/>
        </w:rPr>
      </w:pPr>
    </w:p>
    <w:p>
      <w:pPr>
        <w:spacing w:line="240" w:lineRule="auto"/>
        <w:ind w:firstLine="632" w:firstLineChars="300"/>
        <w:jc w:val="center"/>
        <w:rPr>
          <w:rFonts w:ascii="Arial Narrow" w:hAnsi="Arial Narrow"/>
          <w:sz w:val="21"/>
        </w:rPr>
      </w:pPr>
      <w:r>
        <w:rPr>
          <w:rFonts w:hint="eastAsia" w:ascii="宋体" w:hAnsi="宋体"/>
          <w:b/>
          <w:bCs/>
          <w:kern w:val="0"/>
          <w:sz w:val="21"/>
          <w:szCs w:val="21"/>
        </w:rPr>
        <w:t>凯弘会所咨[2024]</w:t>
      </w:r>
      <w:r>
        <w:rPr>
          <w:rFonts w:hint="eastAsia" w:ascii="宋体" w:hAnsi="宋体"/>
          <w:b/>
          <w:bCs/>
          <w:kern w:val="0"/>
          <w:sz w:val="21"/>
          <w:szCs w:val="21"/>
          <w:lang w:val="en-US" w:eastAsia="zh-CN"/>
        </w:rPr>
        <w:t>041</w:t>
      </w:r>
      <w:r>
        <w:rPr>
          <w:rFonts w:hint="eastAsia" w:ascii="宋体" w:hAnsi="宋体"/>
          <w:b/>
          <w:bCs/>
          <w:kern w:val="0"/>
          <w:sz w:val="21"/>
          <w:szCs w:val="21"/>
        </w:rPr>
        <w:t>号</w:t>
      </w:r>
    </w:p>
    <w:p>
      <w:pPr>
        <w:spacing w:line="240" w:lineRule="auto"/>
        <w:ind w:firstLine="0" w:firstLineChars="0"/>
        <w:rPr>
          <w:rFonts w:ascii="Arial Narrow" w:hAnsi="Arial Narrow"/>
          <w:sz w:val="21"/>
        </w:rPr>
      </w:pPr>
    </w:p>
    <w:p>
      <w:pPr>
        <w:spacing w:line="240" w:lineRule="auto"/>
        <w:ind w:firstLine="0" w:firstLineChars="0"/>
        <w:rPr>
          <w:rFonts w:ascii="Arial Narrow" w:hAnsi="Arial Narrow"/>
          <w:sz w:val="21"/>
        </w:rPr>
      </w:pPr>
    </w:p>
    <w:p>
      <w:pPr>
        <w:spacing w:line="240" w:lineRule="auto"/>
        <w:ind w:firstLine="0" w:firstLineChars="0"/>
        <w:rPr>
          <w:rFonts w:ascii="Arial Narrow" w:hAnsi="Arial Narrow"/>
          <w:sz w:val="21"/>
        </w:rPr>
      </w:pPr>
    </w:p>
    <w:p>
      <w:pPr>
        <w:spacing w:line="240" w:lineRule="auto"/>
        <w:ind w:firstLine="0" w:firstLineChars="0"/>
        <w:rPr>
          <w:rFonts w:ascii="Arial Narrow" w:hAnsi="Arial Narrow"/>
          <w:sz w:val="21"/>
        </w:rPr>
      </w:pPr>
    </w:p>
    <w:p>
      <w:pPr>
        <w:spacing w:line="240" w:lineRule="auto"/>
        <w:ind w:firstLine="0" w:firstLineChars="0"/>
        <w:rPr>
          <w:rFonts w:ascii="Arial Narrow" w:hAnsi="Arial Narrow"/>
          <w:sz w:val="21"/>
        </w:rPr>
      </w:pPr>
    </w:p>
    <w:p>
      <w:pPr>
        <w:spacing w:line="240" w:lineRule="auto"/>
        <w:ind w:firstLine="0" w:firstLineChars="0"/>
        <w:rPr>
          <w:rFonts w:ascii="Arial Narrow" w:hAnsi="Arial Narrow"/>
          <w:sz w:val="21"/>
        </w:rPr>
      </w:pPr>
    </w:p>
    <w:p>
      <w:pPr>
        <w:spacing w:line="240" w:lineRule="auto"/>
        <w:ind w:firstLine="0" w:firstLineChars="0"/>
        <w:rPr>
          <w:rFonts w:ascii="Arial Narrow" w:hAnsi="Arial Narrow"/>
          <w:sz w:val="21"/>
        </w:rPr>
      </w:pPr>
    </w:p>
    <w:p>
      <w:pPr>
        <w:spacing w:line="240" w:lineRule="auto"/>
        <w:ind w:firstLine="0" w:firstLineChars="0"/>
        <w:rPr>
          <w:rFonts w:ascii="Arial Narrow" w:hAnsi="Arial Narrow"/>
          <w:sz w:val="21"/>
        </w:rPr>
      </w:pPr>
    </w:p>
    <w:p>
      <w:pPr>
        <w:spacing w:line="240" w:lineRule="auto"/>
        <w:ind w:firstLine="0" w:firstLineChars="0"/>
        <w:rPr>
          <w:rFonts w:ascii="Arial Narrow" w:hAnsi="Arial Narrow"/>
          <w:sz w:val="21"/>
        </w:rPr>
      </w:pPr>
    </w:p>
    <w:p>
      <w:pPr>
        <w:spacing w:line="240" w:lineRule="auto"/>
        <w:ind w:firstLine="0" w:firstLineChars="0"/>
        <w:rPr>
          <w:rFonts w:ascii="Arial Narrow" w:hAnsi="Arial Narrow"/>
          <w:sz w:val="21"/>
        </w:rPr>
      </w:pPr>
    </w:p>
    <w:p>
      <w:pPr>
        <w:spacing w:line="240" w:lineRule="auto"/>
        <w:ind w:firstLine="0" w:firstLineChars="0"/>
        <w:rPr>
          <w:rFonts w:ascii="Arial Narrow" w:hAnsi="Arial Narrow"/>
          <w:sz w:val="21"/>
        </w:rPr>
      </w:pPr>
    </w:p>
    <w:p>
      <w:pPr>
        <w:spacing w:line="240" w:lineRule="auto"/>
        <w:ind w:firstLine="0" w:firstLineChars="0"/>
        <w:rPr>
          <w:rFonts w:ascii="Arial Narrow" w:hAnsi="Arial Narrow"/>
          <w:sz w:val="21"/>
        </w:rPr>
      </w:pPr>
    </w:p>
    <w:p>
      <w:pPr>
        <w:spacing w:line="240" w:lineRule="auto"/>
        <w:ind w:firstLine="0" w:firstLineChars="0"/>
        <w:rPr>
          <w:rFonts w:ascii="Arial Narrow" w:hAnsi="Arial Narrow"/>
          <w:sz w:val="21"/>
        </w:rPr>
      </w:pPr>
    </w:p>
    <w:p>
      <w:pPr>
        <w:spacing w:line="240" w:lineRule="auto"/>
        <w:ind w:firstLine="0" w:firstLineChars="0"/>
        <w:rPr>
          <w:rFonts w:ascii="Arial Narrow" w:hAnsi="Arial Narrow"/>
          <w:sz w:val="21"/>
        </w:rPr>
      </w:pPr>
    </w:p>
    <w:p>
      <w:pPr>
        <w:spacing w:line="240" w:lineRule="auto"/>
        <w:ind w:firstLine="0" w:firstLineChars="0"/>
        <w:rPr>
          <w:rFonts w:ascii="Arial Narrow" w:hAnsi="Arial Narrow"/>
          <w:sz w:val="21"/>
        </w:rPr>
      </w:pPr>
    </w:p>
    <w:p>
      <w:pPr>
        <w:spacing w:line="240" w:lineRule="auto"/>
        <w:ind w:firstLine="0" w:firstLineChars="0"/>
        <w:rPr>
          <w:rFonts w:ascii="Arial Narrow" w:hAnsi="Arial Narrow"/>
          <w:sz w:val="21"/>
        </w:rPr>
      </w:pPr>
    </w:p>
    <w:p>
      <w:pPr>
        <w:spacing w:line="240" w:lineRule="auto"/>
        <w:ind w:firstLine="0" w:firstLineChars="0"/>
        <w:rPr>
          <w:rFonts w:ascii="Arial Narrow" w:hAnsi="Arial Narrow"/>
          <w:sz w:val="21"/>
        </w:rPr>
      </w:pPr>
    </w:p>
    <w:p>
      <w:pPr>
        <w:spacing w:line="240" w:lineRule="auto"/>
        <w:ind w:firstLine="0" w:firstLineChars="0"/>
        <w:rPr>
          <w:rFonts w:ascii="Arial Narrow" w:hAnsi="Arial Narrow"/>
          <w:sz w:val="21"/>
        </w:rPr>
      </w:pPr>
    </w:p>
    <w:p>
      <w:pPr>
        <w:spacing w:line="240" w:lineRule="auto"/>
        <w:ind w:firstLine="0" w:firstLineChars="0"/>
        <w:rPr>
          <w:rFonts w:ascii="Arial Narrow" w:hAnsi="Arial Narrow"/>
          <w:sz w:val="21"/>
        </w:rPr>
      </w:pPr>
    </w:p>
    <w:p>
      <w:pPr>
        <w:spacing w:line="240" w:lineRule="auto"/>
        <w:ind w:firstLine="0" w:firstLineChars="0"/>
        <w:rPr>
          <w:rFonts w:ascii="Arial Narrow" w:hAnsi="Arial Narrow"/>
          <w:sz w:val="21"/>
        </w:rPr>
      </w:pPr>
    </w:p>
    <w:p>
      <w:pPr>
        <w:spacing w:line="240" w:lineRule="auto"/>
        <w:ind w:firstLine="0" w:firstLineChars="0"/>
        <w:rPr>
          <w:rFonts w:ascii="Arial Narrow" w:hAnsi="Arial Narrow"/>
          <w:sz w:val="21"/>
        </w:rPr>
      </w:pPr>
    </w:p>
    <w:p>
      <w:pPr>
        <w:spacing w:line="240" w:lineRule="auto"/>
        <w:ind w:firstLine="0" w:firstLineChars="0"/>
        <w:jc w:val="center"/>
        <w:rPr>
          <w:rFonts w:ascii="Arial Narrow" w:hAnsi="Arial Narrow"/>
          <w:sz w:val="21"/>
        </w:rPr>
      </w:pPr>
      <w:r>
        <w:rPr>
          <w:rFonts w:hint="eastAsia" w:ascii="Arial Narrow" w:hAnsi="宋体"/>
          <w:b/>
          <w:spacing w:val="40"/>
          <w:sz w:val="30"/>
          <w:szCs w:val="30"/>
        </w:rPr>
        <w:t>重庆凯弘会计师事务所有限公司</w:t>
      </w:r>
    </w:p>
    <w:p>
      <w:pPr>
        <w:spacing w:line="240" w:lineRule="auto"/>
        <w:ind w:firstLine="0" w:firstLineChars="0"/>
        <w:jc w:val="center"/>
        <w:rPr>
          <w:spacing w:val="-8"/>
          <w:sz w:val="24"/>
        </w:rPr>
      </w:pPr>
      <w:r>
        <w:rPr>
          <w:spacing w:val="-8"/>
          <w:sz w:val="24"/>
        </w:rPr>
        <w:t>CHONGQING KAIHONG CERTIFIED PUBLIC ACCOUNTANTS CO.,LTD.</w:t>
      </w:r>
    </w:p>
    <w:p>
      <w:pPr>
        <w:spacing w:line="240" w:lineRule="auto"/>
        <w:ind w:firstLine="0" w:firstLineChars="0"/>
        <w:rPr>
          <w:rFonts w:ascii="Arial Narrow" w:hAnsi="Arial Narrow"/>
          <w:sz w:val="21"/>
        </w:rPr>
      </w:pPr>
    </w:p>
    <w:p>
      <w:pPr>
        <w:spacing w:line="240" w:lineRule="auto"/>
        <w:ind w:firstLine="0" w:firstLineChars="0"/>
        <w:rPr>
          <w:rFonts w:ascii="Arial Narrow" w:hAnsi="Arial Narrow"/>
          <w:sz w:val="21"/>
        </w:rPr>
      </w:pPr>
    </w:p>
    <w:p>
      <w:pPr>
        <w:adjustRightInd w:val="0"/>
        <w:snapToGrid w:val="0"/>
        <w:spacing w:line="560" w:lineRule="exact"/>
        <w:ind w:firstLine="643"/>
        <w:rPr>
          <w:rFonts w:ascii="宋体" w:hAnsi="宋体"/>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pPr>
        <w:adjustRightInd w:val="0"/>
        <w:snapToGrid w:val="0"/>
        <w:spacing w:line="560" w:lineRule="exact"/>
        <w:ind w:firstLine="643"/>
        <w:rPr>
          <w:rFonts w:ascii="宋体" w:hAnsi="宋体"/>
          <w:b/>
          <w:sz w:val="32"/>
          <w:szCs w:val="32"/>
        </w:rPr>
      </w:pPr>
    </w:p>
    <w:p>
      <w:pPr>
        <w:spacing w:line="560" w:lineRule="exact"/>
        <w:ind w:left="560" w:firstLine="0" w:firstLineChars="0"/>
        <w:jc w:val="center"/>
        <w:rPr>
          <w:b/>
          <w:sz w:val="32"/>
          <w:szCs w:val="32"/>
        </w:rPr>
      </w:pPr>
      <w:r>
        <w:rPr>
          <w:rFonts w:hint="eastAsia"/>
          <w:b/>
          <w:sz w:val="32"/>
          <w:szCs w:val="32"/>
        </w:rPr>
        <w:t>重庆市铜梁区场镇基础设施功能</w:t>
      </w:r>
    </w:p>
    <w:p>
      <w:pPr>
        <w:spacing w:line="560" w:lineRule="exact"/>
        <w:ind w:left="560" w:firstLine="0" w:firstLineChars="0"/>
        <w:jc w:val="center"/>
        <w:rPr>
          <w:b/>
          <w:sz w:val="32"/>
          <w:szCs w:val="32"/>
        </w:rPr>
      </w:pPr>
      <w:r>
        <w:rPr>
          <w:rFonts w:hint="eastAsia"/>
          <w:b/>
          <w:sz w:val="32"/>
          <w:szCs w:val="32"/>
        </w:rPr>
        <w:t>补短板建设项目绩效评价报告</w:t>
      </w:r>
    </w:p>
    <w:p>
      <w:pPr>
        <w:adjustRightInd w:val="0"/>
        <w:snapToGrid w:val="0"/>
        <w:spacing w:line="560" w:lineRule="exact"/>
        <w:ind w:firstLine="643"/>
        <w:jc w:val="left"/>
        <w:rPr>
          <w:rFonts w:ascii="宋体" w:hAnsi="宋体"/>
          <w:b/>
          <w:sz w:val="32"/>
          <w:szCs w:val="32"/>
        </w:rPr>
      </w:pPr>
    </w:p>
    <w:tbl>
      <w:tblPr>
        <w:tblStyle w:val="18"/>
        <w:tblW w:w="8647" w:type="dxa"/>
        <w:jc w:val="center"/>
        <w:tblInd w:w="0" w:type="dxa"/>
        <w:tblLayout w:type="fixed"/>
        <w:tblCellMar>
          <w:top w:w="0" w:type="dxa"/>
          <w:left w:w="108" w:type="dxa"/>
          <w:bottom w:w="0" w:type="dxa"/>
          <w:right w:w="108" w:type="dxa"/>
        </w:tblCellMar>
      </w:tblPr>
      <w:tblGrid>
        <w:gridCol w:w="883"/>
        <w:gridCol w:w="5838"/>
        <w:gridCol w:w="372"/>
        <w:gridCol w:w="1554"/>
      </w:tblGrid>
      <w:tr>
        <w:tblPrEx>
          <w:tblLayout w:type="fixed"/>
        </w:tblPrEx>
        <w:trPr>
          <w:trHeight w:val="740" w:hRule="atLeast"/>
          <w:jc w:val="center"/>
        </w:trPr>
        <w:tc>
          <w:tcPr>
            <w:tcW w:w="883" w:type="dxa"/>
          </w:tcPr>
          <w:p>
            <w:pPr>
              <w:keepLines/>
              <w:tabs>
                <w:tab w:val="right" w:pos="8280"/>
              </w:tabs>
              <w:spacing w:line="560" w:lineRule="exact"/>
              <w:ind w:firstLine="560"/>
              <w:rPr>
                <w:rFonts w:ascii="宋体" w:hAnsi="宋体"/>
                <w:szCs w:val="28"/>
              </w:rPr>
            </w:pPr>
          </w:p>
        </w:tc>
        <w:tc>
          <w:tcPr>
            <w:tcW w:w="5838" w:type="dxa"/>
          </w:tcPr>
          <w:p>
            <w:pPr>
              <w:keepLines/>
              <w:tabs>
                <w:tab w:val="right" w:pos="8280"/>
              </w:tabs>
              <w:spacing w:line="560" w:lineRule="exact"/>
              <w:ind w:firstLine="562"/>
              <w:jc w:val="center"/>
              <w:rPr>
                <w:rFonts w:ascii="宋体" w:hAnsi="宋体"/>
                <w:b/>
                <w:szCs w:val="28"/>
              </w:rPr>
            </w:pPr>
            <w:r>
              <w:rPr>
                <w:rFonts w:ascii="宋体" w:hAnsi="宋体"/>
                <w:b/>
                <w:szCs w:val="28"/>
              </w:rPr>
              <w:t>目录</w:t>
            </w:r>
          </w:p>
          <w:p>
            <w:pPr>
              <w:keepLines/>
              <w:tabs>
                <w:tab w:val="right" w:pos="8280"/>
              </w:tabs>
              <w:spacing w:line="560" w:lineRule="exact"/>
              <w:ind w:firstLine="562"/>
              <w:jc w:val="center"/>
              <w:rPr>
                <w:rFonts w:ascii="宋体" w:hAnsi="宋体"/>
                <w:b/>
                <w:szCs w:val="28"/>
              </w:rPr>
            </w:pPr>
          </w:p>
        </w:tc>
        <w:tc>
          <w:tcPr>
            <w:tcW w:w="372" w:type="dxa"/>
          </w:tcPr>
          <w:p>
            <w:pPr>
              <w:keepLines/>
              <w:tabs>
                <w:tab w:val="right" w:pos="8280"/>
              </w:tabs>
              <w:spacing w:line="560" w:lineRule="exact"/>
              <w:ind w:firstLine="562"/>
              <w:jc w:val="right"/>
              <w:rPr>
                <w:rFonts w:ascii="宋体" w:hAnsi="宋体"/>
                <w:b/>
                <w:szCs w:val="28"/>
              </w:rPr>
            </w:pPr>
          </w:p>
        </w:tc>
        <w:tc>
          <w:tcPr>
            <w:tcW w:w="1554" w:type="dxa"/>
          </w:tcPr>
          <w:p>
            <w:pPr>
              <w:keepLines/>
              <w:tabs>
                <w:tab w:val="right" w:pos="8280"/>
              </w:tabs>
              <w:spacing w:line="560" w:lineRule="exact"/>
              <w:ind w:firstLine="562"/>
              <w:jc w:val="center"/>
              <w:rPr>
                <w:rFonts w:ascii="宋体" w:hAnsi="宋体"/>
                <w:b/>
                <w:szCs w:val="28"/>
              </w:rPr>
            </w:pPr>
            <w:r>
              <w:rPr>
                <w:rFonts w:ascii="宋体" w:hAnsi="宋体"/>
                <w:b/>
                <w:szCs w:val="28"/>
              </w:rPr>
              <w:t>页次</w:t>
            </w:r>
          </w:p>
        </w:tc>
      </w:tr>
      <w:tr>
        <w:tblPrEx>
          <w:tblLayout w:type="fixed"/>
          <w:tblCellMar>
            <w:top w:w="0" w:type="dxa"/>
            <w:left w:w="108" w:type="dxa"/>
            <w:bottom w:w="0" w:type="dxa"/>
            <w:right w:w="108" w:type="dxa"/>
          </w:tblCellMar>
        </w:tblPrEx>
        <w:trPr>
          <w:trHeight w:val="615" w:hRule="atLeast"/>
          <w:jc w:val="center"/>
        </w:trPr>
        <w:tc>
          <w:tcPr>
            <w:tcW w:w="883" w:type="dxa"/>
          </w:tcPr>
          <w:p>
            <w:pPr>
              <w:keepLines/>
              <w:tabs>
                <w:tab w:val="right" w:pos="8280"/>
              </w:tabs>
              <w:spacing w:line="560" w:lineRule="exact"/>
              <w:ind w:firstLine="0" w:firstLineChars="0"/>
              <w:rPr>
                <w:rFonts w:ascii="宋体" w:hAnsi="宋体"/>
                <w:b/>
                <w:szCs w:val="28"/>
              </w:rPr>
            </w:pPr>
            <w:r>
              <w:rPr>
                <w:rFonts w:ascii="宋体" w:hAnsi="宋体"/>
                <w:b/>
                <w:szCs w:val="28"/>
              </w:rPr>
              <w:t>一、</w:t>
            </w:r>
          </w:p>
        </w:tc>
        <w:tc>
          <w:tcPr>
            <w:tcW w:w="5838" w:type="dxa"/>
          </w:tcPr>
          <w:p>
            <w:pPr>
              <w:keepLines/>
              <w:tabs>
                <w:tab w:val="right" w:pos="8280"/>
              </w:tabs>
              <w:spacing w:line="560" w:lineRule="exact"/>
              <w:ind w:firstLine="0" w:firstLineChars="0"/>
              <w:rPr>
                <w:rFonts w:ascii="宋体" w:hAnsi="宋体"/>
                <w:b/>
                <w:szCs w:val="28"/>
              </w:rPr>
            </w:pPr>
            <w:r>
              <w:rPr>
                <w:rFonts w:hint="eastAsia" w:ascii="宋体" w:hAnsi="宋体"/>
                <w:b/>
                <w:szCs w:val="28"/>
              </w:rPr>
              <w:t>报告正文</w:t>
            </w:r>
          </w:p>
        </w:tc>
        <w:tc>
          <w:tcPr>
            <w:tcW w:w="372" w:type="dxa"/>
          </w:tcPr>
          <w:p>
            <w:pPr>
              <w:keepLines/>
              <w:tabs>
                <w:tab w:val="right" w:pos="8280"/>
              </w:tabs>
              <w:spacing w:line="560" w:lineRule="exact"/>
              <w:ind w:firstLine="562"/>
              <w:jc w:val="right"/>
              <w:rPr>
                <w:rFonts w:ascii="宋体" w:hAnsi="宋体"/>
                <w:b/>
                <w:szCs w:val="28"/>
              </w:rPr>
            </w:pPr>
          </w:p>
        </w:tc>
        <w:tc>
          <w:tcPr>
            <w:tcW w:w="1554" w:type="dxa"/>
          </w:tcPr>
          <w:p>
            <w:pPr>
              <w:keepLines/>
              <w:tabs>
                <w:tab w:val="right" w:pos="8280"/>
              </w:tabs>
              <w:spacing w:line="560" w:lineRule="exact"/>
              <w:ind w:firstLine="560"/>
              <w:jc w:val="center"/>
              <w:rPr>
                <w:rFonts w:ascii="宋体" w:hAnsi="宋体"/>
                <w:szCs w:val="28"/>
              </w:rPr>
            </w:pPr>
            <w:r>
              <w:rPr>
                <w:rFonts w:ascii="宋体" w:hAnsi="宋体"/>
                <w:szCs w:val="28"/>
                <w:highlight w:val="none"/>
              </w:rPr>
              <w:t>1-</w:t>
            </w:r>
            <w:r>
              <w:rPr>
                <w:rFonts w:hint="eastAsia" w:ascii="宋体" w:hAnsi="宋体"/>
                <w:szCs w:val="28"/>
                <w:highlight w:val="none"/>
              </w:rPr>
              <w:t>29</w:t>
            </w:r>
          </w:p>
        </w:tc>
      </w:tr>
      <w:tr>
        <w:tblPrEx>
          <w:tblLayout w:type="fixed"/>
          <w:tblCellMar>
            <w:top w:w="0" w:type="dxa"/>
            <w:left w:w="108" w:type="dxa"/>
            <w:bottom w:w="0" w:type="dxa"/>
            <w:right w:w="108" w:type="dxa"/>
          </w:tblCellMar>
        </w:tblPrEx>
        <w:trPr>
          <w:trHeight w:val="623" w:hRule="atLeast"/>
          <w:jc w:val="center"/>
        </w:trPr>
        <w:tc>
          <w:tcPr>
            <w:tcW w:w="883" w:type="dxa"/>
          </w:tcPr>
          <w:p>
            <w:pPr>
              <w:keepLines/>
              <w:tabs>
                <w:tab w:val="right" w:pos="8280"/>
              </w:tabs>
              <w:spacing w:line="560" w:lineRule="exact"/>
              <w:ind w:firstLine="0" w:firstLineChars="0"/>
              <w:rPr>
                <w:rFonts w:ascii="宋体" w:hAnsi="宋体"/>
                <w:b/>
                <w:szCs w:val="28"/>
              </w:rPr>
            </w:pPr>
            <w:r>
              <w:rPr>
                <w:rFonts w:hint="eastAsia" w:ascii="宋体" w:hAnsi="宋体"/>
                <w:b/>
                <w:szCs w:val="28"/>
              </w:rPr>
              <w:t>二、</w:t>
            </w:r>
          </w:p>
        </w:tc>
        <w:tc>
          <w:tcPr>
            <w:tcW w:w="5838" w:type="dxa"/>
          </w:tcPr>
          <w:p>
            <w:pPr>
              <w:keepLines/>
              <w:tabs>
                <w:tab w:val="right" w:pos="8280"/>
              </w:tabs>
              <w:spacing w:line="560" w:lineRule="exact"/>
              <w:ind w:firstLine="0" w:firstLineChars="0"/>
              <w:rPr>
                <w:rFonts w:ascii="宋体" w:hAnsi="宋体"/>
                <w:b/>
                <w:szCs w:val="28"/>
              </w:rPr>
            </w:pPr>
            <w:r>
              <w:rPr>
                <w:rFonts w:hint="eastAsia" w:ascii="宋体" w:hAnsi="宋体"/>
                <w:b/>
                <w:szCs w:val="28"/>
              </w:rPr>
              <w:t>报告附件</w:t>
            </w:r>
          </w:p>
        </w:tc>
        <w:tc>
          <w:tcPr>
            <w:tcW w:w="372" w:type="dxa"/>
          </w:tcPr>
          <w:p>
            <w:pPr>
              <w:keepLines/>
              <w:tabs>
                <w:tab w:val="right" w:pos="8280"/>
              </w:tabs>
              <w:spacing w:line="560" w:lineRule="exact"/>
              <w:ind w:firstLine="562"/>
              <w:jc w:val="right"/>
              <w:rPr>
                <w:rFonts w:ascii="宋体" w:hAnsi="宋体"/>
                <w:b/>
                <w:szCs w:val="28"/>
              </w:rPr>
            </w:pPr>
          </w:p>
        </w:tc>
        <w:tc>
          <w:tcPr>
            <w:tcW w:w="1554" w:type="dxa"/>
          </w:tcPr>
          <w:p>
            <w:pPr>
              <w:keepLines/>
              <w:tabs>
                <w:tab w:val="right" w:pos="8280"/>
              </w:tabs>
              <w:spacing w:line="560" w:lineRule="exact"/>
              <w:ind w:firstLine="0" w:firstLineChars="0"/>
              <w:rPr>
                <w:rFonts w:ascii="宋体" w:hAnsi="宋体"/>
                <w:b/>
                <w:szCs w:val="28"/>
              </w:rPr>
            </w:pPr>
          </w:p>
        </w:tc>
      </w:tr>
      <w:tr>
        <w:tblPrEx>
          <w:tblLayout w:type="fixed"/>
          <w:tblCellMar>
            <w:top w:w="0" w:type="dxa"/>
            <w:left w:w="108" w:type="dxa"/>
            <w:bottom w:w="0" w:type="dxa"/>
            <w:right w:w="108" w:type="dxa"/>
          </w:tblCellMar>
        </w:tblPrEx>
        <w:trPr>
          <w:jc w:val="center"/>
        </w:trPr>
        <w:tc>
          <w:tcPr>
            <w:tcW w:w="883" w:type="dxa"/>
            <w:vAlign w:val="center"/>
          </w:tcPr>
          <w:p>
            <w:pPr>
              <w:keepLines/>
              <w:tabs>
                <w:tab w:val="right" w:pos="8280"/>
              </w:tabs>
              <w:spacing w:line="560" w:lineRule="exact"/>
              <w:ind w:firstLine="0" w:firstLineChars="0"/>
              <w:jc w:val="center"/>
              <w:rPr>
                <w:rFonts w:ascii="宋体" w:hAnsi="宋体"/>
                <w:b/>
                <w:szCs w:val="28"/>
              </w:rPr>
            </w:pPr>
            <w:r>
              <w:rPr>
                <w:rFonts w:hint="eastAsia" w:ascii="宋体" w:hAnsi="宋体"/>
                <w:b/>
                <w:szCs w:val="28"/>
              </w:rPr>
              <w:t>1</w:t>
            </w:r>
          </w:p>
          <w:p>
            <w:pPr>
              <w:keepLines/>
              <w:tabs>
                <w:tab w:val="right" w:pos="8280"/>
              </w:tabs>
              <w:spacing w:line="560" w:lineRule="exact"/>
              <w:ind w:firstLine="0" w:firstLineChars="0"/>
              <w:jc w:val="center"/>
              <w:rPr>
                <w:rFonts w:ascii="宋体" w:hAnsi="宋体"/>
                <w:b/>
                <w:szCs w:val="28"/>
              </w:rPr>
            </w:pPr>
          </w:p>
          <w:p>
            <w:pPr>
              <w:keepLines/>
              <w:tabs>
                <w:tab w:val="right" w:pos="8280"/>
              </w:tabs>
              <w:spacing w:line="560" w:lineRule="exact"/>
              <w:ind w:firstLine="0" w:firstLineChars="0"/>
              <w:jc w:val="center"/>
              <w:rPr>
                <w:rFonts w:ascii="宋体" w:hAnsi="宋体"/>
                <w:b/>
                <w:szCs w:val="28"/>
              </w:rPr>
            </w:pPr>
            <w:r>
              <w:rPr>
                <w:rFonts w:hint="eastAsia" w:ascii="宋体" w:hAnsi="宋体"/>
                <w:b/>
                <w:szCs w:val="28"/>
              </w:rPr>
              <w:t>2</w:t>
            </w:r>
          </w:p>
          <w:p>
            <w:pPr>
              <w:keepLines/>
              <w:tabs>
                <w:tab w:val="right" w:pos="8280"/>
              </w:tabs>
              <w:spacing w:line="560" w:lineRule="exact"/>
              <w:ind w:firstLine="0" w:firstLineChars="0"/>
              <w:jc w:val="left"/>
              <w:rPr>
                <w:rFonts w:ascii="宋体" w:hAnsi="宋体"/>
                <w:b/>
                <w:szCs w:val="28"/>
              </w:rPr>
            </w:pPr>
          </w:p>
          <w:p>
            <w:pPr>
              <w:keepLines/>
              <w:tabs>
                <w:tab w:val="right" w:pos="8280"/>
              </w:tabs>
              <w:spacing w:line="560" w:lineRule="exact"/>
              <w:ind w:firstLine="0" w:firstLineChars="0"/>
              <w:jc w:val="left"/>
              <w:rPr>
                <w:rFonts w:ascii="宋体" w:hAnsi="宋体"/>
                <w:b/>
                <w:szCs w:val="28"/>
              </w:rPr>
            </w:pPr>
          </w:p>
        </w:tc>
        <w:tc>
          <w:tcPr>
            <w:tcW w:w="5838" w:type="dxa"/>
          </w:tcPr>
          <w:p>
            <w:pPr>
              <w:ind w:firstLine="0" w:firstLineChars="0"/>
              <w:rPr>
                <w:rFonts w:ascii="宋体" w:hAnsi="宋体"/>
                <w:b/>
                <w:bCs/>
                <w:szCs w:val="28"/>
              </w:rPr>
            </w:pPr>
            <w:r>
              <w:rPr>
                <w:rFonts w:hint="eastAsia" w:ascii="宋体" w:hAnsi="宋体"/>
                <w:b/>
                <w:bCs/>
                <w:szCs w:val="28"/>
              </w:rPr>
              <w:t>重庆市铜梁区场镇基础设施功能补短板建设项目绩效评价指标表</w:t>
            </w:r>
          </w:p>
          <w:p>
            <w:pPr>
              <w:ind w:firstLine="0" w:firstLineChars="0"/>
              <w:rPr>
                <w:rFonts w:ascii="宋体" w:hAnsi="宋体"/>
                <w:b/>
                <w:bCs/>
                <w:szCs w:val="28"/>
              </w:rPr>
            </w:pPr>
            <w:r>
              <w:rPr>
                <w:rFonts w:hint="eastAsia" w:ascii="宋体" w:hAnsi="宋体"/>
                <w:b/>
                <w:bCs/>
                <w:szCs w:val="28"/>
              </w:rPr>
              <w:t>重庆市铜梁区场镇基础设施功能补短板建设项目绩效评价得分明细表</w:t>
            </w:r>
          </w:p>
        </w:tc>
        <w:tc>
          <w:tcPr>
            <w:tcW w:w="372" w:type="dxa"/>
          </w:tcPr>
          <w:p>
            <w:pPr>
              <w:keepLines/>
              <w:tabs>
                <w:tab w:val="right" w:pos="8280"/>
              </w:tabs>
              <w:spacing w:line="560" w:lineRule="exact"/>
              <w:ind w:firstLine="562"/>
              <w:jc w:val="right"/>
              <w:rPr>
                <w:rFonts w:ascii="宋体" w:hAnsi="宋体"/>
                <w:b/>
                <w:szCs w:val="28"/>
              </w:rPr>
            </w:pPr>
          </w:p>
        </w:tc>
        <w:tc>
          <w:tcPr>
            <w:tcW w:w="1554" w:type="dxa"/>
          </w:tcPr>
          <w:p>
            <w:pPr>
              <w:keepLines/>
              <w:tabs>
                <w:tab w:val="right" w:pos="8280"/>
              </w:tabs>
              <w:spacing w:line="560" w:lineRule="exact"/>
              <w:ind w:firstLine="480"/>
              <w:jc w:val="center"/>
              <w:rPr>
                <w:rFonts w:ascii="宋体" w:hAnsi="宋体"/>
                <w:sz w:val="24"/>
                <w:szCs w:val="24"/>
              </w:rPr>
            </w:pPr>
          </w:p>
        </w:tc>
      </w:tr>
    </w:tbl>
    <w:p>
      <w:pPr>
        <w:tabs>
          <w:tab w:val="center" w:pos="4514"/>
        </w:tabs>
        <w:ind w:firstLine="720"/>
        <w:rPr>
          <w:rFonts w:ascii="宋体" w:hAnsi="宋体"/>
          <w:sz w:val="36"/>
          <w:szCs w:val="32"/>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r>
        <w:rPr>
          <w:rFonts w:ascii="宋体" w:hAnsi="宋体"/>
          <w:sz w:val="36"/>
          <w:szCs w:val="32"/>
        </w:rPr>
        <w:tab/>
      </w:r>
    </w:p>
    <w:p>
      <w:pPr>
        <w:spacing w:line="560" w:lineRule="exact"/>
        <w:ind w:left="560" w:firstLine="0" w:firstLineChars="0"/>
        <w:jc w:val="center"/>
        <w:rPr>
          <w:b/>
          <w:sz w:val="32"/>
          <w:szCs w:val="32"/>
        </w:rPr>
      </w:pPr>
      <w:r>
        <w:rPr>
          <w:rFonts w:hint="eastAsia"/>
          <w:b/>
          <w:sz w:val="32"/>
          <w:szCs w:val="32"/>
        </w:rPr>
        <w:t>重庆市铜梁区</w:t>
      </w:r>
      <w:bookmarkStart w:id="1" w:name="_Hlk170389425"/>
      <w:r>
        <w:rPr>
          <w:rFonts w:hint="eastAsia"/>
          <w:b/>
          <w:sz w:val="32"/>
          <w:szCs w:val="32"/>
        </w:rPr>
        <w:t>场镇基础设施功能</w:t>
      </w:r>
    </w:p>
    <w:p>
      <w:pPr>
        <w:spacing w:line="560" w:lineRule="exact"/>
        <w:ind w:left="560" w:firstLine="0" w:firstLineChars="0"/>
        <w:jc w:val="center"/>
        <w:rPr>
          <w:b/>
          <w:sz w:val="32"/>
          <w:szCs w:val="32"/>
        </w:rPr>
      </w:pPr>
      <w:r>
        <w:rPr>
          <w:rFonts w:hint="eastAsia"/>
          <w:b/>
          <w:sz w:val="32"/>
          <w:szCs w:val="32"/>
        </w:rPr>
        <w:t>补短板建设项目</w:t>
      </w:r>
      <w:bookmarkEnd w:id="1"/>
      <w:r>
        <w:rPr>
          <w:rFonts w:hint="eastAsia"/>
          <w:b/>
          <w:sz w:val="32"/>
          <w:szCs w:val="32"/>
        </w:rPr>
        <w:t>绩效评价报告</w:t>
      </w:r>
    </w:p>
    <w:p>
      <w:pPr>
        <w:autoSpaceDE w:val="0"/>
        <w:autoSpaceDN w:val="0"/>
        <w:adjustRightInd w:val="0"/>
        <w:snapToGrid w:val="0"/>
        <w:spacing w:line="560" w:lineRule="exact"/>
        <w:ind w:firstLine="422"/>
        <w:jc w:val="center"/>
        <w:rPr>
          <w:rFonts w:ascii="宋体" w:hAnsi="宋体"/>
          <w:b/>
          <w:kern w:val="0"/>
          <w:sz w:val="21"/>
          <w:szCs w:val="21"/>
        </w:rPr>
      </w:pPr>
      <w:r>
        <w:rPr>
          <w:rFonts w:hint="eastAsia" w:ascii="宋体" w:hAnsi="宋体"/>
          <w:b/>
          <w:kern w:val="0"/>
          <w:sz w:val="21"/>
          <w:szCs w:val="21"/>
        </w:rPr>
        <w:t>凯弘会所咨[2024]</w:t>
      </w:r>
      <w:r>
        <w:rPr>
          <w:rFonts w:hint="eastAsia" w:ascii="宋体" w:hAnsi="宋体"/>
          <w:b/>
          <w:kern w:val="0"/>
          <w:sz w:val="21"/>
          <w:szCs w:val="21"/>
          <w:lang w:val="en-US" w:eastAsia="zh-CN"/>
        </w:rPr>
        <w:t>041</w:t>
      </w:r>
      <w:r>
        <w:rPr>
          <w:rFonts w:hint="eastAsia" w:ascii="宋体" w:hAnsi="宋体"/>
          <w:b/>
          <w:kern w:val="0"/>
          <w:sz w:val="21"/>
          <w:szCs w:val="21"/>
        </w:rPr>
        <w:t>号</w:t>
      </w:r>
    </w:p>
    <w:p>
      <w:pPr>
        <w:spacing w:line="560" w:lineRule="exact"/>
        <w:ind w:firstLine="560"/>
        <w:jc w:val="left"/>
        <w:rPr>
          <w:rFonts w:ascii="宋体" w:hAnsi="宋体" w:cs="仿宋"/>
          <w:szCs w:val="28"/>
        </w:rPr>
      </w:pPr>
    </w:p>
    <w:p>
      <w:pPr>
        <w:spacing w:line="560" w:lineRule="exact"/>
        <w:ind w:firstLine="560"/>
        <w:jc w:val="left"/>
        <w:rPr>
          <w:rFonts w:ascii="宋体" w:hAnsi="宋体" w:cs="仿宋"/>
          <w:szCs w:val="28"/>
        </w:rPr>
        <w:sectPr>
          <w:headerReference r:id="rId9" w:type="default"/>
          <w:footerReference r:id="rId10" w:type="default"/>
          <w:pgSz w:w="11906" w:h="16838"/>
          <w:pgMar w:top="1440" w:right="1800" w:bottom="1440" w:left="1800" w:header="851" w:footer="992" w:gutter="0"/>
          <w:pgBorders>
            <w:top w:val="none" w:sz="0" w:space="0"/>
            <w:left w:val="none" w:sz="0" w:space="0"/>
            <w:bottom w:val="none" w:sz="0" w:space="0"/>
            <w:right w:val="none" w:sz="0" w:space="0"/>
          </w:pgBorders>
          <w:pgNumType w:start="1"/>
          <w:cols w:space="425" w:num="1"/>
          <w:docGrid w:type="lines" w:linePitch="312" w:charSpace="0"/>
        </w:sectPr>
      </w:pPr>
    </w:p>
    <w:p>
      <w:pPr>
        <w:spacing w:line="560" w:lineRule="exact"/>
        <w:ind w:firstLine="560"/>
        <w:rPr>
          <w:rFonts w:ascii="宋体" w:hAnsi="宋体"/>
          <w:szCs w:val="28"/>
        </w:rPr>
      </w:pPr>
      <w:r>
        <w:rPr>
          <w:rFonts w:hint="eastAsia" w:ascii="宋体" w:hAnsi="宋体"/>
          <w:szCs w:val="28"/>
        </w:rPr>
        <w:t>我们接受重庆市铜梁区财政局委托，于2024年6月3日至2024年6月28日对重庆市铜梁区场镇基础设施功能补短板建设项目进行了绩效评价。现将评价工作报告如下：</w:t>
      </w:r>
    </w:p>
    <w:p>
      <w:pPr>
        <w:spacing w:line="560" w:lineRule="exact"/>
        <w:ind w:firstLine="562"/>
        <w:jc w:val="center"/>
        <w:rPr>
          <w:rFonts w:ascii="宋体" w:hAnsi="宋体"/>
          <w:b/>
          <w:bCs/>
          <w:szCs w:val="28"/>
        </w:rPr>
      </w:pPr>
      <w:r>
        <w:rPr>
          <w:rFonts w:hint="eastAsia" w:ascii="宋体" w:hAnsi="宋体"/>
          <w:b/>
          <w:bCs/>
          <w:szCs w:val="28"/>
        </w:rPr>
        <w:t>摘要</w:t>
      </w:r>
    </w:p>
    <w:p>
      <w:pPr>
        <w:pStyle w:val="25"/>
        <w:snapToGrid w:val="0"/>
        <w:spacing w:line="560" w:lineRule="exact"/>
        <w:ind w:left="562" w:firstLine="0" w:firstLineChars="0"/>
        <w:outlineLvl w:val="0"/>
        <w:rPr>
          <w:rFonts w:ascii="宋体" w:hAnsi="宋体"/>
          <w:b/>
          <w:szCs w:val="28"/>
        </w:rPr>
      </w:pPr>
      <w:r>
        <w:rPr>
          <w:rFonts w:ascii="宋体" w:hAnsi="宋体"/>
          <w:b/>
          <w:szCs w:val="28"/>
        </w:rPr>
        <w:t>一、基本情况</w:t>
      </w:r>
    </w:p>
    <w:p>
      <w:pPr>
        <w:snapToGrid w:val="0"/>
        <w:spacing w:line="560" w:lineRule="atLeast"/>
        <w:ind w:firstLine="560"/>
        <w:rPr>
          <w:rFonts w:ascii="宋体" w:hAnsi="宋体"/>
          <w:szCs w:val="28"/>
        </w:rPr>
      </w:pPr>
      <w:r>
        <w:rPr>
          <w:rFonts w:hint="eastAsia" w:ascii="宋体" w:hAnsi="宋体"/>
          <w:szCs w:val="28"/>
        </w:rPr>
        <w:t>为深入贯彻党中央决策部署和市委工作要求，落实以人民为中心的发展思想,全面加强场镇建设,高质量推动场镇改造提升，努力培育一批环境美、生活美、产业美、人文美、治理美的高品质小城镇，根据中共中央办公厅、国务院办公厅印发的《关于推动城乡建设绿色发展的意见》精神，铜梁区人民政府办公室印发了《铜梁区城镇基础设施功能补短板三年行动实施方案（2022-2024年）》。实施方案旨在推进场镇聚集人口、聚集产业、聚集公共服务，深度挖掘场镇文化价值和文化内涵，增强场镇吸附能力，建设一批有产业支撑、文化传承、配套完善的宜居小城镇，不断增强镇街的价值感、干部的成就感、群众的获得感。铜梁区各镇街按照实施方案的要求开展本项目的建设。</w:t>
      </w:r>
    </w:p>
    <w:p>
      <w:pPr>
        <w:snapToGrid w:val="0"/>
        <w:spacing w:line="560" w:lineRule="atLeast"/>
        <w:ind w:firstLine="560"/>
        <w:rPr>
          <w:rFonts w:ascii="宋体" w:hAnsi="宋体"/>
          <w:szCs w:val="28"/>
        </w:rPr>
      </w:pPr>
      <w:r>
        <w:rPr>
          <w:rFonts w:hint="eastAsia" w:ascii="宋体" w:hAnsi="宋体"/>
          <w:szCs w:val="28"/>
        </w:rPr>
        <w:t>根据重庆市铜梁区人民政府办公室《关于调整2022年场镇基础设施功能补短板建设项目及资金计划的通知》和《关于下达2023年场镇基础设施功能补短板建设项目及资金计划的通知》，结合铜梁区发改委的项目调整及项目暂缓情况，纳入本次绩效评价范围的场镇基础设施功能补短板建设项目共119个，涉及镇街25个。</w:t>
      </w:r>
    </w:p>
    <w:p>
      <w:pPr>
        <w:snapToGrid w:val="0"/>
        <w:spacing w:line="560" w:lineRule="atLeast"/>
        <w:ind w:firstLine="560"/>
        <w:rPr>
          <w:rFonts w:ascii="宋体" w:hAnsi="宋体"/>
          <w:szCs w:val="28"/>
        </w:rPr>
      </w:pPr>
      <w:r>
        <w:rPr>
          <w:rFonts w:hint="eastAsia" w:ascii="宋体" w:hAnsi="宋体"/>
          <w:szCs w:val="28"/>
        </w:rPr>
        <w:t>本次对重庆市铜梁区场镇基础设施功能补短板建设项目实施效果进行客观、公正的评价，通过绩效评价，找出实施过程中存在的问题，总结经验做法与教训。</w:t>
      </w:r>
    </w:p>
    <w:p>
      <w:pPr>
        <w:pStyle w:val="25"/>
        <w:snapToGrid w:val="0"/>
        <w:spacing w:line="560" w:lineRule="exact"/>
        <w:ind w:left="562" w:firstLine="0" w:firstLineChars="0"/>
        <w:outlineLvl w:val="0"/>
        <w:rPr>
          <w:rFonts w:ascii="宋体" w:hAnsi="宋体"/>
          <w:b/>
          <w:szCs w:val="28"/>
        </w:rPr>
      </w:pPr>
      <w:r>
        <w:rPr>
          <w:rFonts w:hint="eastAsia" w:ascii="宋体" w:hAnsi="宋体"/>
          <w:b/>
          <w:szCs w:val="28"/>
        </w:rPr>
        <w:t>二、绩效评价结果</w:t>
      </w:r>
    </w:p>
    <w:p>
      <w:pPr>
        <w:snapToGrid w:val="0"/>
        <w:spacing w:line="560" w:lineRule="atLeast"/>
        <w:ind w:firstLine="560"/>
        <w:rPr>
          <w:rFonts w:ascii="宋体" w:hAnsi="宋体"/>
          <w:szCs w:val="28"/>
        </w:rPr>
      </w:pPr>
      <w:r>
        <w:rPr>
          <w:rFonts w:hint="eastAsia" w:ascii="宋体" w:hAnsi="宋体"/>
          <w:szCs w:val="28"/>
        </w:rPr>
        <w:t>经对重庆市铜梁区场镇基础设施功能补短板建设项目投入类、管理类、产出类、效益类四个方面进行综合评价，重庆市铜梁区场镇基础设施功能补短板建设项目绩效评价得分87.38分,评定等级为“良”。</w:t>
      </w:r>
    </w:p>
    <w:p>
      <w:pPr>
        <w:pStyle w:val="25"/>
        <w:snapToGrid w:val="0"/>
        <w:spacing w:line="560" w:lineRule="exact"/>
        <w:ind w:left="562" w:firstLine="0" w:firstLineChars="0"/>
        <w:outlineLvl w:val="0"/>
        <w:rPr>
          <w:rFonts w:ascii="宋体" w:hAnsi="宋体"/>
          <w:b/>
          <w:szCs w:val="28"/>
        </w:rPr>
      </w:pPr>
      <w:r>
        <w:rPr>
          <w:rFonts w:hint="eastAsia" w:ascii="宋体" w:hAnsi="宋体"/>
          <w:b/>
          <w:szCs w:val="28"/>
        </w:rPr>
        <w:t>三、发现的主要问题及建议</w:t>
      </w:r>
    </w:p>
    <w:p>
      <w:pPr>
        <w:spacing w:line="240" w:lineRule="auto"/>
        <w:ind w:firstLine="560" w:firstLineChars="0"/>
        <w:rPr>
          <w:rFonts w:ascii="宋体" w:hAnsi="宋体"/>
          <w:szCs w:val="28"/>
        </w:rPr>
      </w:pPr>
      <w:r>
        <w:rPr>
          <w:rFonts w:hint="eastAsia" w:ascii="宋体" w:hAnsi="宋体"/>
          <w:szCs w:val="28"/>
        </w:rPr>
        <w:t>1、</w:t>
      </w:r>
      <w:bookmarkStart w:id="2" w:name="_Hlk170915505"/>
      <w:r>
        <w:rPr>
          <w:rFonts w:hint="eastAsia" w:ascii="宋体" w:hAnsi="宋体"/>
          <w:szCs w:val="28"/>
        </w:rPr>
        <w:t>绩效指标设置不全面，个别指标不可衡量</w:t>
      </w:r>
      <w:bookmarkEnd w:id="2"/>
      <w:r>
        <w:rPr>
          <w:rFonts w:hint="eastAsia" w:ascii="宋体" w:hAnsi="宋体"/>
          <w:szCs w:val="28"/>
        </w:rPr>
        <w:t>。区住房城乡建委提供的铜梁区场镇基础设施功能补短板建设项目《绩效自评表》中产出指标设置不全面，仅有2个数量类指标，无时效、质量、成本指标。效果指标中“补齐场镇功能短板，提升场镇整体形象”指标不可衡量。</w:t>
      </w:r>
    </w:p>
    <w:p>
      <w:pPr>
        <w:spacing w:line="240" w:lineRule="auto"/>
        <w:ind w:firstLine="560" w:firstLineChars="0"/>
        <w:rPr>
          <w:rFonts w:ascii="宋体" w:hAnsi="宋体"/>
          <w:szCs w:val="28"/>
        </w:rPr>
      </w:pPr>
      <w:r>
        <w:rPr>
          <w:rFonts w:hint="eastAsia" w:ascii="宋体" w:hAnsi="宋体"/>
          <w:szCs w:val="28"/>
        </w:rPr>
        <w:t>建议按照《铜梁区区级政策和项目预算绩效管理办法》的要求，设置反映项目产出和效果的绩效指标。其中:产出指标包括数量、质量、时效、成本等四类，应至少设置两类;效果指标包括经济效益、社会效益、生态效益、可持续影响、服务对象满意度等五类，应至少设置两类。设置的指标第三方可衡量。</w:t>
      </w:r>
    </w:p>
    <w:p>
      <w:pPr>
        <w:spacing w:line="240" w:lineRule="auto"/>
        <w:ind w:firstLine="560" w:firstLineChars="0"/>
        <w:rPr>
          <w:rFonts w:ascii="宋体" w:hAnsi="宋体"/>
          <w:szCs w:val="28"/>
        </w:rPr>
      </w:pPr>
      <w:r>
        <w:rPr>
          <w:rFonts w:hint="eastAsia" w:ascii="宋体" w:hAnsi="宋体"/>
          <w:szCs w:val="28"/>
        </w:rPr>
        <w:t>2、项目立项程序不规范。部分项目未事前编制项目评估资料，如项目建议书。部分项目未取得立项批复、概算批复或预算评审报告，也无事前上会的集体决策。涉及项目35个，其中南城街道1个、旧县街道8个、白羊镇1个、太平镇2个、巴川街道2个、少云镇4个、永嘉镇7个、西河镇9个、庆隆镇1个。</w:t>
      </w:r>
    </w:p>
    <w:p>
      <w:pPr>
        <w:spacing w:line="240" w:lineRule="auto"/>
        <w:ind w:firstLine="560" w:firstLineChars="0"/>
        <w:rPr>
          <w:rFonts w:ascii="宋体" w:hAnsi="宋体"/>
          <w:szCs w:val="28"/>
        </w:rPr>
      </w:pPr>
      <w:r>
        <w:rPr>
          <w:rFonts w:hint="eastAsia" w:ascii="宋体" w:hAnsi="宋体"/>
          <w:szCs w:val="28"/>
        </w:rPr>
        <w:t>建议规范项目立项程序。项目设立前编制项目建议书，为立项决策提供充分的依据，同时按相关规定提交立项材料，取得立项审批。</w:t>
      </w:r>
    </w:p>
    <w:p>
      <w:pPr>
        <w:spacing w:line="240" w:lineRule="auto"/>
        <w:ind w:firstLine="560" w:firstLineChars="0"/>
        <w:rPr>
          <w:rFonts w:ascii="宋体" w:hAnsi="宋体"/>
          <w:szCs w:val="28"/>
        </w:rPr>
      </w:pPr>
      <w:r>
        <w:rPr>
          <w:rFonts w:hint="eastAsia" w:ascii="宋体" w:hAnsi="宋体"/>
          <w:szCs w:val="28"/>
        </w:rPr>
        <w:t>3、业务制度不健全。5个镇街未按自身实际情况细化并制定相关业务管理制度，分别为：围龙镇、石鱼镇、永嘉镇、维新镇、安溪镇。</w:t>
      </w:r>
    </w:p>
    <w:p>
      <w:pPr>
        <w:spacing w:line="240" w:lineRule="auto"/>
        <w:ind w:firstLine="560" w:firstLineChars="0"/>
        <w:rPr>
          <w:rFonts w:ascii="宋体" w:hAnsi="宋体"/>
          <w:szCs w:val="28"/>
        </w:rPr>
      </w:pPr>
      <w:r>
        <w:rPr>
          <w:rFonts w:hint="eastAsia" w:ascii="宋体" w:hAnsi="宋体"/>
          <w:szCs w:val="28"/>
        </w:rPr>
        <w:t>建议全面梳理工程项目工作环节，在市级和区级管理制度框架下，制定符合自身实际情况的工程项目管理制度，以加强项目管理，确保建设项目活动合法合规地开展。</w:t>
      </w:r>
    </w:p>
    <w:p>
      <w:pPr>
        <w:spacing w:line="240" w:lineRule="auto"/>
        <w:ind w:firstLine="560" w:firstLineChars="0"/>
        <w:rPr>
          <w:rFonts w:ascii="宋体" w:hAnsi="宋体"/>
          <w:szCs w:val="28"/>
        </w:rPr>
      </w:pPr>
      <w:r>
        <w:rPr>
          <w:rFonts w:hint="eastAsia" w:ascii="宋体" w:hAnsi="宋体"/>
          <w:szCs w:val="28"/>
        </w:rPr>
        <w:t>4、工程开工建设前未取得施工许可证。南城街道西环路片区门面店招店牌整治工程、南城街道西环路片区人行道整治工程由于文件资料未准备齐全，项目于完工并经质量鉴定合格后才向区政府申请补办施工许可证。</w:t>
      </w:r>
    </w:p>
    <w:p>
      <w:pPr>
        <w:spacing w:line="240" w:lineRule="auto"/>
        <w:ind w:firstLine="560" w:firstLineChars="0"/>
        <w:rPr>
          <w:rFonts w:ascii="宋体" w:hAnsi="宋体"/>
          <w:szCs w:val="28"/>
        </w:rPr>
      </w:pPr>
      <w:r>
        <w:rPr>
          <w:rFonts w:hint="eastAsia" w:ascii="宋体" w:hAnsi="宋体"/>
          <w:szCs w:val="28"/>
        </w:rPr>
        <w:t>建议加大前期准备工作力度，加强各方协调沟通，及时办理施工许可证，确保工程建设的合规性。</w:t>
      </w:r>
    </w:p>
    <w:p>
      <w:pPr>
        <w:spacing w:line="240" w:lineRule="auto"/>
        <w:ind w:firstLine="560" w:firstLineChars="0"/>
        <w:rPr>
          <w:rFonts w:ascii="宋体" w:hAnsi="宋体"/>
          <w:szCs w:val="28"/>
        </w:rPr>
      </w:pPr>
      <w:r>
        <w:rPr>
          <w:rFonts w:hint="eastAsia" w:ascii="宋体" w:hAnsi="宋体"/>
          <w:szCs w:val="28"/>
        </w:rPr>
        <w:t>5、弱电改迁工程签订的线路迁改协议均无质保金条款，涉及南城街道、旧县街道、二坪镇、白羊镇、巴川街道、虎峰镇、少云镇。</w:t>
      </w:r>
    </w:p>
    <w:p>
      <w:pPr>
        <w:spacing w:line="240" w:lineRule="auto"/>
        <w:ind w:firstLine="560" w:firstLineChars="0"/>
        <w:rPr>
          <w:rFonts w:ascii="宋体" w:hAnsi="宋体"/>
          <w:szCs w:val="28"/>
        </w:rPr>
      </w:pPr>
      <w:r>
        <w:rPr>
          <w:rFonts w:hint="eastAsia" w:ascii="宋体" w:hAnsi="宋体"/>
          <w:szCs w:val="28"/>
        </w:rPr>
        <w:t xml:space="preserve">建议合同拟定质保金条款，降低自身风险，确保项目完工质量。 </w:t>
      </w:r>
    </w:p>
    <w:p>
      <w:pPr>
        <w:spacing w:line="240" w:lineRule="auto"/>
        <w:ind w:firstLine="560" w:firstLineChars="0"/>
        <w:rPr>
          <w:rFonts w:ascii="宋体" w:hAnsi="宋体"/>
          <w:szCs w:val="28"/>
        </w:rPr>
      </w:pPr>
      <w:r>
        <w:rPr>
          <w:rFonts w:hint="eastAsia" w:ascii="宋体" w:hAnsi="宋体"/>
          <w:szCs w:val="28"/>
        </w:rPr>
        <w:t>6、合同签订不及时，重要条款未作明确约定。旧县街道场镇功能补短板建设项目未在中标通知书规定期间内签订施工合同；旧县街道城区人居环境综合整治项目施工合同约定按3%预留质保金，但未规定缺陷责任期。</w:t>
      </w:r>
    </w:p>
    <w:p>
      <w:pPr>
        <w:spacing w:line="240" w:lineRule="auto"/>
        <w:ind w:firstLine="560" w:firstLineChars="0"/>
        <w:rPr>
          <w:rFonts w:ascii="宋体" w:hAnsi="宋体"/>
          <w:szCs w:val="28"/>
        </w:rPr>
      </w:pPr>
      <w:r>
        <w:rPr>
          <w:rFonts w:hint="eastAsia" w:ascii="宋体" w:hAnsi="宋体"/>
          <w:szCs w:val="28"/>
        </w:rPr>
        <w:t>建议加强合同管理，严格审核合同条款，明确合同双方各自义务，避免因合同约定不明出现的争议，降低自身风险，确保项目完工质量。</w:t>
      </w:r>
    </w:p>
    <w:p>
      <w:pPr>
        <w:spacing w:line="240" w:lineRule="auto"/>
        <w:ind w:firstLine="560" w:firstLineChars="0"/>
        <w:rPr>
          <w:rFonts w:ascii="宋体" w:hAnsi="宋体"/>
          <w:szCs w:val="28"/>
        </w:rPr>
      </w:pPr>
      <w:r>
        <w:rPr>
          <w:rFonts w:hint="eastAsia" w:ascii="宋体" w:hAnsi="宋体"/>
          <w:szCs w:val="28"/>
        </w:rPr>
        <w:t>7、未编制项目预算以及预算编制不准确。西河镇人居环境整治（弱电下地土建部分)项目、西河镇人居环境整治(弱电下地线路驳接部分）项目无财政预算审核报告，不利于项目成本控制。福果镇菜市场建设项目由于预算编制时出现漏项导致工程结算金额超出预算金额39.15742万元。</w:t>
      </w:r>
    </w:p>
    <w:p>
      <w:pPr>
        <w:spacing w:line="240" w:lineRule="auto"/>
        <w:ind w:firstLine="560" w:firstLineChars="0"/>
        <w:rPr>
          <w:rFonts w:ascii="宋体" w:hAnsi="宋体"/>
          <w:szCs w:val="28"/>
        </w:rPr>
      </w:pPr>
      <w:r>
        <w:rPr>
          <w:rFonts w:hint="eastAsia" w:ascii="宋体" w:hAnsi="宋体"/>
          <w:szCs w:val="28"/>
        </w:rPr>
        <w:t>建议加强项目预算编制工作，增加预算编制精确度，更好</w:t>
      </w:r>
      <w:r>
        <w:rPr>
          <w:rFonts w:hint="eastAsia" w:ascii="宋体" w:hAnsi="宋体"/>
          <w:szCs w:val="28"/>
          <w:lang w:eastAsia="zh-CN"/>
        </w:rPr>
        <w:t>地</w:t>
      </w:r>
      <w:r>
        <w:rPr>
          <w:rFonts w:hint="eastAsia" w:ascii="宋体" w:hAnsi="宋体"/>
          <w:szCs w:val="28"/>
        </w:rPr>
        <w:t>发挥预算在成本控制中的指导作用。</w:t>
      </w:r>
    </w:p>
    <w:p>
      <w:pPr>
        <w:spacing w:line="240" w:lineRule="auto"/>
        <w:ind w:firstLine="560" w:firstLineChars="0"/>
        <w:rPr>
          <w:rFonts w:ascii="宋体" w:hAnsi="宋体"/>
          <w:szCs w:val="28"/>
        </w:rPr>
      </w:pPr>
      <w:r>
        <w:rPr>
          <w:rFonts w:hint="eastAsia" w:ascii="宋体" w:hAnsi="宋体"/>
          <w:szCs w:val="28"/>
        </w:rPr>
        <w:t>8、项目未聘请监理单位，缺少质量控制措施。涉及巴川街道西环路片区燃气管道及气表迁改工程、少云镇海棠路和新正街弱电改造项目、少云镇海棠街和东市街弱电改造项目、少云镇海棠路屋顶隐患整治工程项目、少云镇新正街屋顶隐患整治工程项目、少云镇场镇水电气隐患整治规范化项目、高楼镇场镇补短板龙源社区人居环境整治项目。</w:t>
      </w:r>
    </w:p>
    <w:p>
      <w:pPr>
        <w:spacing w:line="240" w:lineRule="auto"/>
        <w:ind w:firstLine="560" w:firstLineChars="0"/>
        <w:rPr>
          <w:rFonts w:ascii="宋体" w:hAnsi="宋体"/>
          <w:szCs w:val="28"/>
        </w:rPr>
      </w:pPr>
      <w:r>
        <w:rPr>
          <w:rFonts w:hint="eastAsia" w:ascii="宋体" w:hAnsi="宋体"/>
          <w:szCs w:val="28"/>
        </w:rPr>
        <w:t>建议切实落实项目监理制，做好项目施工过程监督，确保项目质量。</w:t>
      </w:r>
    </w:p>
    <w:p>
      <w:pPr>
        <w:spacing w:line="240" w:lineRule="auto"/>
        <w:ind w:firstLine="560" w:firstLineChars="0"/>
        <w:rPr>
          <w:rFonts w:ascii="宋体" w:hAnsi="宋体"/>
          <w:szCs w:val="28"/>
        </w:rPr>
      </w:pPr>
      <w:r>
        <w:rPr>
          <w:rFonts w:hint="eastAsia" w:ascii="宋体" w:hAnsi="宋体"/>
          <w:szCs w:val="28"/>
        </w:rPr>
        <w:t>9、项目验收不规范，竣工验收报告缺少参建方签字或盖章。涉及旧县街道场镇功能补短板建设项目、旧县街道场镇补短板旧岚路段综合整治项目、福果镇福兴路人居环境整治项目。</w:t>
      </w:r>
    </w:p>
    <w:p>
      <w:pPr>
        <w:spacing w:line="240" w:lineRule="auto"/>
        <w:ind w:firstLine="560" w:firstLineChars="0"/>
        <w:rPr>
          <w:rFonts w:ascii="宋体" w:hAnsi="宋体"/>
          <w:szCs w:val="28"/>
        </w:rPr>
      </w:pPr>
      <w:r>
        <w:rPr>
          <w:rFonts w:hint="eastAsia" w:ascii="宋体" w:hAnsi="宋体"/>
          <w:szCs w:val="28"/>
        </w:rPr>
        <w:t>建议项目完工后由各参建单位组成验收小组共同对项目建设内容和建设质量进行验收并签字盖章，以明确各参建单位合同履约义务的完成情况。</w:t>
      </w:r>
    </w:p>
    <w:p>
      <w:pPr>
        <w:spacing w:line="240" w:lineRule="auto"/>
        <w:ind w:firstLine="560" w:firstLineChars="0"/>
        <w:rPr>
          <w:rFonts w:ascii="宋体" w:hAnsi="宋体"/>
          <w:szCs w:val="28"/>
        </w:rPr>
      </w:pPr>
      <w:r>
        <w:rPr>
          <w:rFonts w:hint="eastAsia" w:ascii="宋体" w:hAnsi="宋体"/>
          <w:szCs w:val="28"/>
        </w:rPr>
        <w:t>10、工程款支付审批不严，工程付款申请表无监理单位审核盖章。涉及白羊镇场镇环境综合整治项目、白羊镇场镇人行道整治项目。</w:t>
      </w:r>
    </w:p>
    <w:p>
      <w:pPr>
        <w:spacing w:line="240" w:lineRule="auto"/>
        <w:ind w:firstLine="560" w:firstLineChars="0"/>
        <w:rPr>
          <w:rFonts w:ascii="宋体" w:hAnsi="宋体"/>
          <w:szCs w:val="28"/>
        </w:rPr>
      </w:pPr>
      <w:r>
        <w:rPr>
          <w:rFonts w:hint="eastAsia" w:ascii="宋体" w:hAnsi="宋体"/>
          <w:szCs w:val="28"/>
        </w:rPr>
        <w:t>建议加强工程款支付审批工作，工程款支付申请先经监理单位审核，并加盖公章以示同意。</w:t>
      </w:r>
    </w:p>
    <w:p>
      <w:pPr>
        <w:spacing w:line="240" w:lineRule="auto"/>
        <w:ind w:firstLine="560" w:firstLineChars="0"/>
        <w:rPr>
          <w:rFonts w:ascii="宋体" w:hAnsi="宋体"/>
          <w:szCs w:val="28"/>
        </w:rPr>
      </w:pPr>
      <w:r>
        <w:rPr>
          <w:rFonts w:hint="eastAsia" w:ascii="宋体" w:hAnsi="宋体"/>
          <w:szCs w:val="28"/>
        </w:rPr>
        <w:t>11、项目实施进度控制有待加强。119个场镇建设项目中仅35个项目按照立项批复的计划建设时间完成，其余项目竣工时间均有不同程度上的延迟。</w:t>
      </w:r>
    </w:p>
    <w:p>
      <w:pPr>
        <w:spacing w:line="240" w:lineRule="auto"/>
        <w:ind w:firstLine="560" w:firstLineChars="0"/>
        <w:rPr>
          <w:rFonts w:ascii="宋体" w:hAnsi="宋体"/>
          <w:szCs w:val="28"/>
        </w:rPr>
      </w:pPr>
      <w:r>
        <w:rPr>
          <w:rFonts w:hint="eastAsia" w:ascii="宋体" w:hAnsi="宋体"/>
          <w:szCs w:val="28"/>
        </w:rPr>
        <w:t>建议做好前期项目调研，科学制定项目建设时间表，合理安排项目各环节工作进度，加强与施工单位的沟通，确保项目在任务时限内完成。</w:t>
      </w:r>
    </w:p>
    <w:p>
      <w:pPr>
        <w:spacing w:line="240" w:lineRule="auto"/>
        <w:ind w:firstLine="560" w:firstLineChars="0"/>
        <w:rPr>
          <w:rFonts w:ascii="宋体" w:hAnsi="宋体"/>
          <w:szCs w:val="28"/>
        </w:rPr>
      </w:pPr>
      <w:r>
        <w:rPr>
          <w:rFonts w:hint="eastAsia" w:ascii="宋体" w:hAnsi="宋体"/>
          <w:szCs w:val="28"/>
        </w:rPr>
        <w:t>12、项目实际成本超出预算。涉及少云镇原派出所旁停车场改造项目、西河镇撤并场人行道整治项目、维新镇集贸市场提质改造项目、高楼镇公共停车场建设项目</w:t>
      </w:r>
      <w:r>
        <w:rPr>
          <w:rFonts w:hint="eastAsia" w:ascii="宋体" w:hAnsi="宋体"/>
          <w:szCs w:val="28"/>
          <w:lang w:eastAsia="zh-CN"/>
        </w:rPr>
        <w:t>、高</w:t>
      </w:r>
      <w:r>
        <w:rPr>
          <w:rFonts w:hint="eastAsia" w:ascii="宋体" w:hAnsi="宋体"/>
          <w:szCs w:val="28"/>
        </w:rPr>
        <w:t>楼镇场镇补短板龙源社区人居环境整治项目、华兴镇场镇人居环境综合整治项目。</w:t>
      </w:r>
    </w:p>
    <w:p>
      <w:pPr>
        <w:spacing w:line="240" w:lineRule="auto"/>
        <w:ind w:firstLine="560" w:firstLineChars="0"/>
        <w:rPr>
          <w:rFonts w:ascii="宋体" w:hAnsi="宋体"/>
          <w:szCs w:val="28"/>
        </w:rPr>
      </w:pPr>
      <w:r>
        <w:rPr>
          <w:rFonts w:hint="eastAsia" w:ascii="宋体" w:hAnsi="宋体"/>
          <w:szCs w:val="28"/>
        </w:rPr>
        <w:t>建议合理进行工程设计，科学编制预算，以项目预算为指导，严格控制项目成本。</w:t>
      </w:r>
    </w:p>
    <w:p>
      <w:pPr>
        <w:spacing w:line="240" w:lineRule="auto"/>
        <w:ind w:firstLine="560" w:firstLineChars="0"/>
        <w:rPr>
          <w:rFonts w:ascii="宋体" w:hAnsi="宋体"/>
          <w:szCs w:val="28"/>
        </w:rPr>
      </w:pPr>
      <w:r>
        <w:rPr>
          <w:rFonts w:hint="eastAsia" w:ascii="宋体" w:hAnsi="宋体"/>
          <w:szCs w:val="28"/>
        </w:rPr>
        <w:t>13、项目设施未得到良好维护。旧县街道生态停车场建设项目出入口桅杆折断。</w:t>
      </w:r>
    </w:p>
    <w:p>
      <w:pPr>
        <w:spacing w:line="240" w:lineRule="auto"/>
        <w:ind w:firstLine="560" w:firstLineChars="0"/>
        <w:rPr>
          <w:rFonts w:ascii="宋体" w:hAnsi="宋体"/>
          <w:szCs w:val="28"/>
        </w:rPr>
      </w:pPr>
      <w:r>
        <w:rPr>
          <w:rFonts w:hint="eastAsia" w:ascii="宋体" w:hAnsi="宋体"/>
          <w:szCs w:val="28"/>
        </w:rPr>
        <w:t>建议落实项目设施维护责任，加强日常巡查维护，对损坏的设施及时修理，保证其正常运行。</w:t>
      </w:r>
    </w:p>
    <w:p>
      <w:pPr>
        <w:spacing w:line="240" w:lineRule="auto"/>
        <w:ind w:firstLine="560" w:firstLineChars="0"/>
        <w:rPr>
          <w:rFonts w:ascii="宋体" w:hAnsi="宋体"/>
          <w:szCs w:val="28"/>
        </w:rPr>
      </w:pPr>
      <w:r>
        <w:rPr>
          <w:rFonts w:hint="eastAsia" w:ascii="宋体" w:hAnsi="宋体"/>
          <w:szCs w:val="28"/>
        </w:rPr>
        <w:t>14、项目实施效果有待加强。福果镇菜市场建设项目建成后将菜市场承包给其他单位经营，承包方大幅提高了菜市场摊位费，增加了菜农的经营成本，降低菜农进驻菜市场经营的积极性。</w:t>
      </w:r>
    </w:p>
    <w:p>
      <w:pPr>
        <w:spacing w:line="240" w:lineRule="auto"/>
        <w:ind w:firstLine="560" w:firstLineChars="0"/>
        <w:rPr>
          <w:rFonts w:ascii="宋体" w:hAnsi="宋体"/>
          <w:szCs w:val="28"/>
        </w:rPr>
      </w:pPr>
      <w:r>
        <w:rPr>
          <w:rFonts w:hint="eastAsia" w:ascii="宋体" w:hAnsi="宋体"/>
          <w:szCs w:val="28"/>
        </w:rPr>
        <w:t>建议镇政府就菜市场摊位费与承包方进行协商，减轻菜农的经济负担，使本项目更好</w:t>
      </w:r>
      <w:r>
        <w:rPr>
          <w:rFonts w:hint="eastAsia" w:ascii="宋体" w:hAnsi="宋体"/>
          <w:szCs w:val="28"/>
          <w:lang w:eastAsia="zh-CN"/>
        </w:rPr>
        <w:t>地</w:t>
      </w:r>
      <w:r>
        <w:rPr>
          <w:rFonts w:hint="eastAsia" w:ascii="宋体" w:hAnsi="宋体"/>
          <w:szCs w:val="28"/>
        </w:rPr>
        <w:t>发挥惠民作用。</w:t>
      </w:r>
    </w:p>
    <w:p>
      <w:pPr>
        <w:spacing w:line="560" w:lineRule="exact"/>
        <w:ind w:left="560" w:firstLine="0" w:firstLineChars="0"/>
        <w:jc w:val="center"/>
        <w:rPr>
          <w:b/>
          <w:sz w:val="32"/>
          <w:szCs w:val="32"/>
        </w:rPr>
      </w:pPr>
      <w:r>
        <w:rPr>
          <w:rFonts w:ascii="宋体" w:hAnsi="宋体"/>
          <w:szCs w:val="28"/>
        </w:rPr>
        <w:br w:type="page"/>
      </w:r>
      <w:r>
        <w:rPr>
          <w:rFonts w:hint="eastAsia"/>
          <w:b/>
          <w:sz w:val="32"/>
          <w:szCs w:val="32"/>
        </w:rPr>
        <w:t>重庆市铜梁区场镇基础设施功能</w:t>
      </w:r>
    </w:p>
    <w:p>
      <w:pPr>
        <w:snapToGrid w:val="0"/>
        <w:spacing w:line="560" w:lineRule="atLeast"/>
        <w:ind w:firstLine="2249" w:firstLineChars="700"/>
        <w:rPr>
          <w:b/>
          <w:sz w:val="32"/>
          <w:szCs w:val="32"/>
        </w:rPr>
      </w:pPr>
      <w:r>
        <w:rPr>
          <w:rFonts w:hint="eastAsia"/>
          <w:b/>
          <w:sz w:val="32"/>
          <w:szCs w:val="32"/>
        </w:rPr>
        <w:t>补短板建设项目绩效评价报告</w:t>
      </w:r>
    </w:p>
    <w:p>
      <w:pPr>
        <w:snapToGrid w:val="0"/>
        <w:spacing w:line="560" w:lineRule="atLeast"/>
        <w:ind w:firstLine="0" w:firstLineChars="0"/>
        <w:jc w:val="right"/>
        <w:rPr>
          <w:rFonts w:ascii="宋体" w:hAnsi="宋体"/>
          <w:b/>
          <w:kern w:val="0"/>
          <w:sz w:val="21"/>
          <w:szCs w:val="21"/>
        </w:rPr>
      </w:pPr>
      <w:r>
        <w:rPr>
          <w:rFonts w:hint="eastAsia" w:ascii="宋体" w:hAnsi="宋体"/>
          <w:b/>
          <w:kern w:val="0"/>
          <w:sz w:val="21"/>
          <w:szCs w:val="21"/>
        </w:rPr>
        <w:t>凯弘会所咨[2024]</w:t>
      </w:r>
      <w:r>
        <w:rPr>
          <w:rFonts w:hint="eastAsia" w:ascii="宋体" w:hAnsi="宋体"/>
          <w:b/>
          <w:kern w:val="0"/>
          <w:sz w:val="21"/>
          <w:szCs w:val="21"/>
          <w:lang w:val="en-US" w:eastAsia="zh-CN"/>
        </w:rPr>
        <w:t>041</w:t>
      </w:r>
      <w:r>
        <w:rPr>
          <w:rFonts w:hint="eastAsia" w:ascii="宋体" w:hAnsi="宋体"/>
          <w:b/>
          <w:kern w:val="0"/>
          <w:sz w:val="21"/>
          <w:szCs w:val="21"/>
        </w:rPr>
        <w:t>号</w:t>
      </w:r>
    </w:p>
    <w:p>
      <w:pPr>
        <w:snapToGrid w:val="0"/>
        <w:spacing w:before="312" w:beforeLines="100" w:line="560" w:lineRule="exact"/>
        <w:ind w:firstLine="0" w:firstLineChars="0"/>
        <w:jc w:val="left"/>
        <w:outlineLvl w:val="0"/>
        <w:rPr>
          <w:rFonts w:ascii="宋体" w:hAnsi="宋体"/>
          <w:b/>
          <w:szCs w:val="28"/>
        </w:rPr>
      </w:pPr>
      <w:r>
        <w:rPr>
          <w:rFonts w:hint="eastAsia" w:ascii="宋体" w:hAnsi="宋体"/>
          <w:b/>
          <w:szCs w:val="28"/>
        </w:rPr>
        <w:t>重庆市铜梁区财政局：</w:t>
      </w:r>
    </w:p>
    <w:p>
      <w:pPr>
        <w:snapToGrid w:val="0"/>
        <w:spacing w:line="560" w:lineRule="atLeast"/>
        <w:ind w:firstLine="560"/>
        <w:rPr>
          <w:rFonts w:ascii="宋体" w:hAnsi="宋体"/>
          <w:szCs w:val="28"/>
        </w:rPr>
      </w:pPr>
      <w:r>
        <w:rPr>
          <w:rFonts w:hint="eastAsia" w:ascii="宋体" w:hAnsi="宋体"/>
          <w:szCs w:val="28"/>
        </w:rPr>
        <w:t>我们受贵中心委托，对“重庆市铜梁区场镇基础设施功能补短板建设项目”的绩效进行评价。该评价项目由铜梁区住房和城乡建设委员会以及各镇街项目实施单位负责提供真实、合法、完整的绩效评价资料。我们的责任是按相关规定和委托协议书的要求出具绩效评价报告，并对绩效评价报告的真实性、合法性负责。在评价过程中，我们遵循客观公正、实事求是的原则，按照财政支出绩效评价管理有关文件规定及标准，结合本项目的实际情况，经过对绩效目标和指标的梳理、实地查验、数据采集、合规性检查、访谈、社会调查等评价程序。现将绩效评价情况报告如下：</w:t>
      </w:r>
    </w:p>
    <w:p>
      <w:pPr>
        <w:pStyle w:val="25"/>
        <w:numPr>
          <w:ilvl w:val="0"/>
          <w:numId w:val="5"/>
        </w:numPr>
        <w:snapToGrid w:val="0"/>
        <w:spacing w:line="560" w:lineRule="exact"/>
        <w:ind w:left="562" w:firstLine="0" w:firstLineChars="0"/>
        <w:outlineLvl w:val="0"/>
        <w:rPr>
          <w:rFonts w:ascii="宋体" w:hAnsi="宋体"/>
          <w:b/>
          <w:szCs w:val="28"/>
        </w:rPr>
      </w:pPr>
      <w:r>
        <w:rPr>
          <w:rFonts w:hint="eastAsia" w:ascii="宋体" w:hAnsi="宋体"/>
          <w:b/>
          <w:szCs w:val="28"/>
        </w:rPr>
        <w:t>基本情况</w:t>
      </w:r>
    </w:p>
    <w:p>
      <w:pPr>
        <w:snapToGrid w:val="0"/>
        <w:spacing w:line="560" w:lineRule="atLeast"/>
        <w:ind w:firstLine="560"/>
        <w:rPr>
          <w:rFonts w:ascii="宋体" w:hAnsi="宋体"/>
          <w:szCs w:val="28"/>
        </w:rPr>
      </w:pPr>
      <w:r>
        <w:rPr>
          <w:rFonts w:hint="eastAsia" w:ascii="宋体" w:hAnsi="宋体"/>
          <w:szCs w:val="28"/>
        </w:rPr>
        <w:t>为深入贯彻党中央决策部署和市委工作要求，落实以人民为中心的发展思想,全面加强场镇建设,高质量推动场镇改造提升，努力培育一批环境美、生活美、产业美、人文美、治理美的高品质小城镇，根据中共中央办公厅、国务院办公厅印发的《关于推动城乡建设绿色发展的意见》精神，铜梁区人民政府办公室印发了《铜梁区城镇基础设施功能补短板三年行动实施方案（2022-2024年）》。实施方案旨在推进场镇聚集人口、聚集产业、聚集公共服务，深度挖掘场镇文化价值和文化内涵，增强场镇吸附能力，建设一批有产业支撑、文化传承、配套完善的宜居小城镇，不断增强镇街的价值感、干部的成就感、群众的获得感。铜梁区各镇街按照实施方案的要求开展本项目的建设。</w:t>
      </w:r>
    </w:p>
    <w:p>
      <w:pPr>
        <w:snapToGrid w:val="0"/>
        <w:spacing w:line="560" w:lineRule="atLeast"/>
        <w:ind w:firstLine="560"/>
        <w:rPr>
          <w:rFonts w:ascii="宋体" w:hAnsi="宋体"/>
          <w:szCs w:val="28"/>
        </w:rPr>
      </w:pPr>
      <w:r>
        <w:rPr>
          <w:rFonts w:hint="eastAsia" w:ascii="宋体" w:hAnsi="宋体"/>
          <w:szCs w:val="28"/>
        </w:rPr>
        <w:t>根据重庆市铜梁区人民政府办公室《关于调整2022年场镇基础设施功能补短板建设项目及资金计划的通知》和《关于下达2023年场镇基础设施功能补短板建设项目及资金计划的通知》，结合铜梁区发改委的项目调整及项目暂缓情况，纳入本次绩效评价范围的场镇基础设施功能补短板建设项目共119个，涉及镇街25个，项目分布情况如下：</w:t>
      </w:r>
    </w:p>
    <w:tbl>
      <w:tblPr>
        <w:tblStyle w:val="1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9"/>
        <w:gridCol w:w="4510"/>
        <w:gridCol w:w="2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59" w:type="dxa"/>
            <w:tcBorders>
              <w:top w:val="double" w:color="auto" w:sz="4" w:space="0"/>
              <w:left w:val="nil"/>
            </w:tcBorders>
            <w:vAlign w:val="top"/>
          </w:tcPr>
          <w:p>
            <w:pPr>
              <w:snapToGrid w:val="0"/>
              <w:spacing w:line="240" w:lineRule="auto"/>
              <w:ind w:firstLine="0" w:firstLineChars="0"/>
              <w:jc w:val="center"/>
              <w:rPr>
                <w:rFonts w:ascii="宋体" w:hAnsi="宋体"/>
                <w:sz w:val="24"/>
                <w:szCs w:val="24"/>
              </w:rPr>
            </w:pPr>
            <w:r>
              <w:rPr>
                <w:rFonts w:hint="eastAsia" w:ascii="宋体" w:hAnsi="宋体"/>
                <w:sz w:val="24"/>
                <w:szCs w:val="24"/>
              </w:rPr>
              <w:t>序号</w:t>
            </w:r>
          </w:p>
        </w:tc>
        <w:tc>
          <w:tcPr>
            <w:tcW w:w="4510" w:type="dxa"/>
            <w:tcBorders>
              <w:top w:val="double" w:color="auto" w:sz="4" w:space="0"/>
            </w:tcBorders>
            <w:vAlign w:val="top"/>
          </w:tcPr>
          <w:p>
            <w:pPr>
              <w:snapToGrid w:val="0"/>
              <w:spacing w:line="240" w:lineRule="auto"/>
              <w:ind w:firstLine="0" w:firstLineChars="0"/>
              <w:jc w:val="center"/>
              <w:rPr>
                <w:rFonts w:ascii="宋体" w:hAnsi="宋体"/>
                <w:sz w:val="24"/>
                <w:szCs w:val="24"/>
              </w:rPr>
            </w:pPr>
            <w:r>
              <w:rPr>
                <w:rFonts w:hint="eastAsia" w:ascii="宋体" w:hAnsi="宋体"/>
                <w:sz w:val="24"/>
                <w:szCs w:val="24"/>
              </w:rPr>
              <w:t>镇街名称</w:t>
            </w:r>
          </w:p>
        </w:tc>
        <w:tc>
          <w:tcPr>
            <w:tcW w:w="2853" w:type="dxa"/>
            <w:tcBorders>
              <w:top w:val="double" w:color="auto" w:sz="4" w:space="0"/>
              <w:right w:val="nil"/>
            </w:tcBorders>
            <w:vAlign w:val="top"/>
          </w:tcPr>
          <w:p>
            <w:pPr>
              <w:snapToGrid w:val="0"/>
              <w:spacing w:line="240" w:lineRule="auto"/>
              <w:ind w:firstLine="0" w:firstLineChars="0"/>
              <w:jc w:val="center"/>
              <w:rPr>
                <w:rFonts w:ascii="宋体" w:hAnsi="宋体"/>
                <w:sz w:val="24"/>
                <w:szCs w:val="24"/>
              </w:rPr>
            </w:pPr>
            <w:r>
              <w:rPr>
                <w:rFonts w:hint="eastAsia" w:ascii="宋体" w:hAnsi="宋体"/>
                <w:sz w:val="24"/>
                <w:szCs w:val="24"/>
              </w:rPr>
              <w:t>项目数量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59" w:type="dxa"/>
            <w:tcBorders>
              <w:left w:val="nil"/>
            </w:tcBorders>
            <w:vAlign w:val="top"/>
          </w:tcPr>
          <w:p>
            <w:pPr>
              <w:snapToGrid w:val="0"/>
              <w:spacing w:line="240" w:lineRule="auto"/>
              <w:ind w:firstLine="0" w:firstLineChars="0"/>
              <w:jc w:val="center"/>
              <w:rPr>
                <w:rFonts w:ascii="宋体" w:hAnsi="宋体"/>
                <w:sz w:val="24"/>
                <w:szCs w:val="24"/>
              </w:rPr>
            </w:pPr>
            <w:r>
              <w:rPr>
                <w:rFonts w:hint="eastAsia"/>
                <w:sz w:val="24"/>
                <w:szCs w:val="24"/>
              </w:rPr>
              <w:t>1</w:t>
            </w:r>
          </w:p>
        </w:tc>
        <w:tc>
          <w:tcPr>
            <w:tcW w:w="4510" w:type="dxa"/>
            <w:vAlign w:val="top"/>
          </w:tcPr>
          <w:p>
            <w:pPr>
              <w:snapToGrid w:val="0"/>
              <w:spacing w:line="240" w:lineRule="auto"/>
              <w:ind w:firstLine="0" w:firstLineChars="0"/>
              <w:rPr>
                <w:rFonts w:ascii="宋体" w:hAnsi="宋体"/>
                <w:sz w:val="24"/>
                <w:szCs w:val="24"/>
              </w:rPr>
            </w:pPr>
            <w:r>
              <w:rPr>
                <w:rFonts w:hint="eastAsia"/>
                <w:sz w:val="24"/>
                <w:szCs w:val="24"/>
              </w:rPr>
              <w:t>巴川街道</w:t>
            </w:r>
          </w:p>
        </w:tc>
        <w:tc>
          <w:tcPr>
            <w:tcW w:w="2853" w:type="dxa"/>
            <w:tcBorders>
              <w:right w:val="nil"/>
            </w:tcBorders>
            <w:vAlign w:val="top"/>
          </w:tcPr>
          <w:p>
            <w:pPr>
              <w:snapToGrid w:val="0"/>
              <w:spacing w:line="240" w:lineRule="auto"/>
              <w:ind w:firstLine="0" w:firstLineChars="0"/>
              <w:jc w:val="center"/>
              <w:rPr>
                <w:rFonts w:ascii="宋体" w:hAnsi="宋体"/>
                <w:sz w:val="24"/>
                <w:szCs w:val="24"/>
              </w:rPr>
            </w:pPr>
            <w:r>
              <w:rPr>
                <w:rFonts w:hint="eastAsia"/>
                <w:sz w:val="24"/>
                <w:szCs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59" w:type="dxa"/>
            <w:tcBorders>
              <w:left w:val="nil"/>
            </w:tcBorders>
            <w:vAlign w:val="top"/>
          </w:tcPr>
          <w:p>
            <w:pPr>
              <w:snapToGrid w:val="0"/>
              <w:spacing w:line="240" w:lineRule="auto"/>
              <w:ind w:firstLine="0" w:firstLineChars="0"/>
              <w:jc w:val="center"/>
              <w:rPr>
                <w:rFonts w:ascii="宋体" w:hAnsi="宋体"/>
                <w:sz w:val="24"/>
                <w:szCs w:val="24"/>
              </w:rPr>
            </w:pPr>
            <w:r>
              <w:rPr>
                <w:rFonts w:hint="eastAsia"/>
                <w:sz w:val="24"/>
                <w:szCs w:val="24"/>
              </w:rPr>
              <w:t>2</w:t>
            </w:r>
          </w:p>
        </w:tc>
        <w:tc>
          <w:tcPr>
            <w:tcW w:w="4510" w:type="dxa"/>
            <w:vAlign w:val="top"/>
          </w:tcPr>
          <w:p>
            <w:pPr>
              <w:snapToGrid w:val="0"/>
              <w:spacing w:line="240" w:lineRule="auto"/>
              <w:ind w:firstLine="0" w:firstLineChars="0"/>
              <w:rPr>
                <w:rFonts w:ascii="宋体" w:hAnsi="宋体"/>
                <w:sz w:val="24"/>
                <w:szCs w:val="24"/>
              </w:rPr>
            </w:pPr>
            <w:r>
              <w:rPr>
                <w:rFonts w:hint="eastAsia"/>
                <w:sz w:val="24"/>
                <w:szCs w:val="24"/>
              </w:rPr>
              <w:t>南城街道</w:t>
            </w:r>
          </w:p>
        </w:tc>
        <w:tc>
          <w:tcPr>
            <w:tcW w:w="2853" w:type="dxa"/>
            <w:tcBorders>
              <w:right w:val="nil"/>
            </w:tcBorders>
            <w:vAlign w:val="top"/>
          </w:tcPr>
          <w:p>
            <w:pPr>
              <w:snapToGrid w:val="0"/>
              <w:spacing w:line="240" w:lineRule="auto"/>
              <w:ind w:firstLine="0" w:firstLineChars="0"/>
              <w:jc w:val="center"/>
              <w:rPr>
                <w:rFonts w:ascii="宋体" w:hAnsi="宋体"/>
                <w:sz w:val="24"/>
                <w:szCs w:val="24"/>
              </w:rPr>
            </w:pPr>
            <w:r>
              <w:rPr>
                <w:rFonts w:hint="eastAsia"/>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59" w:type="dxa"/>
            <w:tcBorders>
              <w:left w:val="nil"/>
            </w:tcBorders>
            <w:vAlign w:val="top"/>
          </w:tcPr>
          <w:p>
            <w:pPr>
              <w:snapToGrid w:val="0"/>
              <w:spacing w:line="240" w:lineRule="auto"/>
              <w:ind w:firstLine="0" w:firstLineChars="0"/>
              <w:jc w:val="center"/>
              <w:rPr>
                <w:rFonts w:ascii="宋体" w:hAnsi="宋体"/>
                <w:sz w:val="24"/>
                <w:szCs w:val="24"/>
              </w:rPr>
            </w:pPr>
            <w:r>
              <w:rPr>
                <w:rFonts w:hint="eastAsia"/>
                <w:sz w:val="24"/>
                <w:szCs w:val="24"/>
              </w:rPr>
              <w:t>3</w:t>
            </w:r>
          </w:p>
        </w:tc>
        <w:tc>
          <w:tcPr>
            <w:tcW w:w="4510" w:type="dxa"/>
            <w:vAlign w:val="top"/>
          </w:tcPr>
          <w:p>
            <w:pPr>
              <w:snapToGrid w:val="0"/>
              <w:spacing w:line="240" w:lineRule="auto"/>
              <w:ind w:firstLine="0" w:firstLineChars="0"/>
              <w:rPr>
                <w:rFonts w:ascii="宋体" w:hAnsi="宋体"/>
                <w:sz w:val="24"/>
                <w:szCs w:val="24"/>
              </w:rPr>
            </w:pPr>
            <w:r>
              <w:rPr>
                <w:rFonts w:hint="eastAsia"/>
                <w:sz w:val="24"/>
                <w:szCs w:val="24"/>
              </w:rPr>
              <w:t>旧县街道</w:t>
            </w:r>
          </w:p>
        </w:tc>
        <w:tc>
          <w:tcPr>
            <w:tcW w:w="2853" w:type="dxa"/>
            <w:tcBorders>
              <w:right w:val="nil"/>
            </w:tcBorders>
            <w:vAlign w:val="top"/>
          </w:tcPr>
          <w:p>
            <w:pPr>
              <w:snapToGrid w:val="0"/>
              <w:spacing w:line="240" w:lineRule="auto"/>
              <w:ind w:firstLine="0" w:firstLineChars="0"/>
              <w:jc w:val="center"/>
              <w:rPr>
                <w:rFonts w:ascii="宋体" w:hAnsi="宋体"/>
                <w:sz w:val="24"/>
                <w:szCs w:val="24"/>
              </w:rPr>
            </w:pPr>
            <w:r>
              <w:rPr>
                <w:rFonts w:hint="eastAsia"/>
                <w:sz w:val="24"/>
                <w:szCs w:val="24"/>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59" w:type="dxa"/>
            <w:tcBorders>
              <w:left w:val="nil"/>
            </w:tcBorders>
            <w:vAlign w:val="top"/>
          </w:tcPr>
          <w:p>
            <w:pPr>
              <w:snapToGrid w:val="0"/>
              <w:spacing w:line="240" w:lineRule="auto"/>
              <w:ind w:firstLine="0" w:firstLineChars="0"/>
              <w:jc w:val="center"/>
              <w:rPr>
                <w:rFonts w:ascii="宋体" w:hAnsi="宋体"/>
                <w:sz w:val="24"/>
                <w:szCs w:val="24"/>
              </w:rPr>
            </w:pPr>
            <w:r>
              <w:rPr>
                <w:rFonts w:hint="eastAsia"/>
                <w:sz w:val="24"/>
                <w:szCs w:val="24"/>
              </w:rPr>
              <w:t>4</w:t>
            </w:r>
          </w:p>
        </w:tc>
        <w:tc>
          <w:tcPr>
            <w:tcW w:w="4510" w:type="dxa"/>
            <w:vAlign w:val="top"/>
          </w:tcPr>
          <w:p>
            <w:pPr>
              <w:snapToGrid w:val="0"/>
              <w:spacing w:line="240" w:lineRule="auto"/>
              <w:ind w:firstLine="0" w:firstLineChars="0"/>
              <w:rPr>
                <w:rFonts w:ascii="宋体" w:hAnsi="宋体"/>
                <w:sz w:val="24"/>
                <w:szCs w:val="24"/>
              </w:rPr>
            </w:pPr>
            <w:r>
              <w:rPr>
                <w:rFonts w:hint="eastAsia"/>
                <w:sz w:val="24"/>
                <w:szCs w:val="24"/>
              </w:rPr>
              <w:t>蒲吕街道</w:t>
            </w:r>
          </w:p>
        </w:tc>
        <w:tc>
          <w:tcPr>
            <w:tcW w:w="2853" w:type="dxa"/>
            <w:tcBorders>
              <w:right w:val="nil"/>
            </w:tcBorders>
            <w:vAlign w:val="top"/>
          </w:tcPr>
          <w:p>
            <w:pPr>
              <w:snapToGrid w:val="0"/>
              <w:spacing w:line="240" w:lineRule="auto"/>
              <w:ind w:firstLine="0" w:firstLineChars="0"/>
              <w:jc w:val="center"/>
              <w:rPr>
                <w:rFonts w:ascii="宋体" w:hAnsi="宋体"/>
                <w:sz w:val="24"/>
                <w:szCs w:val="24"/>
              </w:rPr>
            </w:pPr>
            <w:r>
              <w:rPr>
                <w:rFonts w:hint="eastAsia"/>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59" w:type="dxa"/>
            <w:tcBorders>
              <w:left w:val="nil"/>
            </w:tcBorders>
            <w:vAlign w:val="top"/>
          </w:tcPr>
          <w:p>
            <w:pPr>
              <w:snapToGrid w:val="0"/>
              <w:spacing w:line="240" w:lineRule="auto"/>
              <w:ind w:firstLine="0" w:firstLineChars="0"/>
              <w:jc w:val="center"/>
              <w:rPr>
                <w:rFonts w:ascii="宋体" w:hAnsi="宋体"/>
                <w:sz w:val="24"/>
                <w:szCs w:val="24"/>
              </w:rPr>
            </w:pPr>
            <w:r>
              <w:rPr>
                <w:rFonts w:hint="eastAsia"/>
                <w:sz w:val="24"/>
                <w:szCs w:val="24"/>
              </w:rPr>
              <w:t>5</w:t>
            </w:r>
          </w:p>
        </w:tc>
        <w:tc>
          <w:tcPr>
            <w:tcW w:w="4510" w:type="dxa"/>
            <w:vAlign w:val="top"/>
          </w:tcPr>
          <w:p>
            <w:pPr>
              <w:snapToGrid w:val="0"/>
              <w:spacing w:line="240" w:lineRule="auto"/>
              <w:ind w:firstLine="0" w:firstLineChars="0"/>
              <w:rPr>
                <w:rFonts w:ascii="宋体" w:hAnsi="宋体"/>
                <w:sz w:val="24"/>
                <w:szCs w:val="24"/>
              </w:rPr>
            </w:pPr>
            <w:r>
              <w:rPr>
                <w:rFonts w:hint="eastAsia"/>
                <w:sz w:val="24"/>
                <w:szCs w:val="24"/>
              </w:rPr>
              <w:t>土桥镇</w:t>
            </w:r>
          </w:p>
        </w:tc>
        <w:tc>
          <w:tcPr>
            <w:tcW w:w="2853" w:type="dxa"/>
            <w:tcBorders>
              <w:right w:val="nil"/>
            </w:tcBorders>
            <w:vAlign w:val="top"/>
          </w:tcPr>
          <w:p>
            <w:pPr>
              <w:snapToGrid w:val="0"/>
              <w:spacing w:line="240" w:lineRule="auto"/>
              <w:ind w:firstLine="0" w:firstLineChars="0"/>
              <w:jc w:val="center"/>
              <w:rPr>
                <w:rFonts w:ascii="宋体" w:hAnsi="宋体"/>
                <w:sz w:val="24"/>
                <w:szCs w:val="24"/>
              </w:rPr>
            </w:pPr>
            <w:r>
              <w:rPr>
                <w:rFonts w:hint="eastAsia"/>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59" w:type="dxa"/>
            <w:tcBorders>
              <w:left w:val="nil"/>
            </w:tcBorders>
            <w:vAlign w:val="top"/>
          </w:tcPr>
          <w:p>
            <w:pPr>
              <w:snapToGrid w:val="0"/>
              <w:spacing w:line="240" w:lineRule="auto"/>
              <w:ind w:firstLine="0" w:firstLineChars="0"/>
              <w:jc w:val="center"/>
              <w:rPr>
                <w:rFonts w:ascii="宋体" w:hAnsi="宋体"/>
                <w:sz w:val="24"/>
                <w:szCs w:val="24"/>
              </w:rPr>
            </w:pPr>
            <w:r>
              <w:rPr>
                <w:rFonts w:hint="eastAsia"/>
                <w:sz w:val="24"/>
                <w:szCs w:val="24"/>
              </w:rPr>
              <w:t>6</w:t>
            </w:r>
          </w:p>
        </w:tc>
        <w:tc>
          <w:tcPr>
            <w:tcW w:w="4510" w:type="dxa"/>
            <w:vAlign w:val="top"/>
          </w:tcPr>
          <w:p>
            <w:pPr>
              <w:snapToGrid w:val="0"/>
              <w:spacing w:line="240" w:lineRule="auto"/>
              <w:ind w:firstLine="0" w:firstLineChars="0"/>
              <w:rPr>
                <w:rFonts w:ascii="宋体" w:hAnsi="宋体"/>
                <w:sz w:val="24"/>
                <w:szCs w:val="24"/>
              </w:rPr>
            </w:pPr>
            <w:r>
              <w:rPr>
                <w:rFonts w:hint="eastAsia"/>
                <w:sz w:val="24"/>
                <w:szCs w:val="24"/>
              </w:rPr>
              <w:t>二坪镇</w:t>
            </w:r>
          </w:p>
        </w:tc>
        <w:tc>
          <w:tcPr>
            <w:tcW w:w="2853" w:type="dxa"/>
            <w:tcBorders>
              <w:right w:val="nil"/>
            </w:tcBorders>
            <w:vAlign w:val="top"/>
          </w:tcPr>
          <w:p>
            <w:pPr>
              <w:snapToGrid w:val="0"/>
              <w:spacing w:line="240" w:lineRule="auto"/>
              <w:ind w:firstLine="0" w:firstLineChars="0"/>
              <w:jc w:val="center"/>
              <w:rPr>
                <w:rFonts w:ascii="宋体" w:hAnsi="宋体"/>
                <w:sz w:val="24"/>
                <w:szCs w:val="24"/>
              </w:rPr>
            </w:pPr>
            <w:r>
              <w:rPr>
                <w:rFonts w:hint="eastAsia"/>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59" w:type="dxa"/>
            <w:tcBorders>
              <w:left w:val="nil"/>
            </w:tcBorders>
            <w:vAlign w:val="top"/>
          </w:tcPr>
          <w:p>
            <w:pPr>
              <w:snapToGrid w:val="0"/>
              <w:spacing w:line="240" w:lineRule="auto"/>
              <w:ind w:firstLine="0" w:firstLineChars="0"/>
              <w:jc w:val="center"/>
              <w:rPr>
                <w:rFonts w:ascii="宋体" w:hAnsi="宋体"/>
                <w:sz w:val="24"/>
                <w:szCs w:val="24"/>
              </w:rPr>
            </w:pPr>
            <w:r>
              <w:rPr>
                <w:rFonts w:hint="eastAsia"/>
                <w:sz w:val="24"/>
                <w:szCs w:val="24"/>
              </w:rPr>
              <w:t>7</w:t>
            </w:r>
          </w:p>
        </w:tc>
        <w:tc>
          <w:tcPr>
            <w:tcW w:w="4510" w:type="dxa"/>
            <w:vAlign w:val="top"/>
          </w:tcPr>
          <w:p>
            <w:pPr>
              <w:snapToGrid w:val="0"/>
              <w:spacing w:line="240" w:lineRule="auto"/>
              <w:ind w:firstLine="0" w:firstLineChars="0"/>
              <w:rPr>
                <w:rFonts w:ascii="宋体" w:hAnsi="宋体"/>
                <w:sz w:val="24"/>
                <w:szCs w:val="24"/>
              </w:rPr>
            </w:pPr>
            <w:r>
              <w:rPr>
                <w:rFonts w:hint="eastAsia"/>
                <w:sz w:val="24"/>
                <w:szCs w:val="24"/>
              </w:rPr>
              <w:t>水口镇</w:t>
            </w:r>
          </w:p>
        </w:tc>
        <w:tc>
          <w:tcPr>
            <w:tcW w:w="2853" w:type="dxa"/>
            <w:tcBorders>
              <w:right w:val="nil"/>
            </w:tcBorders>
            <w:vAlign w:val="top"/>
          </w:tcPr>
          <w:p>
            <w:pPr>
              <w:snapToGrid w:val="0"/>
              <w:spacing w:line="240" w:lineRule="auto"/>
              <w:ind w:firstLine="0" w:firstLineChars="0"/>
              <w:jc w:val="center"/>
              <w:rPr>
                <w:rFonts w:ascii="宋体" w:hAnsi="宋体"/>
                <w:sz w:val="24"/>
                <w:szCs w:val="24"/>
              </w:rPr>
            </w:pPr>
            <w:r>
              <w:rPr>
                <w:rFonts w:hint="eastAsia"/>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59" w:type="dxa"/>
            <w:tcBorders>
              <w:left w:val="nil"/>
            </w:tcBorders>
            <w:vAlign w:val="top"/>
          </w:tcPr>
          <w:p>
            <w:pPr>
              <w:snapToGrid w:val="0"/>
              <w:spacing w:line="240" w:lineRule="auto"/>
              <w:ind w:firstLine="0" w:firstLineChars="0"/>
              <w:jc w:val="center"/>
              <w:rPr>
                <w:rFonts w:ascii="宋体" w:hAnsi="宋体"/>
                <w:sz w:val="24"/>
                <w:szCs w:val="24"/>
              </w:rPr>
            </w:pPr>
            <w:r>
              <w:rPr>
                <w:rFonts w:hint="eastAsia"/>
                <w:sz w:val="24"/>
                <w:szCs w:val="24"/>
              </w:rPr>
              <w:t>8</w:t>
            </w:r>
          </w:p>
        </w:tc>
        <w:tc>
          <w:tcPr>
            <w:tcW w:w="4510" w:type="dxa"/>
            <w:vAlign w:val="top"/>
          </w:tcPr>
          <w:p>
            <w:pPr>
              <w:snapToGrid w:val="0"/>
              <w:spacing w:line="240" w:lineRule="auto"/>
              <w:ind w:firstLine="0" w:firstLineChars="0"/>
              <w:rPr>
                <w:rFonts w:ascii="宋体" w:hAnsi="宋体"/>
                <w:sz w:val="24"/>
                <w:szCs w:val="24"/>
              </w:rPr>
            </w:pPr>
            <w:r>
              <w:rPr>
                <w:rFonts w:hint="eastAsia"/>
                <w:sz w:val="24"/>
                <w:szCs w:val="24"/>
              </w:rPr>
              <w:t>白羊镇</w:t>
            </w:r>
          </w:p>
        </w:tc>
        <w:tc>
          <w:tcPr>
            <w:tcW w:w="2853" w:type="dxa"/>
            <w:tcBorders>
              <w:right w:val="nil"/>
            </w:tcBorders>
            <w:vAlign w:val="top"/>
          </w:tcPr>
          <w:p>
            <w:pPr>
              <w:snapToGrid w:val="0"/>
              <w:spacing w:line="240" w:lineRule="auto"/>
              <w:ind w:firstLine="0" w:firstLineChars="0"/>
              <w:jc w:val="center"/>
              <w:rPr>
                <w:rFonts w:ascii="宋体" w:hAnsi="宋体"/>
                <w:sz w:val="24"/>
                <w:szCs w:val="24"/>
              </w:rPr>
            </w:pPr>
            <w:r>
              <w:rPr>
                <w:rFonts w:hint="eastAsia"/>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59" w:type="dxa"/>
            <w:tcBorders>
              <w:left w:val="nil"/>
            </w:tcBorders>
            <w:vAlign w:val="top"/>
          </w:tcPr>
          <w:p>
            <w:pPr>
              <w:snapToGrid w:val="0"/>
              <w:spacing w:line="240" w:lineRule="auto"/>
              <w:ind w:firstLine="0" w:firstLineChars="0"/>
              <w:jc w:val="center"/>
              <w:rPr>
                <w:rFonts w:ascii="宋体" w:hAnsi="宋体"/>
                <w:sz w:val="24"/>
                <w:szCs w:val="24"/>
              </w:rPr>
            </w:pPr>
            <w:r>
              <w:rPr>
                <w:rFonts w:hint="eastAsia"/>
                <w:sz w:val="24"/>
                <w:szCs w:val="24"/>
              </w:rPr>
              <w:t>9</w:t>
            </w:r>
          </w:p>
        </w:tc>
        <w:tc>
          <w:tcPr>
            <w:tcW w:w="4510" w:type="dxa"/>
            <w:vAlign w:val="top"/>
          </w:tcPr>
          <w:p>
            <w:pPr>
              <w:snapToGrid w:val="0"/>
              <w:spacing w:line="240" w:lineRule="auto"/>
              <w:ind w:firstLine="0" w:firstLineChars="0"/>
              <w:rPr>
                <w:rFonts w:ascii="宋体" w:hAnsi="宋体"/>
                <w:sz w:val="24"/>
                <w:szCs w:val="24"/>
              </w:rPr>
            </w:pPr>
            <w:r>
              <w:rPr>
                <w:rFonts w:hint="eastAsia"/>
                <w:sz w:val="24"/>
                <w:szCs w:val="24"/>
              </w:rPr>
              <w:t>平滩镇</w:t>
            </w:r>
          </w:p>
        </w:tc>
        <w:tc>
          <w:tcPr>
            <w:tcW w:w="2853" w:type="dxa"/>
            <w:tcBorders>
              <w:right w:val="nil"/>
            </w:tcBorders>
            <w:vAlign w:val="top"/>
          </w:tcPr>
          <w:p>
            <w:pPr>
              <w:snapToGrid w:val="0"/>
              <w:spacing w:line="240" w:lineRule="auto"/>
              <w:ind w:firstLine="0" w:firstLineChars="0"/>
              <w:jc w:val="center"/>
              <w:rPr>
                <w:rFonts w:ascii="宋体" w:hAnsi="宋体"/>
                <w:sz w:val="24"/>
                <w:szCs w:val="24"/>
              </w:rPr>
            </w:pPr>
            <w:r>
              <w:rPr>
                <w:rFonts w:hint="eastAsia"/>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59" w:type="dxa"/>
            <w:tcBorders>
              <w:left w:val="nil"/>
            </w:tcBorders>
            <w:vAlign w:val="top"/>
          </w:tcPr>
          <w:p>
            <w:pPr>
              <w:snapToGrid w:val="0"/>
              <w:spacing w:line="240" w:lineRule="auto"/>
              <w:ind w:firstLine="0" w:firstLineChars="0"/>
              <w:jc w:val="center"/>
              <w:rPr>
                <w:rFonts w:ascii="宋体" w:hAnsi="宋体"/>
                <w:sz w:val="24"/>
                <w:szCs w:val="24"/>
              </w:rPr>
            </w:pPr>
            <w:r>
              <w:rPr>
                <w:rFonts w:hint="eastAsia"/>
                <w:sz w:val="24"/>
                <w:szCs w:val="24"/>
              </w:rPr>
              <w:t>10</w:t>
            </w:r>
          </w:p>
        </w:tc>
        <w:tc>
          <w:tcPr>
            <w:tcW w:w="4510" w:type="dxa"/>
            <w:vAlign w:val="top"/>
          </w:tcPr>
          <w:p>
            <w:pPr>
              <w:snapToGrid w:val="0"/>
              <w:spacing w:line="240" w:lineRule="auto"/>
              <w:ind w:firstLine="0" w:firstLineChars="0"/>
              <w:rPr>
                <w:rFonts w:ascii="宋体" w:hAnsi="宋体"/>
                <w:sz w:val="24"/>
                <w:szCs w:val="24"/>
              </w:rPr>
            </w:pPr>
            <w:r>
              <w:rPr>
                <w:rFonts w:hint="eastAsia"/>
                <w:sz w:val="24"/>
                <w:szCs w:val="24"/>
              </w:rPr>
              <w:t>双山镇</w:t>
            </w:r>
          </w:p>
        </w:tc>
        <w:tc>
          <w:tcPr>
            <w:tcW w:w="2853" w:type="dxa"/>
            <w:tcBorders>
              <w:right w:val="nil"/>
            </w:tcBorders>
            <w:vAlign w:val="top"/>
          </w:tcPr>
          <w:p>
            <w:pPr>
              <w:snapToGrid w:val="0"/>
              <w:spacing w:line="240" w:lineRule="auto"/>
              <w:ind w:firstLine="0" w:firstLineChars="0"/>
              <w:jc w:val="center"/>
              <w:rPr>
                <w:rFonts w:ascii="宋体" w:hAnsi="宋体"/>
                <w:sz w:val="24"/>
                <w:szCs w:val="24"/>
              </w:rPr>
            </w:pPr>
            <w:r>
              <w:rPr>
                <w:rFonts w:hint="eastAsia"/>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59" w:type="dxa"/>
            <w:tcBorders>
              <w:left w:val="nil"/>
            </w:tcBorders>
            <w:vAlign w:val="top"/>
          </w:tcPr>
          <w:p>
            <w:pPr>
              <w:snapToGrid w:val="0"/>
              <w:spacing w:line="240" w:lineRule="auto"/>
              <w:ind w:firstLine="0" w:firstLineChars="0"/>
              <w:jc w:val="center"/>
              <w:rPr>
                <w:rFonts w:ascii="宋体" w:hAnsi="宋体"/>
                <w:sz w:val="24"/>
                <w:szCs w:val="24"/>
              </w:rPr>
            </w:pPr>
            <w:r>
              <w:rPr>
                <w:rFonts w:hint="eastAsia"/>
                <w:sz w:val="24"/>
                <w:szCs w:val="24"/>
              </w:rPr>
              <w:t>11</w:t>
            </w:r>
          </w:p>
        </w:tc>
        <w:tc>
          <w:tcPr>
            <w:tcW w:w="4510" w:type="dxa"/>
            <w:vAlign w:val="top"/>
          </w:tcPr>
          <w:p>
            <w:pPr>
              <w:snapToGrid w:val="0"/>
              <w:spacing w:line="240" w:lineRule="auto"/>
              <w:ind w:firstLine="0" w:firstLineChars="0"/>
              <w:rPr>
                <w:rFonts w:ascii="宋体" w:hAnsi="宋体"/>
                <w:sz w:val="24"/>
                <w:szCs w:val="24"/>
              </w:rPr>
            </w:pPr>
            <w:r>
              <w:rPr>
                <w:rFonts w:hint="eastAsia"/>
                <w:sz w:val="24"/>
                <w:szCs w:val="24"/>
              </w:rPr>
              <w:t>小林镇</w:t>
            </w:r>
          </w:p>
        </w:tc>
        <w:tc>
          <w:tcPr>
            <w:tcW w:w="2853" w:type="dxa"/>
            <w:tcBorders>
              <w:right w:val="nil"/>
            </w:tcBorders>
            <w:vAlign w:val="top"/>
          </w:tcPr>
          <w:p>
            <w:pPr>
              <w:snapToGrid w:val="0"/>
              <w:spacing w:line="240" w:lineRule="auto"/>
              <w:ind w:firstLine="0" w:firstLineChars="0"/>
              <w:jc w:val="center"/>
              <w:rPr>
                <w:rFonts w:ascii="宋体" w:hAnsi="宋体"/>
                <w:sz w:val="24"/>
                <w:szCs w:val="24"/>
              </w:rPr>
            </w:pPr>
            <w:r>
              <w:rPr>
                <w:rFonts w:hint="eastAsia"/>
                <w:sz w:val="24"/>
                <w:szCs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59" w:type="dxa"/>
            <w:tcBorders>
              <w:left w:val="nil"/>
            </w:tcBorders>
            <w:vAlign w:val="top"/>
          </w:tcPr>
          <w:p>
            <w:pPr>
              <w:snapToGrid w:val="0"/>
              <w:spacing w:line="240" w:lineRule="auto"/>
              <w:ind w:firstLine="0" w:firstLineChars="0"/>
              <w:jc w:val="center"/>
              <w:rPr>
                <w:rFonts w:ascii="宋体" w:hAnsi="宋体"/>
                <w:sz w:val="24"/>
                <w:szCs w:val="24"/>
              </w:rPr>
            </w:pPr>
            <w:r>
              <w:rPr>
                <w:rFonts w:hint="eastAsia"/>
                <w:sz w:val="24"/>
                <w:szCs w:val="24"/>
              </w:rPr>
              <w:t>12</w:t>
            </w:r>
          </w:p>
        </w:tc>
        <w:tc>
          <w:tcPr>
            <w:tcW w:w="4510" w:type="dxa"/>
            <w:vAlign w:val="top"/>
          </w:tcPr>
          <w:p>
            <w:pPr>
              <w:snapToGrid w:val="0"/>
              <w:spacing w:line="240" w:lineRule="auto"/>
              <w:ind w:firstLine="0" w:firstLineChars="0"/>
              <w:rPr>
                <w:rFonts w:ascii="宋体" w:hAnsi="宋体"/>
                <w:sz w:val="24"/>
                <w:szCs w:val="24"/>
              </w:rPr>
            </w:pPr>
            <w:r>
              <w:rPr>
                <w:rFonts w:hint="eastAsia"/>
                <w:sz w:val="24"/>
                <w:szCs w:val="24"/>
              </w:rPr>
              <w:t>虎峰镇</w:t>
            </w:r>
          </w:p>
        </w:tc>
        <w:tc>
          <w:tcPr>
            <w:tcW w:w="2853" w:type="dxa"/>
            <w:tcBorders>
              <w:right w:val="nil"/>
            </w:tcBorders>
            <w:vAlign w:val="top"/>
          </w:tcPr>
          <w:p>
            <w:pPr>
              <w:snapToGrid w:val="0"/>
              <w:spacing w:line="240" w:lineRule="auto"/>
              <w:ind w:firstLine="0" w:firstLineChars="0"/>
              <w:jc w:val="center"/>
              <w:rPr>
                <w:rFonts w:ascii="宋体" w:hAnsi="宋体"/>
                <w:sz w:val="24"/>
                <w:szCs w:val="24"/>
              </w:rPr>
            </w:pPr>
            <w:r>
              <w:rPr>
                <w:rFonts w:hint="eastAsia"/>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59" w:type="dxa"/>
            <w:tcBorders>
              <w:left w:val="nil"/>
            </w:tcBorders>
            <w:vAlign w:val="top"/>
          </w:tcPr>
          <w:p>
            <w:pPr>
              <w:snapToGrid w:val="0"/>
              <w:spacing w:line="240" w:lineRule="auto"/>
              <w:ind w:firstLine="0" w:firstLineChars="0"/>
              <w:jc w:val="center"/>
              <w:rPr>
                <w:rFonts w:ascii="宋体" w:hAnsi="宋体"/>
                <w:sz w:val="24"/>
                <w:szCs w:val="24"/>
              </w:rPr>
            </w:pPr>
            <w:r>
              <w:rPr>
                <w:rFonts w:hint="eastAsia"/>
                <w:sz w:val="24"/>
                <w:szCs w:val="24"/>
              </w:rPr>
              <w:t>13</w:t>
            </w:r>
          </w:p>
        </w:tc>
        <w:tc>
          <w:tcPr>
            <w:tcW w:w="4510" w:type="dxa"/>
            <w:vAlign w:val="top"/>
          </w:tcPr>
          <w:p>
            <w:pPr>
              <w:snapToGrid w:val="0"/>
              <w:spacing w:line="240" w:lineRule="auto"/>
              <w:ind w:firstLine="0" w:firstLineChars="0"/>
              <w:rPr>
                <w:rFonts w:ascii="宋体" w:hAnsi="宋体"/>
                <w:sz w:val="24"/>
                <w:szCs w:val="24"/>
              </w:rPr>
            </w:pPr>
            <w:r>
              <w:rPr>
                <w:rFonts w:hint="eastAsia"/>
                <w:sz w:val="24"/>
                <w:szCs w:val="24"/>
              </w:rPr>
              <w:t>少云镇</w:t>
            </w:r>
          </w:p>
        </w:tc>
        <w:tc>
          <w:tcPr>
            <w:tcW w:w="2853" w:type="dxa"/>
            <w:tcBorders>
              <w:right w:val="nil"/>
            </w:tcBorders>
            <w:vAlign w:val="top"/>
          </w:tcPr>
          <w:p>
            <w:pPr>
              <w:snapToGrid w:val="0"/>
              <w:spacing w:line="240" w:lineRule="auto"/>
              <w:ind w:firstLine="0" w:firstLineChars="0"/>
              <w:jc w:val="center"/>
              <w:rPr>
                <w:rFonts w:ascii="宋体" w:hAnsi="宋体"/>
                <w:sz w:val="24"/>
                <w:szCs w:val="24"/>
              </w:rPr>
            </w:pPr>
            <w:r>
              <w:rPr>
                <w:rFonts w:hint="eastAsia"/>
                <w:sz w:val="24"/>
                <w:szCs w:val="24"/>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59" w:type="dxa"/>
            <w:tcBorders>
              <w:left w:val="nil"/>
            </w:tcBorders>
            <w:vAlign w:val="top"/>
          </w:tcPr>
          <w:p>
            <w:pPr>
              <w:snapToGrid w:val="0"/>
              <w:spacing w:line="240" w:lineRule="auto"/>
              <w:ind w:firstLine="0" w:firstLineChars="0"/>
              <w:jc w:val="center"/>
              <w:rPr>
                <w:rFonts w:ascii="宋体" w:hAnsi="宋体"/>
                <w:sz w:val="24"/>
                <w:szCs w:val="24"/>
              </w:rPr>
            </w:pPr>
            <w:r>
              <w:rPr>
                <w:rFonts w:hint="eastAsia"/>
                <w:sz w:val="24"/>
                <w:szCs w:val="24"/>
              </w:rPr>
              <w:t>14</w:t>
            </w:r>
          </w:p>
        </w:tc>
        <w:tc>
          <w:tcPr>
            <w:tcW w:w="4510" w:type="dxa"/>
            <w:vAlign w:val="top"/>
          </w:tcPr>
          <w:p>
            <w:pPr>
              <w:snapToGrid w:val="0"/>
              <w:spacing w:line="240" w:lineRule="auto"/>
              <w:ind w:firstLine="0" w:firstLineChars="0"/>
              <w:rPr>
                <w:rFonts w:ascii="宋体" w:hAnsi="宋体"/>
                <w:sz w:val="24"/>
                <w:szCs w:val="24"/>
              </w:rPr>
            </w:pPr>
            <w:r>
              <w:rPr>
                <w:rFonts w:hint="eastAsia"/>
                <w:sz w:val="24"/>
                <w:szCs w:val="24"/>
              </w:rPr>
              <w:t>侣俸镇</w:t>
            </w:r>
          </w:p>
        </w:tc>
        <w:tc>
          <w:tcPr>
            <w:tcW w:w="2853" w:type="dxa"/>
            <w:tcBorders>
              <w:right w:val="nil"/>
            </w:tcBorders>
            <w:vAlign w:val="top"/>
          </w:tcPr>
          <w:p>
            <w:pPr>
              <w:snapToGrid w:val="0"/>
              <w:spacing w:line="240" w:lineRule="auto"/>
              <w:ind w:firstLine="0" w:firstLineChars="0"/>
              <w:jc w:val="center"/>
              <w:rPr>
                <w:rFonts w:ascii="宋体" w:hAnsi="宋体"/>
                <w:sz w:val="24"/>
                <w:szCs w:val="24"/>
              </w:rPr>
            </w:pPr>
            <w:r>
              <w:rPr>
                <w:rFonts w:hint="eastAsia"/>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59" w:type="dxa"/>
            <w:tcBorders>
              <w:left w:val="nil"/>
            </w:tcBorders>
            <w:vAlign w:val="top"/>
          </w:tcPr>
          <w:p>
            <w:pPr>
              <w:snapToGrid w:val="0"/>
              <w:spacing w:line="240" w:lineRule="auto"/>
              <w:ind w:firstLine="0" w:firstLineChars="0"/>
              <w:jc w:val="center"/>
              <w:rPr>
                <w:rFonts w:ascii="宋体" w:hAnsi="宋体"/>
                <w:sz w:val="24"/>
                <w:szCs w:val="24"/>
              </w:rPr>
            </w:pPr>
            <w:r>
              <w:rPr>
                <w:rFonts w:hint="eastAsia"/>
                <w:sz w:val="24"/>
                <w:szCs w:val="24"/>
              </w:rPr>
              <w:t>15</w:t>
            </w:r>
          </w:p>
        </w:tc>
        <w:tc>
          <w:tcPr>
            <w:tcW w:w="4510" w:type="dxa"/>
            <w:vAlign w:val="top"/>
          </w:tcPr>
          <w:p>
            <w:pPr>
              <w:snapToGrid w:val="0"/>
              <w:spacing w:line="240" w:lineRule="auto"/>
              <w:ind w:firstLine="0" w:firstLineChars="0"/>
              <w:rPr>
                <w:rFonts w:ascii="宋体" w:hAnsi="宋体"/>
                <w:sz w:val="24"/>
                <w:szCs w:val="24"/>
              </w:rPr>
            </w:pPr>
            <w:r>
              <w:rPr>
                <w:rFonts w:hint="eastAsia"/>
                <w:sz w:val="24"/>
                <w:szCs w:val="24"/>
              </w:rPr>
              <w:t>围龙镇</w:t>
            </w:r>
          </w:p>
        </w:tc>
        <w:tc>
          <w:tcPr>
            <w:tcW w:w="2853" w:type="dxa"/>
            <w:tcBorders>
              <w:right w:val="nil"/>
            </w:tcBorders>
            <w:vAlign w:val="top"/>
          </w:tcPr>
          <w:p>
            <w:pPr>
              <w:snapToGrid w:val="0"/>
              <w:spacing w:line="240" w:lineRule="auto"/>
              <w:ind w:firstLine="0" w:firstLineChars="0"/>
              <w:jc w:val="center"/>
              <w:rPr>
                <w:rFonts w:ascii="宋体" w:hAnsi="宋体"/>
                <w:sz w:val="24"/>
                <w:szCs w:val="24"/>
              </w:rPr>
            </w:pPr>
            <w:r>
              <w:rPr>
                <w:rFonts w:hint="eastAsia"/>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59" w:type="dxa"/>
            <w:tcBorders>
              <w:left w:val="nil"/>
            </w:tcBorders>
            <w:vAlign w:val="top"/>
          </w:tcPr>
          <w:p>
            <w:pPr>
              <w:snapToGrid w:val="0"/>
              <w:spacing w:line="240" w:lineRule="auto"/>
              <w:ind w:firstLine="0" w:firstLineChars="0"/>
              <w:jc w:val="center"/>
              <w:rPr>
                <w:rFonts w:ascii="宋体" w:hAnsi="宋体"/>
                <w:sz w:val="24"/>
                <w:szCs w:val="24"/>
              </w:rPr>
            </w:pPr>
            <w:r>
              <w:rPr>
                <w:rFonts w:hint="eastAsia"/>
                <w:sz w:val="24"/>
                <w:szCs w:val="24"/>
              </w:rPr>
              <w:t>16</w:t>
            </w:r>
          </w:p>
        </w:tc>
        <w:tc>
          <w:tcPr>
            <w:tcW w:w="4510" w:type="dxa"/>
            <w:vAlign w:val="top"/>
          </w:tcPr>
          <w:p>
            <w:pPr>
              <w:snapToGrid w:val="0"/>
              <w:spacing w:line="240" w:lineRule="auto"/>
              <w:ind w:firstLine="0" w:firstLineChars="0"/>
              <w:rPr>
                <w:rFonts w:ascii="宋体" w:hAnsi="宋体"/>
                <w:sz w:val="24"/>
                <w:szCs w:val="24"/>
              </w:rPr>
            </w:pPr>
            <w:r>
              <w:rPr>
                <w:rFonts w:hint="eastAsia"/>
                <w:sz w:val="24"/>
                <w:szCs w:val="24"/>
              </w:rPr>
              <w:t>石鱼镇</w:t>
            </w:r>
          </w:p>
        </w:tc>
        <w:tc>
          <w:tcPr>
            <w:tcW w:w="2853" w:type="dxa"/>
            <w:tcBorders>
              <w:right w:val="nil"/>
            </w:tcBorders>
            <w:vAlign w:val="top"/>
          </w:tcPr>
          <w:p>
            <w:pPr>
              <w:snapToGrid w:val="0"/>
              <w:spacing w:line="240" w:lineRule="auto"/>
              <w:ind w:firstLine="0" w:firstLineChars="0"/>
              <w:jc w:val="center"/>
              <w:rPr>
                <w:rFonts w:ascii="宋体" w:hAnsi="宋体"/>
                <w:sz w:val="24"/>
                <w:szCs w:val="24"/>
              </w:rPr>
            </w:pPr>
            <w:r>
              <w:rPr>
                <w:rFonts w:hint="eastAsia"/>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59" w:type="dxa"/>
            <w:tcBorders>
              <w:left w:val="nil"/>
            </w:tcBorders>
            <w:vAlign w:val="top"/>
          </w:tcPr>
          <w:p>
            <w:pPr>
              <w:snapToGrid w:val="0"/>
              <w:spacing w:line="240" w:lineRule="auto"/>
              <w:ind w:firstLine="0" w:firstLineChars="0"/>
              <w:jc w:val="center"/>
              <w:rPr>
                <w:rFonts w:ascii="宋体" w:hAnsi="宋体"/>
                <w:sz w:val="24"/>
                <w:szCs w:val="24"/>
              </w:rPr>
            </w:pPr>
            <w:r>
              <w:rPr>
                <w:rFonts w:hint="eastAsia"/>
                <w:sz w:val="24"/>
                <w:szCs w:val="24"/>
              </w:rPr>
              <w:t>17</w:t>
            </w:r>
          </w:p>
        </w:tc>
        <w:tc>
          <w:tcPr>
            <w:tcW w:w="4510" w:type="dxa"/>
            <w:vAlign w:val="top"/>
          </w:tcPr>
          <w:p>
            <w:pPr>
              <w:snapToGrid w:val="0"/>
              <w:spacing w:line="240" w:lineRule="auto"/>
              <w:ind w:firstLine="0" w:firstLineChars="0"/>
              <w:rPr>
                <w:rFonts w:ascii="宋体" w:hAnsi="宋体"/>
                <w:sz w:val="24"/>
                <w:szCs w:val="24"/>
              </w:rPr>
            </w:pPr>
            <w:r>
              <w:rPr>
                <w:rFonts w:hint="eastAsia"/>
                <w:sz w:val="24"/>
                <w:szCs w:val="24"/>
              </w:rPr>
              <w:t>太平镇</w:t>
            </w:r>
          </w:p>
        </w:tc>
        <w:tc>
          <w:tcPr>
            <w:tcW w:w="2853" w:type="dxa"/>
            <w:tcBorders>
              <w:right w:val="nil"/>
            </w:tcBorders>
            <w:vAlign w:val="top"/>
          </w:tcPr>
          <w:p>
            <w:pPr>
              <w:snapToGrid w:val="0"/>
              <w:spacing w:line="240" w:lineRule="auto"/>
              <w:ind w:firstLine="0" w:firstLineChars="0"/>
              <w:jc w:val="center"/>
              <w:rPr>
                <w:rFonts w:ascii="宋体" w:hAnsi="宋体"/>
                <w:sz w:val="24"/>
                <w:szCs w:val="24"/>
              </w:rPr>
            </w:pPr>
            <w:r>
              <w:rPr>
                <w:rFonts w:hint="eastAsia"/>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59" w:type="dxa"/>
            <w:tcBorders>
              <w:left w:val="nil"/>
            </w:tcBorders>
            <w:vAlign w:val="top"/>
          </w:tcPr>
          <w:p>
            <w:pPr>
              <w:snapToGrid w:val="0"/>
              <w:spacing w:line="240" w:lineRule="auto"/>
              <w:ind w:firstLine="0" w:firstLineChars="0"/>
              <w:jc w:val="center"/>
              <w:rPr>
                <w:rFonts w:ascii="宋体" w:hAnsi="宋体"/>
                <w:sz w:val="24"/>
                <w:szCs w:val="24"/>
              </w:rPr>
            </w:pPr>
            <w:r>
              <w:rPr>
                <w:rFonts w:hint="eastAsia"/>
                <w:sz w:val="24"/>
                <w:szCs w:val="24"/>
              </w:rPr>
              <w:t>18</w:t>
            </w:r>
          </w:p>
        </w:tc>
        <w:tc>
          <w:tcPr>
            <w:tcW w:w="4510" w:type="dxa"/>
            <w:vAlign w:val="top"/>
          </w:tcPr>
          <w:p>
            <w:pPr>
              <w:snapToGrid w:val="0"/>
              <w:spacing w:line="240" w:lineRule="auto"/>
              <w:ind w:firstLine="0" w:firstLineChars="0"/>
              <w:rPr>
                <w:rFonts w:ascii="宋体" w:hAnsi="宋体"/>
                <w:sz w:val="24"/>
                <w:szCs w:val="24"/>
              </w:rPr>
            </w:pPr>
            <w:r>
              <w:rPr>
                <w:rFonts w:hint="eastAsia"/>
                <w:sz w:val="24"/>
                <w:szCs w:val="24"/>
              </w:rPr>
              <w:t>永嘉镇</w:t>
            </w:r>
          </w:p>
        </w:tc>
        <w:tc>
          <w:tcPr>
            <w:tcW w:w="2853" w:type="dxa"/>
            <w:tcBorders>
              <w:right w:val="nil"/>
            </w:tcBorders>
            <w:vAlign w:val="top"/>
          </w:tcPr>
          <w:p>
            <w:pPr>
              <w:snapToGrid w:val="0"/>
              <w:spacing w:line="240" w:lineRule="auto"/>
              <w:ind w:firstLine="0" w:firstLineChars="0"/>
              <w:jc w:val="center"/>
              <w:rPr>
                <w:rFonts w:ascii="宋体" w:hAnsi="宋体"/>
                <w:sz w:val="24"/>
                <w:szCs w:val="24"/>
              </w:rPr>
            </w:pPr>
            <w:r>
              <w:rPr>
                <w:rFonts w:hint="eastAsia"/>
                <w:sz w:val="24"/>
                <w:szCs w:val="24"/>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59" w:type="dxa"/>
            <w:tcBorders>
              <w:left w:val="nil"/>
            </w:tcBorders>
            <w:vAlign w:val="top"/>
          </w:tcPr>
          <w:p>
            <w:pPr>
              <w:snapToGrid w:val="0"/>
              <w:spacing w:line="240" w:lineRule="auto"/>
              <w:ind w:firstLine="0" w:firstLineChars="0"/>
              <w:jc w:val="center"/>
              <w:rPr>
                <w:rFonts w:ascii="宋体" w:hAnsi="宋体"/>
                <w:sz w:val="24"/>
                <w:szCs w:val="24"/>
              </w:rPr>
            </w:pPr>
            <w:r>
              <w:rPr>
                <w:rFonts w:hint="eastAsia"/>
                <w:sz w:val="24"/>
                <w:szCs w:val="24"/>
              </w:rPr>
              <w:t>19</w:t>
            </w:r>
          </w:p>
        </w:tc>
        <w:tc>
          <w:tcPr>
            <w:tcW w:w="4510" w:type="dxa"/>
            <w:vAlign w:val="top"/>
          </w:tcPr>
          <w:p>
            <w:pPr>
              <w:snapToGrid w:val="0"/>
              <w:spacing w:line="240" w:lineRule="auto"/>
              <w:ind w:firstLine="0" w:firstLineChars="0"/>
              <w:rPr>
                <w:rFonts w:ascii="宋体" w:hAnsi="宋体"/>
                <w:sz w:val="24"/>
                <w:szCs w:val="24"/>
              </w:rPr>
            </w:pPr>
            <w:r>
              <w:rPr>
                <w:rFonts w:hint="eastAsia"/>
                <w:sz w:val="24"/>
                <w:szCs w:val="24"/>
              </w:rPr>
              <w:t>西河镇</w:t>
            </w:r>
          </w:p>
        </w:tc>
        <w:tc>
          <w:tcPr>
            <w:tcW w:w="2853" w:type="dxa"/>
            <w:tcBorders>
              <w:right w:val="nil"/>
            </w:tcBorders>
            <w:vAlign w:val="top"/>
          </w:tcPr>
          <w:p>
            <w:pPr>
              <w:snapToGrid w:val="0"/>
              <w:spacing w:line="240" w:lineRule="auto"/>
              <w:ind w:firstLine="0" w:firstLineChars="0"/>
              <w:jc w:val="center"/>
              <w:rPr>
                <w:rFonts w:ascii="宋体" w:hAnsi="宋体"/>
                <w:sz w:val="24"/>
                <w:szCs w:val="24"/>
              </w:rPr>
            </w:pPr>
            <w:r>
              <w:rPr>
                <w:rFonts w:hint="eastAsia"/>
                <w:sz w:val="24"/>
                <w:szCs w:val="24"/>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59" w:type="dxa"/>
            <w:tcBorders>
              <w:left w:val="nil"/>
            </w:tcBorders>
            <w:vAlign w:val="top"/>
          </w:tcPr>
          <w:p>
            <w:pPr>
              <w:snapToGrid w:val="0"/>
              <w:spacing w:line="240" w:lineRule="auto"/>
              <w:ind w:firstLine="0" w:firstLineChars="0"/>
              <w:jc w:val="center"/>
              <w:rPr>
                <w:rFonts w:ascii="宋体" w:hAnsi="宋体"/>
                <w:sz w:val="24"/>
                <w:szCs w:val="24"/>
              </w:rPr>
            </w:pPr>
            <w:r>
              <w:rPr>
                <w:rFonts w:hint="eastAsia"/>
                <w:sz w:val="24"/>
                <w:szCs w:val="24"/>
              </w:rPr>
              <w:t>20</w:t>
            </w:r>
          </w:p>
        </w:tc>
        <w:tc>
          <w:tcPr>
            <w:tcW w:w="4510" w:type="dxa"/>
            <w:vAlign w:val="top"/>
          </w:tcPr>
          <w:p>
            <w:pPr>
              <w:snapToGrid w:val="0"/>
              <w:spacing w:line="240" w:lineRule="auto"/>
              <w:ind w:firstLine="0" w:firstLineChars="0"/>
              <w:rPr>
                <w:rFonts w:ascii="宋体" w:hAnsi="宋体"/>
                <w:sz w:val="24"/>
                <w:szCs w:val="24"/>
              </w:rPr>
            </w:pPr>
            <w:r>
              <w:rPr>
                <w:rFonts w:hint="eastAsia"/>
                <w:sz w:val="24"/>
                <w:szCs w:val="24"/>
              </w:rPr>
              <w:t>福果镇</w:t>
            </w:r>
          </w:p>
        </w:tc>
        <w:tc>
          <w:tcPr>
            <w:tcW w:w="2853" w:type="dxa"/>
            <w:tcBorders>
              <w:right w:val="nil"/>
            </w:tcBorders>
            <w:vAlign w:val="top"/>
          </w:tcPr>
          <w:p>
            <w:pPr>
              <w:snapToGrid w:val="0"/>
              <w:spacing w:line="240" w:lineRule="auto"/>
              <w:ind w:firstLine="0" w:firstLineChars="0"/>
              <w:jc w:val="center"/>
              <w:rPr>
                <w:rFonts w:ascii="宋体" w:hAnsi="宋体"/>
                <w:sz w:val="24"/>
                <w:szCs w:val="24"/>
              </w:rPr>
            </w:pPr>
            <w:r>
              <w:rPr>
                <w:rFonts w:hint="eastAsia"/>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59" w:type="dxa"/>
            <w:tcBorders>
              <w:left w:val="nil"/>
            </w:tcBorders>
            <w:vAlign w:val="top"/>
          </w:tcPr>
          <w:p>
            <w:pPr>
              <w:snapToGrid w:val="0"/>
              <w:spacing w:line="240" w:lineRule="auto"/>
              <w:ind w:firstLine="0" w:firstLineChars="0"/>
              <w:jc w:val="center"/>
              <w:rPr>
                <w:rFonts w:ascii="宋体" w:hAnsi="宋体"/>
                <w:sz w:val="24"/>
                <w:szCs w:val="24"/>
              </w:rPr>
            </w:pPr>
            <w:r>
              <w:rPr>
                <w:rFonts w:hint="eastAsia"/>
                <w:sz w:val="24"/>
                <w:szCs w:val="24"/>
              </w:rPr>
              <w:t>21</w:t>
            </w:r>
          </w:p>
        </w:tc>
        <w:tc>
          <w:tcPr>
            <w:tcW w:w="4510" w:type="dxa"/>
            <w:vAlign w:val="top"/>
          </w:tcPr>
          <w:p>
            <w:pPr>
              <w:snapToGrid w:val="0"/>
              <w:spacing w:line="240" w:lineRule="auto"/>
              <w:ind w:firstLine="0" w:firstLineChars="0"/>
              <w:rPr>
                <w:rFonts w:ascii="宋体" w:hAnsi="宋体"/>
                <w:sz w:val="24"/>
                <w:szCs w:val="24"/>
              </w:rPr>
            </w:pPr>
            <w:r>
              <w:rPr>
                <w:rFonts w:hint="eastAsia"/>
                <w:sz w:val="24"/>
                <w:szCs w:val="24"/>
              </w:rPr>
              <w:t>庆隆镇</w:t>
            </w:r>
          </w:p>
        </w:tc>
        <w:tc>
          <w:tcPr>
            <w:tcW w:w="2853" w:type="dxa"/>
            <w:tcBorders>
              <w:right w:val="nil"/>
            </w:tcBorders>
            <w:vAlign w:val="top"/>
          </w:tcPr>
          <w:p>
            <w:pPr>
              <w:snapToGrid w:val="0"/>
              <w:spacing w:line="240" w:lineRule="auto"/>
              <w:ind w:firstLine="0" w:firstLineChars="0"/>
              <w:jc w:val="center"/>
              <w:rPr>
                <w:rFonts w:ascii="宋体" w:hAnsi="宋体"/>
                <w:sz w:val="24"/>
                <w:szCs w:val="24"/>
              </w:rPr>
            </w:pPr>
            <w:r>
              <w:rPr>
                <w:rFonts w:hint="eastAsia"/>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59" w:type="dxa"/>
            <w:tcBorders>
              <w:left w:val="nil"/>
            </w:tcBorders>
            <w:vAlign w:val="top"/>
          </w:tcPr>
          <w:p>
            <w:pPr>
              <w:snapToGrid w:val="0"/>
              <w:spacing w:line="240" w:lineRule="auto"/>
              <w:ind w:firstLine="0" w:firstLineChars="0"/>
              <w:jc w:val="center"/>
              <w:rPr>
                <w:rFonts w:ascii="宋体" w:hAnsi="宋体"/>
                <w:sz w:val="24"/>
                <w:szCs w:val="24"/>
              </w:rPr>
            </w:pPr>
            <w:r>
              <w:rPr>
                <w:rFonts w:hint="eastAsia"/>
                <w:sz w:val="24"/>
                <w:szCs w:val="24"/>
              </w:rPr>
              <w:t>22</w:t>
            </w:r>
          </w:p>
        </w:tc>
        <w:tc>
          <w:tcPr>
            <w:tcW w:w="4510" w:type="dxa"/>
            <w:vAlign w:val="top"/>
          </w:tcPr>
          <w:p>
            <w:pPr>
              <w:snapToGrid w:val="0"/>
              <w:spacing w:line="240" w:lineRule="auto"/>
              <w:ind w:firstLine="0" w:firstLineChars="0"/>
              <w:rPr>
                <w:rFonts w:ascii="宋体" w:hAnsi="宋体"/>
                <w:sz w:val="24"/>
                <w:szCs w:val="24"/>
              </w:rPr>
            </w:pPr>
            <w:r>
              <w:rPr>
                <w:rFonts w:hint="eastAsia"/>
                <w:sz w:val="24"/>
                <w:szCs w:val="24"/>
              </w:rPr>
              <w:t>维新镇</w:t>
            </w:r>
          </w:p>
        </w:tc>
        <w:tc>
          <w:tcPr>
            <w:tcW w:w="2853" w:type="dxa"/>
            <w:tcBorders>
              <w:right w:val="nil"/>
            </w:tcBorders>
            <w:vAlign w:val="top"/>
          </w:tcPr>
          <w:p>
            <w:pPr>
              <w:snapToGrid w:val="0"/>
              <w:spacing w:line="240" w:lineRule="auto"/>
              <w:ind w:firstLine="0" w:firstLineChars="0"/>
              <w:jc w:val="center"/>
              <w:rPr>
                <w:rFonts w:ascii="宋体" w:hAnsi="宋体"/>
                <w:sz w:val="24"/>
                <w:szCs w:val="24"/>
              </w:rPr>
            </w:pPr>
            <w:r>
              <w:rPr>
                <w:rFonts w:hint="eastAsia"/>
                <w:sz w:val="24"/>
                <w:szCs w:val="24"/>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59" w:type="dxa"/>
            <w:tcBorders>
              <w:left w:val="nil"/>
            </w:tcBorders>
            <w:vAlign w:val="top"/>
          </w:tcPr>
          <w:p>
            <w:pPr>
              <w:snapToGrid w:val="0"/>
              <w:spacing w:line="240" w:lineRule="auto"/>
              <w:ind w:firstLine="0" w:firstLineChars="0"/>
              <w:jc w:val="center"/>
              <w:rPr>
                <w:rFonts w:ascii="宋体" w:hAnsi="宋体"/>
                <w:sz w:val="24"/>
                <w:szCs w:val="24"/>
              </w:rPr>
            </w:pPr>
            <w:r>
              <w:rPr>
                <w:rFonts w:hint="eastAsia"/>
                <w:sz w:val="24"/>
                <w:szCs w:val="24"/>
              </w:rPr>
              <w:t>23</w:t>
            </w:r>
          </w:p>
        </w:tc>
        <w:tc>
          <w:tcPr>
            <w:tcW w:w="4510" w:type="dxa"/>
            <w:vAlign w:val="top"/>
          </w:tcPr>
          <w:p>
            <w:pPr>
              <w:snapToGrid w:val="0"/>
              <w:spacing w:line="240" w:lineRule="auto"/>
              <w:ind w:firstLine="0" w:firstLineChars="0"/>
              <w:rPr>
                <w:rFonts w:ascii="宋体" w:hAnsi="宋体"/>
                <w:sz w:val="24"/>
                <w:szCs w:val="24"/>
              </w:rPr>
            </w:pPr>
            <w:r>
              <w:rPr>
                <w:rFonts w:hint="eastAsia"/>
                <w:sz w:val="24"/>
                <w:szCs w:val="24"/>
              </w:rPr>
              <w:t>安溪镇</w:t>
            </w:r>
          </w:p>
        </w:tc>
        <w:tc>
          <w:tcPr>
            <w:tcW w:w="2853" w:type="dxa"/>
            <w:tcBorders>
              <w:right w:val="nil"/>
            </w:tcBorders>
            <w:vAlign w:val="top"/>
          </w:tcPr>
          <w:p>
            <w:pPr>
              <w:snapToGrid w:val="0"/>
              <w:spacing w:line="240" w:lineRule="auto"/>
              <w:ind w:firstLine="0" w:firstLineChars="0"/>
              <w:jc w:val="center"/>
              <w:rPr>
                <w:rFonts w:ascii="宋体" w:hAnsi="宋体"/>
                <w:sz w:val="24"/>
                <w:szCs w:val="24"/>
              </w:rPr>
            </w:pPr>
            <w:r>
              <w:rPr>
                <w:rFonts w:hint="eastAsia"/>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59" w:type="dxa"/>
            <w:tcBorders>
              <w:left w:val="nil"/>
            </w:tcBorders>
            <w:vAlign w:val="top"/>
          </w:tcPr>
          <w:p>
            <w:pPr>
              <w:snapToGrid w:val="0"/>
              <w:spacing w:line="240" w:lineRule="auto"/>
              <w:ind w:firstLine="0" w:firstLineChars="0"/>
              <w:jc w:val="center"/>
              <w:rPr>
                <w:rFonts w:ascii="宋体" w:hAnsi="宋体"/>
                <w:sz w:val="24"/>
                <w:szCs w:val="24"/>
              </w:rPr>
            </w:pPr>
            <w:r>
              <w:rPr>
                <w:rFonts w:hint="eastAsia"/>
                <w:sz w:val="24"/>
                <w:szCs w:val="24"/>
              </w:rPr>
              <w:t>24</w:t>
            </w:r>
          </w:p>
        </w:tc>
        <w:tc>
          <w:tcPr>
            <w:tcW w:w="4510" w:type="dxa"/>
            <w:vAlign w:val="top"/>
          </w:tcPr>
          <w:p>
            <w:pPr>
              <w:snapToGrid w:val="0"/>
              <w:spacing w:line="240" w:lineRule="auto"/>
              <w:ind w:firstLine="0" w:firstLineChars="0"/>
              <w:rPr>
                <w:rFonts w:ascii="宋体" w:hAnsi="宋体"/>
                <w:sz w:val="24"/>
                <w:szCs w:val="24"/>
              </w:rPr>
            </w:pPr>
            <w:r>
              <w:rPr>
                <w:rFonts w:hint="eastAsia"/>
                <w:sz w:val="24"/>
                <w:szCs w:val="24"/>
              </w:rPr>
              <w:t>高楼镇</w:t>
            </w:r>
          </w:p>
        </w:tc>
        <w:tc>
          <w:tcPr>
            <w:tcW w:w="2853" w:type="dxa"/>
            <w:tcBorders>
              <w:right w:val="nil"/>
            </w:tcBorders>
            <w:vAlign w:val="top"/>
          </w:tcPr>
          <w:p>
            <w:pPr>
              <w:snapToGrid w:val="0"/>
              <w:spacing w:line="240" w:lineRule="auto"/>
              <w:ind w:firstLine="0" w:firstLineChars="0"/>
              <w:jc w:val="center"/>
              <w:rPr>
                <w:rFonts w:ascii="宋体" w:hAnsi="宋体"/>
                <w:sz w:val="24"/>
                <w:szCs w:val="24"/>
              </w:rPr>
            </w:pPr>
            <w:r>
              <w:rPr>
                <w:rFonts w:hint="eastAsia"/>
                <w:sz w:val="24"/>
                <w:szCs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59" w:type="dxa"/>
            <w:tcBorders>
              <w:left w:val="nil"/>
            </w:tcBorders>
            <w:vAlign w:val="top"/>
          </w:tcPr>
          <w:p>
            <w:pPr>
              <w:snapToGrid w:val="0"/>
              <w:spacing w:line="240" w:lineRule="auto"/>
              <w:ind w:firstLine="0" w:firstLineChars="0"/>
              <w:jc w:val="center"/>
              <w:rPr>
                <w:rFonts w:ascii="宋体" w:hAnsi="宋体"/>
                <w:sz w:val="24"/>
                <w:szCs w:val="24"/>
              </w:rPr>
            </w:pPr>
            <w:r>
              <w:rPr>
                <w:rFonts w:hint="eastAsia"/>
                <w:sz w:val="24"/>
                <w:szCs w:val="24"/>
              </w:rPr>
              <w:t>25</w:t>
            </w:r>
          </w:p>
        </w:tc>
        <w:tc>
          <w:tcPr>
            <w:tcW w:w="4510" w:type="dxa"/>
            <w:vAlign w:val="top"/>
          </w:tcPr>
          <w:p>
            <w:pPr>
              <w:snapToGrid w:val="0"/>
              <w:spacing w:line="240" w:lineRule="auto"/>
              <w:ind w:firstLine="0" w:firstLineChars="0"/>
              <w:rPr>
                <w:rFonts w:ascii="宋体" w:hAnsi="宋体"/>
                <w:sz w:val="24"/>
                <w:szCs w:val="24"/>
              </w:rPr>
            </w:pPr>
            <w:r>
              <w:rPr>
                <w:rFonts w:hint="eastAsia"/>
                <w:sz w:val="24"/>
                <w:szCs w:val="24"/>
              </w:rPr>
              <w:t>华兴镇</w:t>
            </w:r>
          </w:p>
        </w:tc>
        <w:tc>
          <w:tcPr>
            <w:tcW w:w="2853" w:type="dxa"/>
            <w:tcBorders>
              <w:right w:val="nil"/>
            </w:tcBorders>
            <w:vAlign w:val="top"/>
          </w:tcPr>
          <w:p>
            <w:pPr>
              <w:snapToGrid w:val="0"/>
              <w:spacing w:line="240" w:lineRule="auto"/>
              <w:ind w:firstLine="0" w:firstLineChars="0"/>
              <w:jc w:val="center"/>
              <w:rPr>
                <w:rFonts w:ascii="宋体" w:hAnsi="宋体"/>
                <w:sz w:val="24"/>
                <w:szCs w:val="24"/>
              </w:rPr>
            </w:pPr>
            <w:r>
              <w:rPr>
                <w:rFonts w:hint="eastAsia"/>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59" w:type="dxa"/>
            <w:tcBorders>
              <w:left w:val="nil"/>
              <w:bottom w:val="double" w:color="auto" w:sz="4" w:space="0"/>
            </w:tcBorders>
            <w:vAlign w:val="top"/>
          </w:tcPr>
          <w:p>
            <w:pPr>
              <w:snapToGrid w:val="0"/>
              <w:spacing w:line="240" w:lineRule="auto"/>
              <w:ind w:firstLine="0" w:firstLineChars="0"/>
              <w:jc w:val="center"/>
              <w:rPr>
                <w:rFonts w:ascii="宋体" w:hAnsi="宋体"/>
                <w:sz w:val="24"/>
                <w:szCs w:val="24"/>
              </w:rPr>
            </w:pPr>
            <w:r>
              <w:rPr>
                <w:rFonts w:hint="eastAsia"/>
                <w:sz w:val="24"/>
                <w:szCs w:val="24"/>
              </w:rPr>
              <w:t>合计</w:t>
            </w:r>
          </w:p>
        </w:tc>
        <w:tc>
          <w:tcPr>
            <w:tcW w:w="4510" w:type="dxa"/>
            <w:tcBorders>
              <w:bottom w:val="double" w:color="auto" w:sz="4" w:space="0"/>
            </w:tcBorders>
            <w:vAlign w:val="top"/>
          </w:tcPr>
          <w:p>
            <w:pPr>
              <w:snapToGrid w:val="0"/>
              <w:spacing w:line="240" w:lineRule="auto"/>
              <w:ind w:firstLine="0" w:firstLineChars="0"/>
              <w:rPr>
                <w:rFonts w:ascii="宋体" w:hAnsi="宋体"/>
                <w:sz w:val="24"/>
                <w:szCs w:val="24"/>
              </w:rPr>
            </w:pPr>
          </w:p>
        </w:tc>
        <w:tc>
          <w:tcPr>
            <w:tcW w:w="2853" w:type="dxa"/>
            <w:tcBorders>
              <w:bottom w:val="double" w:color="auto" w:sz="4" w:space="0"/>
              <w:right w:val="nil"/>
            </w:tcBorders>
            <w:vAlign w:val="top"/>
          </w:tcPr>
          <w:p>
            <w:pPr>
              <w:snapToGrid w:val="0"/>
              <w:spacing w:line="240" w:lineRule="auto"/>
              <w:ind w:firstLine="0" w:firstLineChars="0"/>
              <w:jc w:val="center"/>
              <w:rPr>
                <w:rFonts w:ascii="宋体" w:hAnsi="宋体"/>
                <w:sz w:val="24"/>
                <w:szCs w:val="24"/>
              </w:rPr>
            </w:pPr>
            <w:r>
              <w:rPr>
                <w:rFonts w:hint="eastAsia"/>
                <w:sz w:val="24"/>
                <w:szCs w:val="24"/>
              </w:rPr>
              <w:t>119</w:t>
            </w:r>
          </w:p>
        </w:tc>
      </w:tr>
    </w:tbl>
    <w:p>
      <w:pPr>
        <w:snapToGrid w:val="0"/>
        <w:spacing w:line="560" w:lineRule="exact"/>
        <w:ind w:firstLine="560" w:firstLineChars="0"/>
        <w:outlineLvl w:val="0"/>
        <w:rPr>
          <w:rFonts w:ascii="宋体" w:hAnsi="宋体"/>
          <w:bCs/>
          <w:szCs w:val="28"/>
        </w:rPr>
      </w:pPr>
      <w:r>
        <w:rPr>
          <w:rFonts w:hint="eastAsia" w:ascii="宋体" w:hAnsi="宋体"/>
          <w:bCs/>
          <w:szCs w:val="28"/>
        </w:rPr>
        <w:t>根据</w:t>
      </w:r>
      <w:r>
        <w:rPr>
          <w:rFonts w:hint="eastAsia" w:ascii="宋体" w:hAnsi="宋体"/>
          <w:szCs w:val="28"/>
        </w:rPr>
        <w:t>重庆市铜梁区财政局《关于下达2022年第二批新增政府债券资金的通知》（铜财〔2022〕317号），场镇基础设施功能补短板建设项目共下达资金计划1</w:t>
      </w:r>
      <w:r>
        <w:rPr>
          <w:rFonts w:hint="eastAsia" w:ascii="宋体" w:hAnsi="宋体"/>
          <w:szCs w:val="28"/>
          <w:lang w:eastAsia="zh-CN"/>
        </w:rPr>
        <w:t>亿元</w:t>
      </w:r>
      <w:r>
        <w:rPr>
          <w:rFonts w:hint="eastAsia" w:ascii="宋体" w:hAnsi="宋体"/>
          <w:szCs w:val="28"/>
        </w:rPr>
        <w:t>，但未将资金计划额度分解到各镇街的具体项目上。上述1亿资金计划实际到位6740.224236万元，总体资金到位率67.40%。</w:t>
      </w:r>
    </w:p>
    <w:p>
      <w:pPr>
        <w:pStyle w:val="25"/>
        <w:snapToGrid w:val="0"/>
        <w:spacing w:line="560" w:lineRule="exact"/>
        <w:ind w:left="562" w:firstLine="0" w:firstLineChars="0"/>
        <w:outlineLvl w:val="0"/>
        <w:rPr>
          <w:rFonts w:ascii="宋体" w:hAnsi="宋体"/>
          <w:b/>
          <w:szCs w:val="28"/>
        </w:rPr>
      </w:pPr>
      <w:r>
        <w:rPr>
          <w:rFonts w:hint="eastAsia" w:ascii="宋体" w:hAnsi="宋体"/>
          <w:b/>
          <w:szCs w:val="28"/>
        </w:rPr>
        <w:t>二、绩效评价工作情况</w:t>
      </w:r>
    </w:p>
    <w:p>
      <w:pPr>
        <w:snapToGrid w:val="0"/>
        <w:spacing w:line="560" w:lineRule="exact"/>
        <w:ind w:firstLine="560" w:firstLineChars="0"/>
        <w:outlineLvl w:val="1"/>
        <w:rPr>
          <w:rFonts w:ascii="宋体" w:hAnsi="宋体"/>
          <w:b/>
          <w:szCs w:val="28"/>
        </w:rPr>
      </w:pPr>
      <w:r>
        <w:rPr>
          <w:rFonts w:hint="eastAsia" w:ascii="宋体" w:hAnsi="宋体"/>
          <w:b/>
          <w:szCs w:val="28"/>
        </w:rPr>
        <w:t>（一）绩效评价目的和范围</w:t>
      </w:r>
    </w:p>
    <w:p>
      <w:pPr>
        <w:snapToGrid w:val="0"/>
        <w:spacing w:line="560" w:lineRule="atLeast"/>
        <w:ind w:firstLine="560"/>
        <w:rPr>
          <w:rFonts w:ascii="宋体" w:hAnsi="宋体"/>
          <w:szCs w:val="28"/>
        </w:rPr>
      </w:pPr>
      <w:r>
        <w:rPr>
          <w:rFonts w:hint="eastAsia" w:ascii="宋体" w:hAnsi="宋体"/>
          <w:szCs w:val="28"/>
        </w:rPr>
        <w:t>本次绩效评价目的是进一步加强重庆市铜梁区场镇基础设施功能补短板建设项目绩效管理，提高财政资金使用效率和管理水平。本次绩效评价范围为重庆市铜梁区场镇基础设施功能补短板建设项目的投入、管理、产出和效益情况。</w:t>
      </w:r>
    </w:p>
    <w:p>
      <w:pPr>
        <w:snapToGrid w:val="0"/>
        <w:spacing w:line="560" w:lineRule="exact"/>
        <w:ind w:firstLine="560" w:firstLineChars="0"/>
        <w:outlineLvl w:val="1"/>
        <w:rPr>
          <w:rFonts w:ascii="宋体" w:hAnsi="宋体"/>
          <w:b/>
          <w:szCs w:val="28"/>
        </w:rPr>
      </w:pPr>
      <w:r>
        <w:rPr>
          <w:rFonts w:hint="eastAsia" w:ascii="宋体" w:hAnsi="宋体"/>
          <w:b/>
          <w:szCs w:val="28"/>
        </w:rPr>
        <w:t>（二）绩效评价依据、评价指标体系及其评价方法</w:t>
      </w:r>
    </w:p>
    <w:p>
      <w:pPr>
        <w:snapToGrid w:val="0"/>
        <w:spacing w:line="560" w:lineRule="exact"/>
        <w:ind w:firstLine="561" w:firstLineChars="0"/>
        <w:outlineLvl w:val="3"/>
        <w:rPr>
          <w:rFonts w:ascii="宋体" w:hAnsi="宋体" w:cs="宋体"/>
          <w:b/>
          <w:bCs/>
          <w:kern w:val="0"/>
          <w:szCs w:val="28"/>
        </w:rPr>
      </w:pPr>
      <w:r>
        <w:rPr>
          <w:rFonts w:hint="eastAsia" w:ascii="宋体" w:hAnsi="宋体" w:cs="宋体"/>
          <w:b/>
          <w:bCs/>
          <w:kern w:val="0"/>
          <w:szCs w:val="28"/>
        </w:rPr>
        <w:t>1、绩效评价依据</w:t>
      </w:r>
    </w:p>
    <w:p>
      <w:pPr>
        <w:snapToGrid w:val="0"/>
        <w:spacing w:line="560" w:lineRule="exact"/>
        <w:ind w:firstLine="560"/>
        <w:rPr>
          <w:rFonts w:ascii="宋体" w:hAnsi="宋体"/>
          <w:szCs w:val="28"/>
        </w:rPr>
      </w:pPr>
      <w:r>
        <w:rPr>
          <w:rFonts w:hint="eastAsia" w:ascii="宋体" w:hAnsi="宋体"/>
          <w:szCs w:val="28"/>
        </w:rPr>
        <w:t>（1）</w:t>
      </w:r>
      <w:r>
        <w:rPr>
          <w:rFonts w:hint="eastAsia" w:ascii="宋体" w:hAnsi="宋体"/>
          <w:szCs w:val="28"/>
          <w:lang w:eastAsia="zh-CN"/>
        </w:rPr>
        <w:t>中共中央、国务院</w:t>
      </w:r>
      <w:r>
        <w:rPr>
          <w:rFonts w:hint="eastAsia" w:ascii="宋体" w:hAnsi="宋体"/>
          <w:szCs w:val="28"/>
        </w:rPr>
        <w:t>《关于全面实施预算绩效管理的意见》；</w:t>
      </w:r>
    </w:p>
    <w:p>
      <w:pPr>
        <w:snapToGrid w:val="0"/>
        <w:spacing w:line="560" w:lineRule="exact"/>
        <w:ind w:firstLine="560"/>
        <w:rPr>
          <w:rFonts w:ascii="宋体" w:hAnsi="宋体"/>
          <w:szCs w:val="28"/>
        </w:rPr>
      </w:pPr>
      <w:r>
        <w:rPr>
          <w:rFonts w:hint="eastAsia" w:ascii="宋体" w:hAnsi="宋体"/>
          <w:szCs w:val="28"/>
        </w:rPr>
        <w:t>（2）《项目支出绩效评价管理办法》（财预〔2020〕10号）；</w:t>
      </w:r>
    </w:p>
    <w:p>
      <w:pPr>
        <w:snapToGrid w:val="0"/>
        <w:spacing w:line="560" w:lineRule="exact"/>
        <w:ind w:firstLine="560"/>
        <w:rPr>
          <w:rFonts w:ascii="宋体" w:hAnsi="宋体"/>
          <w:szCs w:val="28"/>
        </w:rPr>
      </w:pPr>
      <w:r>
        <w:rPr>
          <w:rFonts w:hint="eastAsia" w:ascii="宋体" w:hAnsi="宋体"/>
          <w:szCs w:val="28"/>
        </w:rPr>
        <w:t>（3）《重庆市市级政策和项目预算绩效管理办法（试行）》（渝财绩〔2019〕19号）；</w:t>
      </w:r>
    </w:p>
    <w:p>
      <w:pPr>
        <w:snapToGrid w:val="0"/>
        <w:spacing w:line="560" w:lineRule="exact"/>
        <w:ind w:firstLine="560"/>
        <w:rPr>
          <w:rFonts w:ascii="宋体" w:hAnsi="宋体"/>
          <w:szCs w:val="28"/>
        </w:rPr>
      </w:pPr>
      <w:r>
        <w:rPr>
          <w:rFonts w:hint="eastAsia" w:ascii="宋体" w:hAnsi="宋体"/>
          <w:szCs w:val="28"/>
        </w:rPr>
        <w:t>（4）重庆市铜梁区财政局《关于修订铜梁区区级政策和项目预算绩效管理办法（暂行）》（铜财〔2022〕411号）；</w:t>
      </w:r>
    </w:p>
    <w:p>
      <w:pPr>
        <w:snapToGrid w:val="0"/>
        <w:spacing w:line="560" w:lineRule="exact"/>
        <w:ind w:firstLine="560"/>
        <w:rPr>
          <w:rFonts w:ascii="宋体" w:hAnsi="宋体"/>
          <w:szCs w:val="28"/>
        </w:rPr>
      </w:pPr>
      <w:r>
        <w:rPr>
          <w:rFonts w:hint="eastAsia" w:ascii="宋体" w:hAnsi="宋体"/>
          <w:szCs w:val="28"/>
        </w:rPr>
        <w:t>（5）重庆市铜梁区场镇基础设施功能补短板建设项目相关单位提供的资料；</w:t>
      </w:r>
    </w:p>
    <w:p>
      <w:pPr>
        <w:snapToGrid w:val="0"/>
        <w:spacing w:line="560" w:lineRule="exact"/>
        <w:ind w:firstLine="560"/>
        <w:rPr>
          <w:rFonts w:ascii="宋体" w:hAnsi="宋体"/>
          <w:szCs w:val="28"/>
        </w:rPr>
      </w:pPr>
      <w:r>
        <w:rPr>
          <w:rFonts w:hint="eastAsia" w:ascii="宋体" w:hAnsi="宋体"/>
          <w:szCs w:val="28"/>
        </w:rPr>
        <w:t>（6）国家其他相关法律、法规和规章制度。</w:t>
      </w:r>
    </w:p>
    <w:p>
      <w:pPr>
        <w:snapToGrid w:val="0"/>
        <w:spacing w:line="560" w:lineRule="exact"/>
        <w:ind w:firstLine="561" w:firstLineChars="0"/>
        <w:outlineLvl w:val="3"/>
        <w:rPr>
          <w:b/>
        </w:rPr>
      </w:pPr>
      <w:r>
        <w:rPr>
          <w:rFonts w:hint="eastAsia" w:ascii="宋体" w:hAnsi="宋体" w:cs="宋体"/>
          <w:b/>
          <w:bCs/>
          <w:kern w:val="0"/>
          <w:szCs w:val="28"/>
        </w:rPr>
        <w:t>2、</w:t>
      </w:r>
      <w:r>
        <w:rPr>
          <w:rFonts w:hint="eastAsia"/>
          <w:b/>
        </w:rPr>
        <w:t>绩效评价指标体系的设定原则</w:t>
      </w:r>
    </w:p>
    <w:p>
      <w:pPr>
        <w:snapToGrid w:val="0"/>
        <w:spacing w:line="560" w:lineRule="exact"/>
        <w:ind w:firstLine="561" w:firstLineChars="0"/>
        <w:outlineLvl w:val="3"/>
        <w:rPr>
          <w:rFonts w:ascii="宋体" w:hAnsi="宋体" w:cs="宋体"/>
          <w:kern w:val="0"/>
          <w:szCs w:val="28"/>
        </w:rPr>
      </w:pPr>
      <w:r>
        <w:rPr>
          <w:rFonts w:hint="eastAsia" w:ascii="宋体" w:hAnsi="宋体" w:cs="宋体"/>
          <w:kern w:val="0"/>
          <w:szCs w:val="28"/>
        </w:rPr>
        <w:t>（1） 相关性原则。绩效评价指标体系设定应当与绩效目标有直接的联系，能够恰当反映目标的实现程度。</w:t>
      </w:r>
    </w:p>
    <w:p>
      <w:pPr>
        <w:snapToGrid w:val="0"/>
        <w:spacing w:line="560" w:lineRule="exact"/>
        <w:ind w:firstLine="561" w:firstLineChars="0"/>
        <w:outlineLvl w:val="3"/>
        <w:rPr>
          <w:rFonts w:ascii="宋体" w:hAnsi="宋体" w:cs="宋体"/>
          <w:kern w:val="0"/>
          <w:szCs w:val="28"/>
        </w:rPr>
      </w:pPr>
      <w:r>
        <w:rPr>
          <w:rFonts w:hint="eastAsia" w:ascii="宋体" w:hAnsi="宋体" w:cs="宋体"/>
          <w:kern w:val="0"/>
          <w:szCs w:val="28"/>
        </w:rPr>
        <w:t>（2） 重要性原则。绩效评价指标体系设定应当根据绩效评价的对象和内容优先使用最具代表性、最能反映评价要求的核心指标。</w:t>
      </w:r>
    </w:p>
    <w:p>
      <w:pPr>
        <w:snapToGrid w:val="0"/>
        <w:spacing w:line="560" w:lineRule="exact"/>
        <w:ind w:firstLine="561" w:firstLineChars="0"/>
        <w:outlineLvl w:val="3"/>
        <w:rPr>
          <w:rFonts w:ascii="宋体" w:hAnsi="宋体" w:cs="宋体"/>
          <w:kern w:val="0"/>
          <w:szCs w:val="28"/>
        </w:rPr>
      </w:pPr>
      <w:r>
        <w:rPr>
          <w:rFonts w:hint="eastAsia" w:ascii="宋体" w:hAnsi="宋体" w:cs="宋体"/>
          <w:kern w:val="0"/>
          <w:szCs w:val="28"/>
        </w:rPr>
        <w:t>（3） 可比性原则。绩效评价指标体系设定应当对同类评价对象设定共性的绩效评价指标，以便于评价结果相互比较。</w:t>
      </w:r>
    </w:p>
    <w:p>
      <w:pPr>
        <w:snapToGrid w:val="0"/>
        <w:spacing w:line="560" w:lineRule="exact"/>
        <w:ind w:firstLine="561" w:firstLineChars="0"/>
        <w:outlineLvl w:val="3"/>
        <w:rPr>
          <w:rFonts w:ascii="宋体" w:hAnsi="宋体" w:cs="宋体"/>
          <w:kern w:val="0"/>
          <w:szCs w:val="28"/>
        </w:rPr>
      </w:pPr>
      <w:r>
        <w:rPr>
          <w:rFonts w:hint="eastAsia" w:ascii="宋体" w:hAnsi="宋体" w:cs="宋体"/>
          <w:kern w:val="0"/>
          <w:szCs w:val="28"/>
        </w:rPr>
        <w:t>（4） 系统性原则。绩效评价指标体系设定应当将定量指标与定性指标相结合，系统反映项目所产生的社会效益和可持续影响等。绩效评价标准采用定量评分，满分为100分。</w:t>
      </w:r>
    </w:p>
    <w:p>
      <w:pPr>
        <w:snapToGrid w:val="0"/>
        <w:spacing w:line="560" w:lineRule="exact"/>
        <w:ind w:firstLine="561" w:firstLineChars="0"/>
        <w:outlineLvl w:val="3"/>
        <w:rPr>
          <w:rFonts w:ascii="宋体" w:hAnsi="宋体" w:cs="宋体"/>
          <w:b/>
          <w:bCs/>
          <w:kern w:val="0"/>
          <w:szCs w:val="28"/>
        </w:rPr>
      </w:pPr>
      <w:r>
        <w:rPr>
          <w:rFonts w:hint="eastAsia" w:ascii="宋体" w:hAnsi="宋体" w:cs="宋体"/>
          <w:b/>
          <w:bCs/>
          <w:kern w:val="0"/>
          <w:szCs w:val="28"/>
        </w:rPr>
        <w:t>3、绩效评价指标体系</w:t>
      </w:r>
    </w:p>
    <w:p>
      <w:pPr>
        <w:snapToGrid w:val="0"/>
        <w:spacing w:line="560" w:lineRule="atLeast"/>
        <w:ind w:firstLine="560"/>
        <w:rPr>
          <w:rFonts w:ascii="宋体" w:hAnsi="宋体"/>
          <w:szCs w:val="28"/>
        </w:rPr>
      </w:pPr>
      <w:r>
        <w:rPr>
          <w:rFonts w:hint="eastAsia" w:ascii="宋体" w:hAnsi="宋体"/>
          <w:szCs w:val="28"/>
        </w:rPr>
        <w:t>经过充分的调研和讨论，本次绩效评价指标体系设计如下:</w:t>
      </w:r>
    </w:p>
    <w:p>
      <w:pPr>
        <w:snapToGrid w:val="0"/>
        <w:spacing w:line="560" w:lineRule="atLeast"/>
        <w:ind w:firstLine="560"/>
        <w:rPr>
          <w:rFonts w:ascii="宋体" w:hAnsi="宋体"/>
          <w:szCs w:val="28"/>
        </w:rPr>
      </w:pPr>
      <w:r>
        <w:rPr>
          <w:rFonts w:hint="eastAsia" w:ascii="宋体" w:hAnsi="宋体"/>
          <w:szCs w:val="28"/>
        </w:rPr>
        <w:t>一级指标</w:t>
      </w:r>
      <w:r>
        <w:rPr>
          <w:rFonts w:ascii="宋体" w:hAnsi="宋体"/>
          <w:szCs w:val="28"/>
        </w:rPr>
        <w:t>4</w:t>
      </w:r>
      <w:r>
        <w:rPr>
          <w:rFonts w:hint="eastAsia" w:ascii="宋体" w:hAnsi="宋体"/>
          <w:szCs w:val="28"/>
        </w:rPr>
        <w:t>个，分别为：投入、管理、产出、效益；</w:t>
      </w:r>
    </w:p>
    <w:p>
      <w:pPr>
        <w:snapToGrid w:val="0"/>
        <w:spacing w:line="560" w:lineRule="atLeast"/>
        <w:ind w:firstLine="560"/>
        <w:rPr>
          <w:rFonts w:ascii="宋体" w:hAnsi="宋体"/>
          <w:szCs w:val="28"/>
        </w:rPr>
      </w:pPr>
      <w:r>
        <w:rPr>
          <w:rFonts w:hint="eastAsia" w:ascii="宋体" w:hAnsi="宋体"/>
          <w:szCs w:val="28"/>
        </w:rPr>
        <w:t>二级指标</w:t>
      </w:r>
      <w:r>
        <w:rPr>
          <w:rFonts w:ascii="宋体" w:hAnsi="宋体"/>
          <w:szCs w:val="28"/>
        </w:rPr>
        <w:t>1</w:t>
      </w:r>
      <w:r>
        <w:rPr>
          <w:rFonts w:hint="eastAsia" w:ascii="宋体" w:hAnsi="宋体"/>
          <w:szCs w:val="28"/>
        </w:rPr>
        <w:t>4个，分别为：项目立项、绩效目标、资金落实、业务管理、资金管理、数量指标、时效指标、质量指标、成本指标、经济效益、社会效益、生态效益、可持续性影响、满意度；</w:t>
      </w:r>
    </w:p>
    <w:p>
      <w:pPr>
        <w:snapToGrid w:val="0"/>
        <w:spacing w:line="560" w:lineRule="atLeast"/>
        <w:ind w:firstLine="560"/>
        <w:rPr>
          <w:rFonts w:ascii="宋体" w:hAnsi="宋体"/>
          <w:szCs w:val="28"/>
        </w:rPr>
      </w:pPr>
      <w:r>
        <w:rPr>
          <w:rFonts w:hint="eastAsia" w:ascii="宋体" w:hAnsi="宋体"/>
          <w:szCs w:val="28"/>
        </w:rPr>
        <w:t>三级指标</w:t>
      </w:r>
      <w:r>
        <w:rPr>
          <w:rFonts w:ascii="宋体" w:hAnsi="宋体"/>
          <w:szCs w:val="28"/>
        </w:rPr>
        <w:t>2</w:t>
      </w:r>
      <w:r>
        <w:rPr>
          <w:rFonts w:hint="eastAsia" w:ascii="宋体" w:hAnsi="宋体"/>
          <w:szCs w:val="28"/>
        </w:rPr>
        <w:t>1个，分别为：立项依据充分性、立项程序规范性、绩效目标合理性、绩效指标明确性、资金到位率、到位及时率、管理制度健全性、制度执行有效性、项目质量可控性、财务管理制度健全性、资金使用合规性、财务监控有效性、实际完成率、完成及时率、质量达标率、成本节约率、经济发展、完善基础设施、生态影响、长效机制、受益对象满意度。</w:t>
      </w:r>
    </w:p>
    <w:p>
      <w:pPr>
        <w:snapToGrid w:val="0"/>
        <w:spacing w:line="560" w:lineRule="atLeast"/>
        <w:ind w:firstLine="560"/>
        <w:rPr>
          <w:rFonts w:ascii="宋体" w:hAnsi="宋体"/>
          <w:szCs w:val="28"/>
        </w:rPr>
      </w:pPr>
      <w:r>
        <w:rPr>
          <w:rFonts w:hint="eastAsia" w:ascii="宋体" w:hAnsi="宋体"/>
          <w:szCs w:val="28"/>
        </w:rPr>
        <w:t>评价结果分为优、良、中、差四等，根据计分结果的分值，确定评价结果对象最后达到的档次，具体见下表。</w:t>
      </w:r>
    </w:p>
    <w:tbl>
      <w:tblPr>
        <w:tblStyle w:val="18"/>
        <w:tblW w:w="8362" w:type="dxa"/>
        <w:tblInd w:w="0" w:type="dxa"/>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1498"/>
        <w:gridCol w:w="1498"/>
        <w:gridCol w:w="1933"/>
        <w:gridCol w:w="1934"/>
        <w:gridCol w:w="1499"/>
      </w:tblGrid>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cantSplit/>
          <w:trHeight w:val="340" w:hRule="atLeast"/>
          <w:tblHeader/>
        </w:trPr>
        <w:tc>
          <w:tcPr>
            <w:tcW w:w="1498" w:type="dxa"/>
            <w:tcBorders>
              <w:tl2br w:val="nil"/>
              <w:tr2bl w:val="nil"/>
            </w:tcBorders>
            <w:shd w:val="clear" w:color="auto" w:fill="auto"/>
            <w:noWrap/>
            <w:vAlign w:val="center"/>
          </w:tcPr>
          <w:p>
            <w:pPr>
              <w:widowControl/>
              <w:snapToGrid w:val="0"/>
              <w:spacing w:line="240" w:lineRule="auto"/>
              <w:ind w:left="17" w:right="17" w:firstLine="5" w:firstLineChars="3"/>
              <w:jc w:val="center"/>
              <w:rPr>
                <w:rFonts w:ascii="Arial Narrow" w:hAnsi="宋体" w:cs="宋体"/>
                <w:color w:val="000000"/>
                <w:kern w:val="0"/>
                <w:sz w:val="18"/>
                <w:szCs w:val="24"/>
              </w:rPr>
            </w:pPr>
            <w:r>
              <w:rPr>
                <w:rFonts w:hint="eastAsia" w:ascii="Arial Narrow" w:hAnsi="宋体" w:cs="宋体"/>
                <w:color w:val="000000"/>
                <w:kern w:val="0"/>
                <w:sz w:val="18"/>
                <w:szCs w:val="24"/>
              </w:rPr>
              <w:t>档次</w:t>
            </w:r>
          </w:p>
        </w:tc>
        <w:tc>
          <w:tcPr>
            <w:tcW w:w="1498" w:type="dxa"/>
            <w:tcBorders>
              <w:tl2br w:val="nil"/>
              <w:tr2bl w:val="nil"/>
            </w:tcBorders>
            <w:shd w:val="clear" w:color="auto" w:fill="auto"/>
            <w:noWrap/>
            <w:vAlign w:val="center"/>
          </w:tcPr>
          <w:p>
            <w:pPr>
              <w:widowControl/>
              <w:snapToGrid w:val="0"/>
              <w:spacing w:line="240" w:lineRule="auto"/>
              <w:ind w:left="17" w:right="17" w:firstLine="5" w:firstLineChars="3"/>
              <w:jc w:val="center"/>
              <w:rPr>
                <w:rFonts w:ascii="Arial Narrow" w:hAnsi="宋体" w:cs="宋体"/>
                <w:color w:val="000000"/>
                <w:kern w:val="0"/>
                <w:sz w:val="18"/>
                <w:szCs w:val="24"/>
              </w:rPr>
            </w:pPr>
            <w:r>
              <w:rPr>
                <w:rFonts w:hint="eastAsia" w:ascii="Arial Narrow" w:hAnsi="宋体" w:cs="宋体"/>
                <w:color w:val="000000"/>
                <w:kern w:val="0"/>
                <w:sz w:val="18"/>
                <w:szCs w:val="24"/>
              </w:rPr>
              <w:t>优</w:t>
            </w:r>
          </w:p>
        </w:tc>
        <w:tc>
          <w:tcPr>
            <w:tcW w:w="1933" w:type="dxa"/>
            <w:tcBorders>
              <w:tl2br w:val="nil"/>
              <w:tr2bl w:val="nil"/>
            </w:tcBorders>
            <w:shd w:val="clear" w:color="auto" w:fill="auto"/>
            <w:noWrap/>
            <w:vAlign w:val="center"/>
          </w:tcPr>
          <w:p>
            <w:pPr>
              <w:widowControl/>
              <w:snapToGrid w:val="0"/>
              <w:spacing w:line="240" w:lineRule="auto"/>
              <w:ind w:left="17" w:right="17" w:firstLine="5" w:firstLineChars="3"/>
              <w:jc w:val="center"/>
              <w:rPr>
                <w:rFonts w:ascii="Arial Narrow" w:hAnsi="宋体" w:cs="宋体"/>
                <w:color w:val="000000"/>
                <w:kern w:val="0"/>
                <w:sz w:val="18"/>
                <w:szCs w:val="24"/>
              </w:rPr>
            </w:pPr>
            <w:r>
              <w:rPr>
                <w:rFonts w:hint="eastAsia" w:ascii="Arial Narrow" w:hAnsi="宋体" w:cs="宋体"/>
                <w:color w:val="000000"/>
                <w:kern w:val="0"/>
                <w:sz w:val="18"/>
                <w:szCs w:val="24"/>
              </w:rPr>
              <w:t>良</w:t>
            </w:r>
          </w:p>
        </w:tc>
        <w:tc>
          <w:tcPr>
            <w:tcW w:w="1934" w:type="dxa"/>
            <w:tcBorders>
              <w:tl2br w:val="nil"/>
              <w:tr2bl w:val="nil"/>
            </w:tcBorders>
            <w:shd w:val="clear" w:color="auto" w:fill="auto"/>
            <w:noWrap/>
            <w:vAlign w:val="center"/>
          </w:tcPr>
          <w:p>
            <w:pPr>
              <w:widowControl/>
              <w:snapToGrid w:val="0"/>
              <w:spacing w:line="240" w:lineRule="auto"/>
              <w:ind w:left="17" w:right="17" w:firstLine="5" w:firstLineChars="3"/>
              <w:jc w:val="center"/>
              <w:rPr>
                <w:rFonts w:ascii="Arial Narrow" w:hAnsi="宋体" w:cs="宋体"/>
                <w:color w:val="000000"/>
                <w:kern w:val="0"/>
                <w:sz w:val="18"/>
                <w:szCs w:val="24"/>
              </w:rPr>
            </w:pPr>
            <w:r>
              <w:rPr>
                <w:rFonts w:hint="eastAsia" w:ascii="Arial Narrow" w:hAnsi="宋体" w:cs="宋体"/>
                <w:color w:val="000000"/>
                <w:kern w:val="0"/>
                <w:sz w:val="18"/>
                <w:szCs w:val="24"/>
              </w:rPr>
              <w:t>中</w:t>
            </w:r>
          </w:p>
        </w:tc>
        <w:tc>
          <w:tcPr>
            <w:tcW w:w="1499" w:type="dxa"/>
            <w:tcBorders>
              <w:tl2br w:val="nil"/>
              <w:tr2bl w:val="nil"/>
            </w:tcBorders>
            <w:shd w:val="clear" w:color="auto" w:fill="auto"/>
            <w:noWrap/>
            <w:vAlign w:val="center"/>
          </w:tcPr>
          <w:p>
            <w:pPr>
              <w:widowControl/>
              <w:snapToGrid w:val="0"/>
              <w:spacing w:line="240" w:lineRule="auto"/>
              <w:ind w:left="17" w:right="17" w:firstLine="5" w:firstLineChars="3"/>
              <w:jc w:val="center"/>
              <w:rPr>
                <w:rFonts w:ascii="Arial Narrow" w:hAnsi="宋体" w:cs="宋体"/>
                <w:color w:val="000000"/>
                <w:kern w:val="0"/>
                <w:sz w:val="18"/>
                <w:szCs w:val="24"/>
              </w:rPr>
            </w:pPr>
            <w:r>
              <w:rPr>
                <w:rFonts w:hint="eastAsia" w:ascii="Arial Narrow" w:hAnsi="宋体" w:cs="宋体"/>
                <w:color w:val="000000"/>
                <w:kern w:val="0"/>
                <w:sz w:val="18"/>
                <w:szCs w:val="24"/>
              </w:rPr>
              <w:t>差</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cantSplit/>
          <w:trHeight w:val="340" w:hRule="atLeast"/>
        </w:trPr>
        <w:tc>
          <w:tcPr>
            <w:tcW w:w="1498" w:type="dxa"/>
            <w:tcBorders>
              <w:tl2br w:val="nil"/>
              <w:tr2bl w:val="nil"/>
            </w:tcBorders>
            <w:shd w:val="clear" w:color="auto" w:fill="auto"/>
            <w:noWrap/>
            <w:vAlign w:val="center"/>
          </w:tcPr>
          <w:p>
            <w:pPr>
              <w:widowControl/>
              <w:snapToGrid w:val="0"/>
              <w:spacing w:line="240" w:lineRule="auto"/>
              <w:ind w:left="17" w:right="17" w:firstLine="5" w:firstLineChars="3"/>
              <w:jc w:val="center"/>
              <w:rPr>
                <w:rFonts w:ascii="Arial Narrow" w:hAnsi="宋体" w:cs="宋体"/>
                <w:color w:val="000000"/>
                <w:kern w:val="0"/>
                <w:sz w:val="18"/>
                <w:szCs w:val="24"/>
              </w:rPr>
            </w:pPr>
            <w:r>
              <w:rPr>
                <w:rFonts w:hint="eastAsia" w:ascii="Arial Narrow" w:hAnsi="宋体" w:cs="宋体"/>
                <w:color w:val="000000"/>
                <w:kern w:val="0"/>
                <w:sz w:val="18"/>
                <w:szCs w:val="24"/>
              </w:rPr>
              <w:t>分值</w:t>
            </w:r>
          </w:p>
        </w:tc>
        <w:tc>
          <w:tcPr>
            <w:tcW w:w="1498" w:type="dxa"/>
            <w:tcBorders>
              <w:tl2br w:val="nil"/>
              <w:tr2bl w:val="nil"/>
            </w:tcBorders>
            <w:shd w:val="clear" w:color="auto" w:fill="auto"/>
            <w:noWrap/>
            <w:vAlign w:val="center"/>
          </w:tcPr>
          <w:p>
            <w:pPr>
              <w:widowControl/>
              <w:snapToGrid w:val="0"/>
              <w:spacing w:line="240" w:lineRule="auto"/>
              <w:ind w:left="17" w:right="17" w:firstLine="5" w:firstLineChars="3"/>
              <w:jc w:val="center"/>
              <w:rPr>
                <w:rFonts w:ascii="Arial Narrow" w:hAnsi="宋体" w:cs="宋体"/>
                <w:color w:val="000000"/>
                <w:kern w:val="0"/>
                <w:sz w:val="18"/>
                <w:szCs w:val="24"/>
              </w:rPr>
            </w:pPr>
            <w:r>
              <w:rPr>
                <w:rFonts w:hint="eastAsia" w:ascii="Arial Narrow" w:hAnsi="宋体" w:cs="宋体"/>
                <w:color w:val="000000"/>
                <w:kern w:val="0"/>
                <w:sz w:val="18"/>
                <w:szCs w:val="24"/>
              </w:rPr>
              <w:t>≥90</w:t>
            </w:r>
          </w:p>
        </w:tc>
        <w:tc>
          <w:tcPr>
            <w:tcW w:w="1933" w:type="dxa"/>
            <w:tcBorders>
              <w:tl2br w:val="nil"/>
              <w:tr2bl w:val="nil"/>
            </w:tcBorders>
            <w:shd w:val="clear" w:color="auto" w:fill="auto"/>
            <w:noWrap/>
            <w:vAlign w:val="center"/>
          </w:tcPr>
          <w:p>
            <w:pPr>
              <w:widowControl/>
              <w:snapToGrid w:val="0"/>
              <w:spacing w:line="240" w:lineRule="auto"/>
              <w:ind w:left="17" w:right="17" w:firstLine="5" w:firstLineChars="3"/>
              <w:jc w:val="center"/>
              <w:rPr>
                <w:rFonts w:ascii="Arial Narrow" w:hAnsi="宋体" w:cs="宋体"/>
                <w:color w:val="000000"/>
                <w:kern w:val="0"/>
                <w:sz w:val="18"/>
                <w:szCs w:val="24"/>
              </w:rPr>
            </w:pPr>
            <w:r>
              <w:rPr>
                <w:rFonts w:hint="eastAsia" w:ascii="Arial Narrow" w:hAnsi="宋体" w:cs="宋体"/>
                <w:color w:val="000000"/>
                <w:kern w:val="0"/>
                <w:sz w:val="18"/>
                <w:szCs w:val="24"/>
              </w:rPr>
              <w:t>80≤得分＜90</w:t>
            </w:r>
          </w:p>
        </w:tc>
        <w:tc>
          <w:tcPr>
            <w:tcW w:w="1934" w:type="dxa"/>
            <w:tcBorders>
              <w:tl2br w:val="nil"/>
              <w:tr2bl w:val="nil"/>
            </w:tcBorders>
            <w:shd w:val="clear" w:color="auto" w:fill="auto"/>
            <w:noWrap/>
            <w:vAlign w:val="center"/>
          </w:tcPr>
          <w:p>
            <w:pPr>
              <w:widowControl/>
              <w:snapToGrid w:val="0"/>
              <w:spacing w:line="240" w:lineRule="auto"/>
              <w:ind w:left="17" w:right="17" w:firstLine="5" w:firstLineChars="3"/>
              <w:jc w:val="center"/>
              <w:rPr>
                <w:rFonts w:ascii="Arial Narrow" w:hAnsi="宋体" w:cs="宋体"/>
                <w:color w:val="000000"/>
                <w:kern w:val="0"/>
                <w:sz w:val="18"/>
                <w:szCs w:val="24"/>
              </w:rPr>
            </w:pPr>
            <w:r>
              <w:rPr>
                <w:rFonts w:hint="eastAsia" w:ascii="Arial Narrow" w:hAnsi="宋体" w:cs="宋体"/>
                <w:color w:val="000000"/>
                <w:kern w:val="0"/>
                <w:sz w:val="18"/>
                <w:szCs w:val="24"/>
              </w:rPr>
              <w:t>60≤得分＜80</w:t>
            </w:r>
          </w:p>
        </w:tc>
        <w:tc>
          <w:tcPr>
            <w:tcW w:w="1499" w:type="dxa"/>
            <w:tcBorders>
              <w:tl2br w:val="nil"/>
              <w:tr2bl w:val="nil"/>
            </w:tcBorders>
            <w:shd w:val="clear" w:color="auto" w:fill="auto"/>
            <w:noWrap/>
            <w:vAlign w:val="center"/>
          </w:tcPr>
          <w:p>
            <w:pPr>
              <w:widowControl/>
              <w:snapToGrid w:val="0"/>
              <w:spacing w:line="240" w:lineRule="auto"/>
              <w:ind w:left="17" w:right="17" w:firstLine="5" w:firstLineChars="3"/>
              <w:jc w:val="center"/>
              <w:rPr>
                <w:rFonts w:ascii="Arial Narrow" w:hAnsi="宋体" w:cs="宋体"/>
                <w:color w:val="000000"/>
                <w:kern w:val="0"/>
                <w:sz w:val="18"/>
                <w:szCs w:val="24"/>
              </w:rPr>
            </w:pPr>
            <w:r>
              <w:rPr>
                <w:rFonts w:hint="eastAsia" w:ascii="Arial Narrow" w:hAnsi="宋体" w:cs="宋体"/>
                <w:color w:val="000000"/>
                <w:kern w:val="0"/>
                <w:sz w:val="18"/>
                <w:szCs w:val="24"/>
              </w:rPr>
              <w:t>得分＜60</w:t>
            </w:r>
          </w:p>
        </w:tc>
      </w:tr>
    </w:tbl>
    <w:p>
      <w:pPr>
        <w:snapToGrid w:val="0"/>
        <w:spacing w:line="560" w:lineRule="exact"/>
        <w:ind w:firstLine="561" w:firstLineChars="0"/>
        <w:outlineLvl w:val="3"/>
        <w:rPr>
          <w:rFonts w:ascii="宋体" w:hAnsi="宋体" w:cs="宋体"/>
          <w:b/>
          <w:bCs/>
          <w:kern w:val="0"/>
          <w:szCs w:val="28"/>
        </w:rPr>
      </w:pPr>
      <w:r>
        <w:rPr>
          <w:rFonts w:hint="eastAsia" w:ascii="宋体" w:hAnsi="宋体" w:cs="宋体"/>
          <w:b/>
          <w:bCs/>
          <w:kern w:val="0"/>
          <w:szCs w:val="28"/>
        </w:rPr>
        <w:t>4、评价方法</w:t>
      </w:r>
    </w:p>
    <w:p>
      <w:pPr>
        <w:snapToGrid w:val="0"/>
        <w:spacing w:line="560" w:lineRule="atLeast"/>
        <w:ind w:firstLine="560"/>
        <w:rPr>
          <w:rFonts w:ascii="宋体" w:hAnsi="宋体"/>
          <w:szCs w:val="28"/>
        </w:rPr>
      </w:pPr>
      <w:r>
        <w:rPr>
          <w:rFonts w:hint="eastAsia" w:ascii="宋体" w:hAnsi="宋体"/>
          <w:szCs w:val="28"/>
        </w:rPr>
        <w:t>本次绩效评价采用现场和非现场评价相结合的方式，以材料核查、访谈、问卷调查、抽查为基础，综合运用对比分析等方法，对本项目进行评价。</w:t>
      </w:r>
    </w:p>
    <w:p>
      <w:pPr>
        <w:snapToGrid w:val="0"/>
        <w:spacing w:line="560" w:lineRule="atLeast"/>
        <w:ind w:firstLine="560"/>
        <w:rPr>
          <w:rFonts w:ascii="宋体" w:hAnsi="宋体"/>
          <w:szCs w:val="28"/>
        </w:rPr>
      </w:pPr>
      <w:r>
        <w:rPr>
          <w:rFonts w:hint="eastAsia" w:ascii="宋体" w:hAnsi="宋体"/>
          <w:szCs w:val="28"/>
        </w:rPr>
        <w:t>（1）座谈法：组织相关各方集中访谈或座谈,能有效掌握政策实施过程情况以及项目的效果或不足，进而讨论相关各方如何改进不足，并提出确保项目长效运行的各种意见和建议，并将这些情况,整理反映到评价报告中。</w:t>
      </w:r>
    </w:p>
    <w:p>
      <w:pPr>
        <w:snapToGrid w:val="0"/>
        <w:spacing w:line="560" w:lineRule="atLeast"/>
        <w:ind w:firstLine="560"/>
        <w:rPr>
          <w:rFonts w:ascii="宋体" w:hAnsi="宋体"/>
          <w:szCs w:val="28"/>
        </w:rPr>
      </w:pPr>
      <w:r>
        <w:rPr>
          <w:rFonts w:hint="eastAsia" w:ascii="宋体" w:hAnsi="宋体"/>
          <w:szCs w:val="28"/>
        </w:rPr>
        <w:t>（2）查证法：通过书面及口头方式，现场询问相关人员，核查相关资料是否真实、合理，从而对项目做出初步的判断和评价。</w:t>
      </w:r>
    </w:p>
    <w:p>
      <w:pPr>
        <w:snapToGrid w:val="0"/>
        <w:spacing w:line="560" w:lineRule="atLeast"/>
        <w:ind w:firstLine="560"/>
        <w:rPr>
          <w:rFonts w:ascii="宋体" w:hAnsi="宋体"/>
          <w:szCs w:val="28"/>
        </w:rPr>
      </w:pPr>
      <w:r>
        <w:rPr>
          <w:rFonts w:hint="eastAsia" w:ascii="宋体" w:hAnsi="宋体"/>
          <w:szCs w:val="28"/>
        </w:rPr>
        <w:t>（3）比较法：通过对绩效目标与实施效果、历史与当期情况的比较,综合分析绩效目标实现程度。</w:t>
      </w:r>
    </w:p>
    <w:p>
      <w:pPr>
        <w:snapToGrid w:val="0"/>
        <w:spacing w:line="560" w:lineRule="atLeast"/>
        <w:ind w:firstLine="560"/>
        <w:rPr>
          <w:rFonts w:ascii="宋体" w:hAnsi="宋体"/>
          <w:szCs w:val="28"/>
        </w:rPr>
      </w:pPr>
      <w:r>
        <w:rPr>
          <w:rFonts w:hint="eastAsia" w:ascii="宋体" w:hAnsi="宋体"/>
          <w:szCs w:val="28"/>
        </w:rPr>
        <w:t>（</w:t>
      </w:r>
      <w:r>
        <w:rPr>
          <w:rFonts w:ascii="宋体" w:hAnsi="宋体"/>
          <w:szCs w:val="28"/>
        </w:rPr>
        <w:t>4</w:t>
      </w:r>
      <w:r>
        <w:rPr>
          <w:rFonts w:hint="eastAsia" w:ascii="宋体" w:hAnsi="宋体"/>
          <w:szCs w:val="28"/>
        </w:rPr>
        <w:t>）其他评价方法。</w:t>
      </w:r>
    </w:p>
    <w:p>
      <w:pPr>
        <w:pStyle w:val="25"/>
        <w:snapToGrid w:val="0"/>
        <w:spacing w:line="560" w:lineRule="exact"/>
        <w:ind w:left="982" w:hanging="420" w:firstLineChars="0"/>
        <w:outlineLvl w:val="1"/>
        <w:rPr>
          <w:rFonts w:ascii="宋体" w:hAnsi="宋体"/>
          <w:b/>
          <w:szCs w:val="28"/>
        </w:rPr>
      </w:pPr>
      <w:r>
        <w:rPr>
          <w:rFonts w:hint="eastAsia" w:ascii="宋体" w:hAnsi="宋体"/>
          <w:b/>
          <w:szCs w:val="28"/>
        </w:rPr>
        <w:t>（四）绩效评价工作过程</w:t>
      </w:r>
    </w:p>
    <w:p>
      <w:pPr>
        <w:snapToGrid w:val="0"/>
        <w:spacing w:line="560" w:lineRule="exact"/>
        <w:ind w:left="561" w:firstLine="0" w:firstLineChars="0"/>
        <w:outlineLvl w:val="3"/>
        <w:rPr>
          <w:rFonts w:ascii="宋体" w:hAnsi="宋体"/>
          <w:b/>
          <w:bCs/>
          <w:szCs w:val="28"/>
        </w:rPr>
      </w:pPr>
      <w:r>
        <w:rPr>
          <w:rFonts w:hint="eastAsia" w:ascii="宋体" w:hAnsi="宋体"/>
          <w:b/>
          <w:bCs/>
          <w:szCs w:val="28"/>
        </w:rPr>
        <w:t>1、前期准备</w:t>
      </w:r>
    </w:p>
    <w:p>
      <w:pPr>
        <w:snapToGrid w:val="0"/>
        <w:spacing w:line="560" w:lineRule="atLeast"/>
        <w:ind w:firstLine="560"/>
        <w:rPr>
          <w:rFonts w:ascii="宋体" w:hAnsi="宋体"/>
          <w:szCs w:val="28"/>
        </w:rPr>
      </w:pPr>
      <w:r>
        <w:rPr>
          <w:rFonts w:hint="eastAsia" w:ascii="宋体" w:hAnsi="宋体"/>
          <w:szCs w:val="28"/>
        </w:rPr>
        <w:t>（1）确定绩效评价对象。本次评价对象为重庆市铜梁区场镇基础设施功能补短板建设项目绩效。</w:t>
      </w:r>
    </w:p>
    <w:p>
      <w:pPr>
        <w:snapToGrid w:val="0"/>
        <w:spacing w:line="560" w:lineRule="atLeast"/>
        <w:ind w:firstLine="560"/>
        <w:rPr>
          <w:rFonts w:ascii="宋体" w:hAnsi="宋体"/>
          <w:szCs w:val="28"/>
        </w:rPr>
      </w:pPr>
      <w:r>
        <w:rPr>
          <w:rFonts w:hint="eastAsia" w:ascii="宋体" w:hAnsi="宋体"/>
          <w:szCs w:val="28"/>
        </w:rPr>
        <w:t>（2）制定绩效评价工作方案。本次经过初步调研，在区财政局的指导下根据有关规定和评价对象的特点，拟定详细的绩效评价工作方案。主要内容包括：评价依据、评价工作计划，拟采用的绩效评价指标、评价标准、评价方法及有关工作条件。</w:t>
      </w:r>
    </w:p>
    <w:p>
      <w:pPr>
        <w:snapToGrid w:val="0"/>
        <w:spacing w:line="560" w:lineRule="exact"/>
        <w:ind w:firstLine="561" w:firstLineChars="0"/>
        <w:outlineLvl w:val="3"/>
        <w:rPr>
          <w:rFonts w:ascii="宋体" w:hAnsi="宋体" w:cs="宋体"/>
          <w:b/>
          <w:bCs/>
          <w:kern w:val="0"/>
          <w:szCs w:val="28"/>
        </w:rPr>
      </w:pPr>
      <w:r>
        <w:rPr>
          <w:rFonts w:ascii="宋体" w:hAnsi="宋体" w:cs="宋体"/>
          <w:b/>
          <w:bCs/>
          <w:kern w:val="0"/>
          <w:szCs w:val="28"/>
        </w:rPr>
        <w:t>2</w:t>
      </w:r>
      <w:r>
        <w:rPr>
          <w:rFonts w:hint="eastAsia" w:ascii="宋体" w:hAnsi="宋体" w:cs="宋体"/>
          <w:b/>
          <w:bCs/>
          <w:kern w:val="0"/>
          <w:szCs w:val="28"/>
        </w:rPr>
        <w:t>、组织实施</w:t>
      </w:r>
    </w:p>
    <w:p>
      <w:pPr>
        <w:snapToGrid w:val="0"/>
        <w:spacing w:line="560" w:lineRule="atLeast"/>
        <w:ind w:firstLine="560"/>
        <w:rPr>
          <w:rFonts w:ascii="宋体" w:hAnsi="宋体"/>
          <w:szCs w:val="28"/>
        </w:rPr>
      </w:pPr>
      <w:r>
        <w:rPr>
          <w:rFonts w:hint="eastAsia" w:ascii="宋体" w:hAnsi="宋体"/>
          <w:szCs w:val="28"/>
        </w:rPr>
        <w:t>（1）收集并复核资料。被评价单位上报基础资料后，我们组织人员对资料进行复核。</w:t>
      </w:r>
    </w:p>
    <w:p>
      <w:pPr>
        <w:snapToGrid w:val="0"/>
        <w:spacing w:line="560" w:lineRule="atLeast"/>
        <w:ind w:firstLine="560"/>
        <w:rPr>
          <w:rFonts w:ascii="宋体" w:hAnsi="宋体"/>
          <w:szCs w:val="28"/>
        </w:rPr>
      </w:pPr>
      <w:r>
        <w:rPr>
          <w:rFonts w:hint="eastAsia" w:ascii="宋体" w:hAnsi="宋体"/>
          <w:szCs w:val="28"/>
        </w:rPr>
        <w:t>（2）对项目进行现场检查，并对资金的支付情况进行延伸检查。</w:t>
      </w:r>
    </w:p>
    <w:p>
      <w:pPr>
        <w:snapToGrid w:val="0"/>
        <w:spacing w:line="560" w:lineRule="atLeast"/>
        <w:ind w:firstLine="560"/>
        <w:rPr>
          <w:rFonts w:ascii="宋体" w:hAnsi="宋体"/>
          <w:szCs w:val="28"/>
        </w:rPr>
      </w:pPr>
      <w:r>
        <w:rPr>
          <w:rFonts w:hint="eastAsia" w:ascii="宋体" w:hAnsi="宋体"/>
          <w:szCs w:val="28"/>
        </w:rPr>
        <w:t>（3）深入项目单位及工作现场，通过听取情况介绍、实地考察、调查问卷、座谈询问、对照查证复核等方式，对项目有关情况和基础材料进行核实。</w:t>
      </w:r>
    </w:p>
    <w:p>
      <w:pPr>
        <w:snapToGrid w:val="0"/>
        <w:spacing w:line="560" w:lineRule="exact"/>
        <w:ind w:firstLine="561" w:firstLineChars="0"/>
        <w:outlineLvl w:val="3"/>
        <w:rPr>
          <w:rFonts w:ascii="宋体" w:hAnsi="宋体" w:cs="宋体"/>
          <w:b/>
          <w:bCs/>
          <w:kern w:val="0"/>
          <w:szCs w:val="28"/>
        </w:rPr>
      </w:pPr>
      <w:r>
        <w:rPr>
          <w:rFonts w:ascii="宋体" w:hAnsi="宋体" w:cs="宋体"/>
          <w:b/>
          <w:bCs/>
          <w:kern w:val="0"/>
          <w:szCs w:val="28"/>
        </w:rPr>
        <w:t>3</w:t>
      </w:r>
      <w:r>
        <w:rPr>
          <w:rFonts w:hint="eastAsia" w:ascii="宋体" w:hAnsi="宋体" w:cs="宋体"/>
          <w:b/>
          <w:bCs/>
          <w:kern w:val="0"/>
          <w:szCs w:val="28"/>
        </w:rPr>
        <w:t>、分析评价</w:t>
      </w:r>
    </w:p>
    <w:p>
      <w:pPr>
        <w:snapToGrid w:val="0"/>
        <w:spacing w:line="560" w:lineRule="atLeast"/>
        <w:ind w:firstLine="560"/>
        <w:rPr>
          <w:rFonts w:ascii="宋体" w:hAnsi="宋体"/>
          <w:szCs w:val="28"/>
        </w:rPr>
      </w:pPr>
      <w:r>
        <w:rPr>
          <w:rFonts w:hint="eastAsia" w:ascii="宋体" w:hAnsi="宋体"/>
          <w:szCs w:val="28"/>
        </w:rPr>
        <w:t>对评价对象的绩效情况进行全面的定量、定性分析和综合评价，形成绩效评价结论。</w:t>
      </w:r>
    </w:p>
    <w:p>
      <w:pPr>
        <w:pStyle w:val="25"/>
        <w:snapToGrid w:val="0"/>
        <w:spacing w:line="560" w:lineRule="exact"/>
        <w:ind w:left="562" w:firstLine="0" w:firstLineChars="0"/>
        <w:outlineLvl w:val="0"/>
        <w:rPr>
          <w:rFonts w:ascii="宋体" w:hAnsi="宋体"/>
          <w:b/>
          <w:szCs w:val="28"/>
        </w:rPr>
      </w:pPr>
      <w:r>
        <w:rPr>
          <w:rFonts w:hint="eastAsia" w:ascii="宋体" w:hAnsi="宋体"/>
          <w:b/>
          <w:szCs w:val="28"/>
          <w:lang w:val="en-US" w:eastAsia="zh-CN"/>
        </w:rPr>
        <w:t>三</w:t>
      </w:r>
      <w:r>
        <w:rPr>
          <w:rFonts w:hint="eastAsia" w:ascii="宋体" w:hAnsi="宋体"/>
          <w:b/>
          <w:szCs w:val="28"/>
        </w:rPr>
        <w:t>、绩效评价指标情况</w:t>
      </w:r>
    </w:p>
    <w:p>
      <w:pPr>
        <w:pStyle w:val="25"/>
        <w:snapToGrid w:val="0"/>
        <w:spacing w:line="560" w:lineRule="exact"/>
        <w:ind w:firstLine="562"/>
        <w:outlineLvl w:val="1"/>
        <w:rPr>
          <w:szCs w:val="28"/>
        </w:rPr>
      </w:pPr>
      <w:r>
        <w:rPr>
          <w:rFonts w:hint="eastAsia" w:ascii="宋体" w:hAnsi="宋体"/>
          <w:b/>
          <w:szCs w:val="28"/>
        </w:rPr>
        <w:t>（一）投入类指标</w:t>
      </w:r>
    </w:p>
    <w:p>
      <w:pPr>
        <w:snapToGrid w:val="0"/>
        <w:spacing w:line="560" w:lineRule="atLeast"/>
        <w:ind w:firstLine="560"/>
        <w:rPr>
          <w:rFonts w:ascii="宋体" w:hAnsi="宋体"/>
          <w:szCs w:val="28"/>
        </w:rPr>
      </w:pPr>
      <w:r>
        <w:rPr>
          <w:rFonts w:hint="eastAsia" w:ascii="宋体" w:hAnsi="宋体"/>
          <w:szCs w:val="28"/>
        </w:rPr>
        <w:t>涉及投入的二级指标为：项目立项、绩效目标及资金落实。各二级指标下设三级指标。</w:t>
      </w:r>
    </w:p>
    <w:p>
      <w:pPr>
        <w:snapToGrid w:val="0"/>
        <w:spacing w:line="560" w:lineRule="atLeast"/>
        <w:ind w:firstLine="560"/>
        <w:rPr>
          <w:rFonts w:ascii="宋体" w:hAnsi="宋体"/>
          <w:szCs w:val="28"/>
        </w:rPr>
      </w:pPr>
      <w:r>
        <w:rPr>
          <w:rFonts w:hint="eastAsia" w:ascii="宋体" w:hAnsi="宋体"/>
          <w:szCs w:val="28"/>
        </w:rPr>
        <w:t>该项总分20分，实际得分14.06分，扣分5.9</w:t>
      </w:r>
      <w:r>
        <w:rPr>
          <w:rFonts w:hint="eastAsia" w:ascii="宋体" w:hAnsi="宋体"/>
          <w:szCs w:val="28"/>
          <w:lang w:val="en-US" w:eastAsia="zh-CN"/>
        </w:rPr>
        <w:t>4</w:t>
      </w:r>
      <w:r>
        <w:rPr>
          <w:rFonts w:hint="eastAsia" w:ascii="宋体" w:hAnsi="宋体"/>
          <w:szCs w:val="28"/>
        </w:rPr>
        <w:t>分，具体情况如下：</w:t>
      </w:r>
    </w:p>
    <w:tbl>
      <w:tblPr>
        <w:tblStyle w:val="18"/>
        <w:tblW w:w="8258" w:type="dxa"/>
        <w:tblInd w:w="113" w:type="dxa"/>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738"/>
        <w:gridCol w:w="992"/>
        <w:gridCol w:w="4961"/>
        <w:gridCol w:w="787"/>
        <w:gridCol w:w="780"/>
      </w:tblGrid>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285" w:hRule="atLeast"/>
          <w:tblHeader/>
        </w:trPr>
        <w:tc>
          <w:tcPr>
            <w:tcW w:w="738" w:type="dxa"/>
            <w:shd w:val="clear" w:color="auto" w:fill="auto"/>
            <w:vAlign w:val="center"/>
          </w:tcPr>
          <w:p>
            <w:pPr>
              <w:widowControl/>
              <w:spacing w:line="240" w:lineRule="auto"/>
              <w:ind w:firstLine="0" w:firstLineChars="0"/>
              <w:jc w:val="center"/>
              <w:rPr>
                <w:rFonts w:ascii="方正仿宋_GBK" w:hAnsi="等线" w:eastAsia="方正仿宋_GBK" w:cs="宋体"/>
                <w:b/>
                <w:bCs/>
                <w:color w:val="000000"/>
                <w:kern w:val="0"/>
                <w:sz w:val="18"/>
                <w:szCs w:val="18"/>
              </w:rPr>
            </w:pPr>
            <w:r>
              <w:rPr>
                <w:rFonts w:hint="eastAsia" w:ascii="方正仿宋_GBK" w:hAnsi="等线" w:eastAsia="方正仿宋_GBK" w:cs="宋体"/>
                <w:b/>
                <w:bCs/>
                <w:color w:val="000000"/>
                <w:kern w:val="0"/>
                <w:sz w:val="18"/>
                <w:szCs w:val="18"/>
              </w:rPr>
              <w:t>二级指标</w:t>
            </w:r>
          </w:p>
        </w:tc>
        <w:tc>
          <w:tcPr>
            <w:tcW w:w="992" w:type="dxa"/>
            <w:shd w:val="clear" w:color="auto" w:fill="auto"/>
            <w:vAlign w:val="center"/>
          </w:tcPr>
          <w:p>
            <w:pPr>
              <w:widowControl/>
              <w:spacing w:line="240" w:lineRule="auto"/>
              <w:ind w:firstLine="0" w:firstLineChars="0"/>
              <w:jc w:val="center"/>
              <w:rPr>
                <w:rFonts w:ascii="方正仿宋_GBK" w:hAnsi="等线" w:eastAsia="方正仿宋_GBK" w:cs="宋体"/>
                <w:b/>
                <w:bCs/>
                <w:color w:val="000000"/>
                <w:kern w:val="0"/>
                <w:sz w:val="18"/>
                <w:szCs w:val="18"/>
              </w:rPr>
            </w:pPr>
            <w:r>
              <w:rPr>
                <w:rFonts w:hint="eastAsia" w:ascii="方正仿宋_GBK" w:hAnsi="等线" w:eastAsia="方正仿宋_GBK" w:cs="宋体"/>
                <w:b/>
                <w:bCs/>
                <w:color w:val="000000"/>
                <w:kern w:val="0"/>
                <w:sz w:val="18"/>
                <w:szCs w:val="18"/>
              </w:rPr>
              <w:t>三级指标</w:t>
            </w:r>
          </w:p>
        </w:tc>
        <w:tc>
          <w:tcPr>
            <w:tcW w:w="4961" w:type="dxa"/>
            <w:shd w:val="clear" w:color="auto" w:fill="auto"/>
            <w:vAlign w:val="center"/>
          </w:tcPr>
          <w:p>
            <w:pPr>
              <w:widowControl/>
              <w:spacing w:line="240" w:lineRule="auto"/>
              <w:ind w:firstLine="0" w:firstLineChars="0"/>
              <w:jc w:val="center"/>
              <w:rPr>
                <w:rFonts w:ascii="方正仿宋_GBK" w:hAnsi="等线" w:eastAsia="方正仿宋_GBK" w:cs="宋体"/>
                <w:b/>
                <w:bCs/>
                <w:color w:val="000000"/>
                <w:kern w:val="0"/>
                <w:sz w:val="18"/>
                <w:szCs w:val="18"/>
              </w:rPr>
            </w:pPr>
            <w:r>
              <w:rPr>
                <w:rFonts w:hint="eastAsia" w:ascii="方正仿宋_GBK" w:hAnsi="等线" w:eastAsia="方正仿宋_GBK" w:cs="宋体"/>
                <w:b/>
                <w:bCs/>
                <w:color w:val="000000"/>
                <w:kern w:val="0"/>
                <w:sz w:val="18"/>
                <w:szCs w:val="18"/>
              </w:rPr>
              <w:t>评分标准</w:t>
            </w:r>
          </w:p>
        </w:tc>
        <w:tc>
          <w:tcPr>
            <w:tcW w:w="787" w:type="dxa"/>
            <w:shd w:val="clear" w:color="auto" w:fill="auto"/>
            <w:noWrap/>
            <w:vAlign w:val="center"/>
          </w:tcPr>
          <w:p>
            <w:pPr>
              <w:widowControl/>
              <w:spacing w:line="240" w:lineRule="auto"/>
              <w:ind w:firstLine="0" w:firstLineChars="0"/>
              <w:jc w:val="center"/>
              <w:rPr>
                <w:rFonts w:ascii="方正仿宋_GBK" w:hAnsi="等线" w:eastAsia="方正仿宋_GBK" w:cs="宋体"/>
                <w:b/>
                <w:bCs/>
                <w:color w:val="000000"/>
                <w:kern w:val="0"/>
                <w:sz w:val="18"/>
                <w:szCs w:val="18"/>
              </w:rPr>
            </w:pPr>
            <w:r>
              <w:rPr>
                <w:rFonts w:hint="eastAsia" w:ascii="方正仿宋_GBK" w:hAnsi="等线" w:eastAsia="方正仿宋_GBK" w:cs="宋体"/>
                <w:b/>
                <w:bCs/>
                <w:color w:val="000000"/>
                <w:kern w:val="0"/>
                <w:sz w:val="18"/>
                <w:szCs w:val="18"/>
              </w:rPr>
              <w:t>分值</w:t>
            </w:r>
          </w:p>
        </w:tc>
        <w:tc>
          <w:tcPr>
            <w:tcW w:w="780" w:type="dxa"/>
            <w:shd w:val="clear" w:color="auto" w:fill="auto"/>
            <w:noWrap/>
            <w:vAlign w:val="center"/>
          </w:tcPr>
          <w:p>
            <w:pPr>
              <w:widowControl/>
              <w:spacing w:line="240" w:lineRule="auto"/>
              <w:ind w:firstLine="0" w:firstLineChars="0"/>
              <w:jc w:val="center"/>
              <w:rPr>
                <w:rFonts w:ascii="方正仿宋_GBK" w:hAnsi="等线" w:eastAsia="方正仿宋_GBK" w:cs="宋体"/>
                <w:b/>
                <w:bCs/>
                <w:color w:val="000000"/>
                <w:kern w:val="0"/>
                <w:sz w:val="18"/>
                <w:szCs w:val="18"/>
              </w:rPr>
            </w:pPr>
            <w:r>
              <w:rPr>
                <w:rFonts w:hint="eastAsia" w:ascii="方正仿宋_GBK" w:hAnsi="等线" w:eastAsia="方正仿宋_GBK" w:cs="宋体"/>
                <w:b/>
                <w:bCs/>
                <w:color w:val="000000"/>
                <w:kern w:val="0"/>
                <w:sz w:val="18"/>
                <w:szCs w:val="18"/>
              </w:rPr>
              <w:t>得分</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1167" w:hRule="atLeast"/>
        </w:trPr>
        <w:tc>
          <w:tcPr>
            <w:tcW w:w="738" w:type="dxa"/>
            <w:vMerge w:val="restart"/>
            <w:shd w:val="clear" w:color="auto" w:fill="auto"/>
            <w:noWrap/>
            <w:vAlign w:val="center"/>
          </w:tcPr>
          <w:p>
            <w:pPr>
              <w:widowControl/>
              <w:spacing w:line="240" w:lineRule="auto"/>
              <w:ind w:firstLine="0" w:firstLineChars="0"/>
              <w:jc w:val="center"/>
              <w:rPr>
                <w:rFonts w:ascii="方正仿宋_GBK" w:hAnsi="等线" w:eastAsia="方正仿宋_GBK" w:cs="宋体"/>
                <w:color w:val="000000"/>
                <w:kern w:val="0"/>
                <w:sz w:val="18"/>
                <w:szCs w:val="18"/>
              </w:rPr>
            </w:pPr>
            <w:r>
              <w:rPr>
                <w:rFonts w:hint="eastAsia" w:ascii="微软雅黑" w:hAnsi="微软雅黑" w:eastAsia="微软雅黑" w:cs="微软雅黑"/>
                <w:color w:val="000000"/>
                <w:kern w:val="0"/>
                <w:sz w:val="18"/>
                <w:szCs w:val="18"/>
              </w:rPr>
              <w:t>项目立项</w:t>
            </w:r>
          </w:p>
        </w:tc>
        <w:tc>
          <w:tcPr>
            <w:tcW w:w="992" w:type="dxa"/>
            <w:shd w:val="clear" w:color="auto" w:fill="auto"/>
            <w:vAlign w:val="center"/>
          </w:tcPr>
          <w:p>
            <w:pPr>
              <w:widowControl/>
              <w:spacing w:line="240" w:lineRule="auto"/>
              <w:ind w:firstLine="0" w:firstLineChars="0"/>
              <w:jc w:val="center"/>
              <w:rPr>
                <w:rFonts w:ascii="方正仿宋_GBK" w:hAnsi="等线" w:eastAsia="方正仿宋_GBK" w:cs="宋体"/>
                <w:color w:val="000000"/>
                <w:kern w:val="0"/>
                <w:sz w:val="18"/>
                <w:szCs w:val="18"/>
              </w:rPr>
            </w:pPr>
            <w:r>
              <w:rPr>
                <w:rFonts w:hint="eastAsia" w:ascii="微软雅黑" w:hAnsi="微软雅黑" w:eastAsia="微软雅黑" w:cs="微软雅黑"/>
                <w:color w:val="000000"/>
                <w:kern w:val="0"/>
                <w:sz w:val="18"/>
                <w:szCs w:val="18"/>
              </w:rPr>
              <w:t>立项依据充分性</w:t>
            </w:r>
          </w:p>
        </w:tc>
        <w:tc>
          <w:tcPr>
            <w:tcW w:w="4961" w:type="dxa"/>
            <w:shd w:val="clear" w:color="auto" w:fill="auto"/>
            <w:vAlign w:val="center"/>
          </w:tcPr>
          <w:p>
            <w:pPr>
              <w:widowControl/>
              <w:spacing w:line="240" w:lineRule="auto"/>
              <w:ind w:firstLine="0" w:firstLineChars="0"/>
              <w:jc w:val="left"/>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①项目立项是否符合国家法律法规、国民经济发展规划和相关政策；未发现问题得2.5分，否则不得分。</w:t>
            </w:r>
          </w:p>
          <w:p>
            <w:pPr>
              <w:widowControl/>
              <w:spacing w:line="240" w:lineRule="auto"/>
              <w:ind w:firstLine="0" w:firstLineChars="0"/>
              <w:jc w:val="left"/>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②项目立项是否与部门职责范围相符，属于部门履职所需。未发现问题得2.5分，否则不得分。</w:t>
            </w:r>
          </w:p>
        </w:tc>
        <w:tc>
          <w:tcPr>
            <w:tcW w:w="787" w:type="dxa"/>
            <w:shd w:val="clear" w:color="auto" w:fill="auto"/>
            <w:noWrap/>
            <w:vAlign w:val="center"/>
          </w:tcPr>
          <w:p>
            <w:pPr>
              <w:widowControl/>
              <w:spacing w:line="240" w:lineRule="auto"/>
              <w:ind w:firstLine="0" w:firstLineChars="0"/>
              <w:jc w:val="center"/>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5</w:t>
            </w:r>
          </w:p>
        </w:tc>
        <w:tc>
          <w:tcPr>
            <w:tcW w:w="780" w:type="dxa"/>
            <w:shd w:val="clear" w:color="auto" w:fill="auto"/>
            <w:noWrap/>
            <w:vAlign w:val="center"/>
          </w:tcPr>
          <w:p>
            <w:pPr>
              <w:widowControl/>
              <w:spacing w:line="240" w:lineRule="auto"/>
              <w:ind w:firstLine="0" w:firstLineChars="0"/>
              <w:jc w:val="center"/>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5</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trPr>
        <w:tc>
          <w:tcPr>
            <w:tcW w:w="738" w:type="dxa"/>
            <w:vMerge w:val="continue"/>
            <w:shd w:val="clear" w:color="auto" w:fill="auto"/>
            <w:vAlign w:val="center"/>
          </w:tcPr>
          <w:p>
            <w:pPr>
              <w:widowControl/>
              <w:spacing w:line="240" w:lineRule="auto"/>
              <w:ind w:firstLine="0" w:firstLineChars="0"/>
              <w:jc w:val="left"/>
              <w:rPr>
                <w:rFonts w:ascii="方正仿宋_GBK" w:hAnsi="等线" w:eastAsia="方正仿宋_GBK" w:cs="宋体"/>
                <w:color w:val="000000"/>
                <w:kern w:val="0"/>
                <w:sz w:val="18"/>
                <w:szCs w:val="18"/>
              </w:rPr>
            </w:pPr>
          </w:p>
        </w:tc>
        <w:tc>
          <w:tcPr>
            <w:tcW w:w="992" w:type="dxa"/>
            <w:shd w:val="clear" w:color="auto" w:fill="auto"/>
            <w:vAlign w:val="center"/>
          </w:tcPr>
          <w:p>
            <w:pPr>
              <w:widowControl/>
              <w:spacing w:line="240" w:lineRule="auto"/>
              <w:ind w:firstLine="0" w:firstLineChars="0"/>
              <w:jc w:val="center"/>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立项程序</w:t>
            </w:r>
            <w:r>
              <w:rPr>
                <w:rFonts w:hint="eastAsia" w:ascii="方正仿宋_GBK" w:hAnsi="等线" w:eastAsia="方正仿宋_GBK" w:cs="宋体"/>
                <w:color w:val="000000"/>
                <w:kern w:val="0"/>
                <w:sz w:val="18"/>
                <w:szCs w:val="18"/>
              </w:rPr>
              <w:br w:type="textWrapping"/>
            </w:r>
            <w:r>
              <w:rPr>
                <w:rFonts w:hint="eastAsia" w:ascii="方正仿宋_GBK" w:hAnsi="等线" w:eastAsia="方正仿宋_GBK" w:cs="宋体"/>
                <w:color w:val="000000"/>
                <w:kern w:val="0"/>
                <w:sz w:val="18"/>
                <w:szCs w:val="18"/>
              </w:rPr>
              <w:t>规范性</w:t>
            </w:r>
          </w:p>
        </w:tc>
        <w:tc>
          <w:tcPr>
            <w:tcW w:w="4961" w:type="dxa"/>
            <w:shd w:val="clear" w:color="auto" w:fill="auto"/>
            <w:vAlign w:val="center"/>
          </w:tcPr>
          <w:p>
            <w:pPr>
              <w:widowControl/>
              <w:spacing w:line="240" w:lineRule="auto"/>
              <w:ind w:firstLine="0" w:firstLineChars="0"/>
              <w:jc w:val="left"/>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①项目是否按照规定的程序申请设立，审批文件、材料是否符合相关要求；未发现问题得2.5分，否则不得分。</w:t>
            </w:r>
          </w:p>
          <w:p>
            <w:pPr>
              <w:widowControl/>
              <w:spacing w:line="240" w:lineRule="auto"/>
              <w:ind w:firstLine="0" w:firstLineChars="0"/>
              <w:jc w:val="left"/>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②事前是否已经过必要的可行性研究、专家论证、风险评估、绩效评估、集体决策。未发现问题得2.5分，缺1项扣1分，扣完为止。</w:t>
            </w:r>
          </w:p>
        </w:tc>
        <w:tc>
          <w:tcPr>
            <w:tcW w:w="787" w:type="dxa"/>
            <w:shd w:val="clear" w:color="auto" w:fill="auto"/>
            <w:noWrap/>
            <w:vAlign w:val="center"/>
          </w:tcPr>
          <w:p>
            <w:pPr>
              <w:widowControl/>
              <w:spacing w:line="240" w:lineRule="auto"/>
              <w:ind w:firstLine="0" w:firstLineChars="0"/>
              <w:jc w:val="center"/>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5</w:t>
            </w:r>
          </w:p>
        </w:tc>
        <w:tc>
          <w:tcPr>
            <w:tcW w:w="780" w:type="dxa"/>
            <w:shd w:val="clear" w:color="auto" w:fill="auto"/>
            <w:noWrap/>
            <w:vAlign w:val="center"/>
          </w:tcPr>
          <w:p>
            <w:pPr>
              <w:widowControl/>
              <w:spacing w:line="240" w:lineRule="auto"/>
              <w:ind w:firstLine="0" w:firstLineChars="0"/>
              <w:jc w:val="center"/>
              <w:rPr>
                <w:rFonts w:hint="eastAsia" w:ascii="方正仿宋_GBK" w:hAnsi="等线" w:eastAsia="方正仿宋_GBK" w:cs="宋体"/>
                <w:color w:val="000000"/>
                <w:kern w:val="0"/>
                <w:sz w:val="18"/>
                <w:szCs w:val="18"/>
                <w:lang w:val="en-US" w:eastAsia="zh-CN"/>
              </w:rPr>
            </w:pPr>
            <w:r>
              <w:rPr>
                <w:rFonts w:hint="eastAsia" w:ascii="方正仿宋_GBK" w:hAnsi="等线" w:eastAsia="方正仿宋_GBK" w:cs="宋体"/>
                <w:color w:val="000000"/>
                <w:kern w:val="0"/>
                <w:sz w:val="18"/>
                <w:szCs w:val="18"/>
              </w:rPr>
              <w:t>4.7</w:t>
            </w:r>
            <w:r>
              <w:rPr>
                <w:rFonts w:hint="eastAsia" w:ascii="方正仿宋_GBK" w:hAnsi="等线" w:eastAsia="方正仿宋_GBK" w:cs="宋体"/>
                <w:color w:val="000000"/>
                <w:kern w:val="0"/>
                <w:sz w:val="18"/>
                <w:szCs w:val="18"/>
                <w:lang w:val="en-US" w:eastAsia="zh-CN"/>
              </w:rPr>
              <w:t>2</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970" w:hRule="atLeast"/>
        </w:trPr>
        <w:tc>
          <w:tcPr>
            <w:tcW w:w="738" w:type="dxa"/>
            <w:vMerge w:val="restart"/>
            <w:shd w:val="clear" w:color="auto" w:fill="auto"/>
            <w:noWrap/>
            <w:vAlign w:val="center"/>
          </w:tcPr>
          <w:p>
            <w:pPr>
              <w:widowControl/>
              <w:spacing w:line="240" w:lineRule="auto"/>
              <w:ind w:firstLine="0" w:firstLineChars="0"/>
              <w:jc w:val="center"/>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绩效目标</w:t>
            </w:r>
          </w:p>
          <w:p>
            <w:pPr>
              <w:widowControl/>
              <w:spacing w:line="240" w:lineRule="auto"/>
              <w:ind w:firstLine="0" w:firstLineChars="0"/>
              <w:jc w:val="center"/>
              <w:rPr>
                <w:rFonts w:ascii="方正仿宋_GBK" w:hAnsi="等线" w:eastAsia="方正仿宋_GBK" w:cs="宋体"/>
                <w:color w:val="000000"/>
                <w:kern w:val="0"/>
                <w:sz w:val="18"/>
                <w:szCs w:val="18"/>
              </w:rPr>
            </w:pPr>
          </w:p>
        </w:tc>
        <w:tc>
          <w:tcPr>
            <w:tcW w:w="992" w:type="dxa"/>
            <w:shd w:val="clear" w:color="auto" w:fill="auto"/>
            <w:vAlign w:val="center"/>
          </w:tcPr>
          <w:p>
            <w:pPr>
              <w:widowControl/>
              <w:spacing w:line="240" w:lineRule="auto"/>
              <w:ind w:firstLine="0" w:firstLineChars="0"/>
              <w:jc w:val="center"/>
              <w:rPr>
                <w:rFonts w:ascii="方正仿宋_GBK" w:hAnsi="等线" w:eastAsia="方正仿宋_GBK" w:cs="宋体"/>
                <w:color w:val="000000"/>
                <w:kern w:val="0"/>
                <w:sz w:val="18"/>
                <w:szCs w:val="18"/>
              </w:rPr>
            </w:pPr>
            <w:r>
              <w:rPr>
                <w:rFonts w:hint="eastAsia" w:ascii="微软雅黑" w:hAnsi="微软雅黑" w:eastAsia="微软雅黑" w:cs="微软雅黑"/>
                <w:color w:val="000000"/>
                <w:kern w:val="0"/>
                <w:sz w:val="18"/>
                <w:szCs w:val="18"/>
              </w:rPr>
              <w:t>绩效目标</w:t>
            </w:r>
            <w:r>
              <w:rPr>
                <w:rFonts w:hint="eastAsia" w:ascii="方正仿宋_GBK" w:hAnsi="等线" w:eastAsia="方正仿宋_GBK" w:cs="宋体"/>
                <w:color w:val="000000"/>
                <w:kern w:val="0"/>
                <w:sz w:val="18"/>
                <w:szCs w:val="18"/>
              </w:rPr>
              <w:br w:type="textWrapping"/>
            </w:r>
            <w:r>
              <w:rPr>
                <w:rFonts w:hint="eastAsia" w:ascii="方正仿宋_GBK" w:hAnsi="等线" w:eastAsia="方正仿宋_GBK" w:cs="宋体"/>
                <w:color w:val="000000"/>
                <w:kern w:val="0"/>
                <w:sz w:val="18"/>
                <w:szCs w:val="18"/>
              </w:rPr>
              <w:t>合理性</w:t>
            </w:r>
          </w:p>
        </w:tc>
        <w:tc>
          <w:tcPr>
            <w:tcW w:w="4961" w:type="dxa"/>
            <w:shd w:val="clear" w:color="auto" w:fill="auto"/>
            <w:vAlign w:val="center"/>
          </w:tcPr>
          <w:p>
            <w:pPr>
              <w:widowControl/>
              <w:spacing w:line="240" w:lineRule="auto"/>
              <w:ind w:firstLine="0" w:firstLineChars="0"/>
              <w:jc w:val="left"/>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①与区县主管部门职责密切相关的得1.5分，否则不得分；</w:t>
            </w:r>
          </w:p>
          <w:p>
            <w:pPr>
              <w:widowControl/>
              <w:spacing w:line="240" w:lineRule="auto"/>
              <w:ind w:firstLine="0" w:firstLineChars="0"/>
              <w:jc w:val="left"/>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②项目预期产出、效益和效果符合正常的业绩水平的得1.5分，否则不得分。</w:t>
            </w:r>
          </w:p>
        </w:tc>
        <w:tc>
          <w:tcPr>
            <w:tcW w:w="787" w:type="dxa"/>
            <w:shd w:val="clear" w:color="auto" w:fill="auto"/>
            <w:noWrap/>
            <w:vAlign w:val="center"/>
          </w:tcPr>
          <w:p>
            <w:pPr>
              <w:widowControl/>
              <w:spacing w:line="240" w:lineRule="auto"/>
              <w:ind w:firstLine="0" w:firstLineChars="0"/>
              <w:jc w:val="center"/>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3</w:t>
            </w:r>
          </w:p>
        </w:tc>
        <w:tc>
          <w:tcPr>
            <w:tcW w:w="780" w:type="dxa"/>
            <w:shd w:val="clear" w:color="auto" w:fill="auto"/>
            <w:noWrap/>
            <w:vAlign w:val="center"/>
          </w:tcPr>
          <w:p>
            <w:pPr>
              <w:widowControl/>
              <w:spacing w:line="240" w:lineRule="auto"/>
              <w:ind w:firstLine="0" w:firstLineChars="0"/>
              <w:jc w:val="center"/>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3</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1073" w:hRule="atLeast"/>
        </w:trPr>
        <w:tc>
          <w:tcPr>
            <w:tcW w:w="738" w:type="dxa"/>
            <w:vMerge w:val="continue"/>
            <w:shd w:val="clear" w:color="auto" w:fill="auto"/>
            <w:vAlign w:val="center"/>
          </w:tcPr>
          <w:p>
            <w:pPr>
              <w:widowControl/>
              <w:spacing w:line="240" w:lineRule="auto"/>
              <w:ind w:firstLine="0" w:firstLineChars="0"/>
              <w:jc w:val="left"/>
              <w:rPr>
                <w:rFonts w:ascii="方正仿宋_GBK" w:hAnsi="等线" w:eastAsia="方正仿宋_GBK" w:cs="宋体"/>
                <w:color w:val="000000"/>
                <w:kern w:val="0"/>
                <w:sz w:val="18"/>
                <w:szCs w:val="18"/>
              </w:rPr>
            </w:pPr>
          </w:p>
        </w:tc>
        <w:tc>
          <w:tcPr>
            <w:tcW w:w="992" w:type="dxa"/>
            <w:shd w:val="clear" w:color="auto" w:fill="auto"/>
            <w:vAlign w:val="center"/>
          </w:tcPr>
          <w:p>
            <w:pPr>
              <w:widowControl/>
              <w:spacing w:line="240" w:lineRule="auto"/>
              <w:ind w:firstLine="0" w:firstLineChars="0"/>
              <w:jc w:val="center"/>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绩效指标明确性</w:t>
            </w:r>
          </w:p>
        </w:tc>
        <w:tc>
          <w:tcPr>
            <w:tcW w:w="4961" w:type="dxa"/>
            <w:shd w:val="clear" w:color="auto" w:fill="auto"/>
            <w:vAlign w:val="center"/>
          </w:tcPr>
          <w:p>
            <w:pPr>
              <w:spacing w:line="240" w:lineRule="auto"/>
              <w:ind w:firstLine="0" w:firstLineChars="0"/>
              <w:jc w:val="left"/>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①将项目绩效目标细化分解为具体的绩效指标的得1分，否则不得分；</w:t>
            </w:r>
          </w:p>
          <w:p>
            <w:pPr>
              <w:spacing w:line="240" w:lineRule="auto"/>
              <w:ind w:firstLine="0" w:firstLineChars="0"/>
              <w:jc w:val="left"/>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②指标值是否清晰、可衡量，是得1分，否则不得分。</w:t>
            </w:r>
          </w:p>
        </w:tc>
        <w:tc>
          <w:tcPr>
            <w:tcW w:w="787" w:type="dxa"/>
            <w:shd w:val="clear" w:color="auto" w:fill="auto"/>
            <w:noWrap/>
            <w:vAlign w:val="center"/>
          </w:tcPr>
          <w:p>
            <w:pPr>
              <w:spacing w:line="240" w:lineRule="auto"/>
              <w:ind w:firstLine="0" w:firstLineChars="0"/>
              <w:jc w:val="center"/>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2</w:t>
            </w:r>
          </w:p>
        </w:tc>
        <w:tc>
          <w:tcPr>
            <w:tcW w:w="780" w:type="dxa"/>
            <w:shd w:val="clear" w:color="auto" w:fill="auto"/>
            <w:noWrap/>
            <w:vAlign w:val="center"/>
          </w:tcPr>
          <w:p>
            <w:pPr>
              <w:spacing w:line="240" w:lineRule="auto"/>
              <w:ind w:firstLine="0" w:firstLineChars="0"/>
              <w:jc w:val="center"/>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1</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1047" w:hRule="atLeast"/>
        </w:trPr>
        <w:tc>
          <w:tcPr>
            <w:tcW w:w="738" w:type="dxa"/>
            <w:vMerge w:val="restart"/>
            <w:shd w:val="clear" w:color="auto" w:fill="auto"/>
            <w:vAlign w:val="center"/>
          </w:tcPr>
          <w:p>
            <w:pPr>
              <w:widowControl/>
              <w:spacing w:line="240" w:lineRule="auto"/>
              <w:ind w:firstLine="0" w:firstLineChars="0"/>
              <w:jc w:val="center"/>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资金落实</w:t>
            </w:r>
          </w:p>
        </w:tc>
        <w:tc>
          <w:tcPr>
            <w:tcW w:w="992" w:type="dxa"/>
            <w:shd w:val="clear" w:color="auto" w:fill="auto"/>
            <w:vAlign w:val="center"/>
          </w:tcPr>
          <w:p>
            <w:pPr>
              <w:widowControl/>
              <w:spacing w:line="240" w:lineRule="auto"/>
              <w:ind w:firstLine="0" w:firstLineChars="0"/>
              <w:jc w:val="center"/>
              <w:rPr>
                <w:rFonts w:ascii="方正仿宋_GBK" w:hAnsi="等线" w:eastAsia="方正仿宋_GBK" w:cs="宋体"/>
                <w:color w:val="000000"/>
                <w:kern w:val="0"/>
                <w:sz w:val="18"/>
                <w:szCs w:val="18"/>
              </w:rPr>
            </w:pPr>
            <w:r>
              <w:rPr>
                <w:rFonts w:hint="eastAsia" w:ascii="微软雅黑" w:hAnsi="微软雅黑" w:eastAsia="微软雅黑" w:cs="微软雅黑"/>
                <w:color w:val="000000"/>
                <w:kern w:val="0"/>
                <w:sz w:val="18"/>
                <w:szCs w:val="18"/>
              </w:rPr>
              <w:t>资金到位率</w:t>
            </w:r>
          </w:p>
        </w:tc>
        <w:tc>
          <w:tcPr>
            <w:tcW w:w="4961" w:type="dxa"/>
            <w:shd w:val="clear" w:color="auto" w:fill="auto"/>
            <w:vAlign w:val="center"/>
          </w:tcPr>
          <w:p>
            <w:pPr>
              <w:widowControl/>
              <w:spacing w:line="240" w:lineRule="auto"/>
              <w:ind w:firstLine="0" w:firstLineChars="0"/>
              <w:jc w:val="left"/>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①财政资金到位率=100%，得2.5分；</w:t>
            </w:r>
          </w:p>
          <w:p>
            <w:pPr>
              <w:widowControl/>
              <w:spacing w:line="240" w:lineRule="auto"/>
              <w:ind w:firstLine="0" w:firstLineChars="0"/>
              <w:jc w:val="left"/>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②财政资金到位率在95%（含）-100%之间，得2分；</w:t>
            </w:r>
          </w:p>
          <w:p>
            <w:pPr>
              <w:widowControl/>
              <w:spacing w:line="240" w:lineRule="auto"/>
              <w:ind w:firstLine="0" w:firstLineChars="0"/>
              <w:jc w:val="left"/>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③财政资金到位率在90%（含）-95%之间，得1.5分；</w:t>
            </w:r>
          </w:p>
          <w:p>
            <w:pPr>
              <w:widowControl/>
              <w:spacing w:line="240" w:lineRule="auto"/>
              <w:ind w:firstLine="0" w:firstLineChars="0"/>
              <w:jc w:val="left"/>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④财政资金到位率在85%（含）-90%之间，得1分；</w:t>
            </w:r>
          </w:p>
          <w:p>
            <w:pPr>
              <w:widowControl/>
              <w:spacing w:line="240" w:lineRule="auto"/>
              <w:ind w:firstLine="0" w:firstLineChars="0"/>
              <w:jc w:val="left"/>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⑤财政资金到位率未达85%，不得分。</w:t>
            </w:r>
          </w:p>
        </w:tc>
        <w:tc>
          <w:tcPr>
            <w:tcW w:w="787" w:type="dxa"/>
            <w:shd w:val="clear" w:color="auto" w:fill="auto"/>
            <w:noWrap/>
            <w:vAlign w:val="center"/>
          </w:tcPr>
          <w:p>
            <w:pPr>
              <w:widowControl/>
              <w:spacing w:line="240" w:lineRule="auto"/>
              <w:ind w:firstLine="0" w:firstLineChars="0"/>
              <w:jc w:val="center"/>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2.5</w:t>
            </w:r>
          </w:p>
        </w:tc>
        <w:tc>
          <w:tcPr>
            <w:tcW w:w="780" w:type="dxa"/>
            <w:shd w:val="clear" w:color="auto" w:fill="auto"/>
            <w:noWrap/>
            <w:vAlign w:val="center"/>
          </w:tcPr>
          <w:p>
            <w:pPr>
              <w:widowControl/>
              <w:spacing w:line="240" w:lineRule="auto"/>
              <w:ind w:firstLine="0" w:firstLineChars="0"/>
              <w:jc w:val="center"/>
              <w:rPr>
                <w:rFonts w:hint="eastAsia" w:ascii="方正仿宋_GBK" w:hAnsi="等线" w:eastAsia="方正仿宋_GBK" w:cs="宋体"/>
                <w:color w:val="000000"/>
                <w:kern w:val="0"/>
                <w:sz w:val="18"/>
                <w:szCs w:val="18"/>
                <w:lang w:val="en-US" w:eastAsia="zh-CN"/>
              </w:rPr>
            </w:pPr>
            <w:r>
              <w:rPr>
                <w:rFonts w:hint="eastAsia" w:ascii="方正仿宋_GBK" w:hAnsi="等线" w:eastAsia="方正仿宋_GBK" w:cs="宋体"/>
                <w:color w:val="000000"/>
                <w:kern w:val="0"/>
                <w:sz w:val="18"/>
                <w:szCs w:val="18"/>
              </w:rPr>
              <w:t>0.1</w:t>
            </w:r>
            <w:r>
              <w:rPr>
                <w:rFonts w:hint="eastAsia" w:ascii="方正仿宋_GBK" w:hAnsi="等线" w:eastAsia="方正仿宋_GBK" w:cs="宋体"/>
                <w:color w:val="000000"/>
                <w:kern w:val="0"/>
                <w:sz w:val="18"/>
                <w:szCs w:val="18"/>
                <w:lang w:val="en-US" w:eastAsia="zh-CN"/>
              </w:rPr>
              <w:t>7</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609" w:hRule="atLeast"/>
        </w:trPr>
        <w:tc>
          <w:tcPr>
            <w:tcW w:w="738" w:type="dxa"/>
            <w:vMerge w:val="continue"/>
            <w:shd w:val="clear" w:color="auto" w:fill="auto"/>
            <w:vAlign w:val="center"/>
          </w:tcPr>
          <w:p>
            <w:pPr>
              <w:widowControl/>
              <w:spacing w:line="240" w:lineRule="auto"/>
              <w:ind w:firstLine="0" w:firstLineChars="0"/>
              <w:jc w:val="center"/>
              <w:rPr>
                <w:rFonts w:ascii="方正仿宋_GBK" w:hAnsi="等线" w:eastAsia="方正仿宋_GBK" w:cs="宋体"/>
                <w:color w:val="000000"/>
                <w:kern w:val="0"/>
                <w:sz w:val="18"/>
                <w:szCs w:val="18"/>
              </w:rPr>
            </w:pPr>
          </w:p>
        </w:tc>
        <w:tc>
          <w:tcPr>
            <w:tcW w:w="992" w:type="dxa"/>
            <w:shd w:val="clear" w:color="auto" w:fill="auto"/>
            <w:vAlign w:val="center"/>
          </w:tcPr>
          <w:p>
            <w:pPr>
              <w:widowControl/>
              <w:spacing w:line="240" w:lineRule="auto"/>
              <w:ind w:firstLine="0" w:firstLineChars="0"/>
              <w:jc w:val="center"/>
              <w:rPr>
                <w:rFonts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资金到位及时率</w:t>
            </w:r>
          </w:p>
        </w:tc>
        <w:tc>
          <w:tcPr>
            <w:tcW w:w="4961" w:type="dxa"/>
            <w:shd w:val="clear" w:color="auto" w:fill="auto"/>
            <w:vAlign w:val="center"/>
          </w:tcPr>
          <w:p>
            <w:pPr>
              <w:widowControl/>
              <w:spacing w:line="240" w:lineRule="auto"/>
              <w:ind w:firstLine="0" w:firstLineChars="0"/>
              <w:jc w:val="left"/>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①资金到位及时率=100%，得2.5分；</w:t>
            </w:r>
          </w:p>
          <w:p>
            <w:pPr>
              <w:widowControl/>
              <w:spacing w:line="240" w:lineRule="auto"/>
              <w:ind w:firstLine="0" w:firstLineChars="0"/>
              <w:jc w:val="left"/>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②资金到位及时率在95%（含）-100%之间，得2分；</w:t>
            </w:r>
          </w:p>
          <w:p>
            <w:pPr>
              <w:widowControl/>
              <w:spacing w:line="240" w:lineRule="auto"/>
              <w:ind w:firstLine="0" w:firstLineChars="0"/>
              <w:jc w:val="left"/>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③资金到位及时率在90%（含）-95%之间，得1.5分；</w:t>
            </w:r>
          </w:p>
          <w:p>
            <w:pPr>
              <w:widowControl/>
              <w:spacing w:line="240" w:lineRule="auto"/>
              <w:ind w:firstLine="0" w:firstLineChars="0"/>
              <w:jc w:val="left"/>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④资金到位及时率在85%（含）-90%之间，得1分；</w:t>
            </w:r>
          </w:p>
          <w:p>
            <w:pPr>
              <w:widowControl/>
              <w:spacing w:line="240" w:lineRule="auto"/>
              <w:ind w:firstLine="0" w:firstLineChars="0"/>
              <w:jc w:val="left"/>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⑤资金到位及时率未达85%，不得分。</w:t>
            </w:r>
          </w:p>
        </w:tc>
        <w:tc>
          <w:tcPr>
            <w:tcW w:w="787" w:type="dxa"/>
            <w:shd w:val="clear" w:color="auto" w:fill="auto"/>
            <w:noWrap/>
            <w:vAlign w:val="center"/>
          </w:tcPr>
          <w:p>
            <w:pPr>
              <w:widowControl/>
              <w:spacing w:line="240" w:lineRule="auto"/>
              <w:ind w:firstLine="0" w:firstLineChars="0"/>
              <w:jc w:val="center"/>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2.5</w:t>
            </w:r>
          </w:p>
        </w:tc>
        <w:tc>
          <w:tcPr>
            <w:tcW w:w="780" w:type="dxa"/>
            <w:shd w:val="clear" w:color="auto" w:fill="auto"/>
            <w:noWrap/>
            <w:vAlign w:val="center"/>
          </w:tcPr>
          <w:p>
            <w:pPr>
              <w:widowControl/>
              <w:spacing w:line="240" w:lineRule="auto"/>
              <w:ind w:firstLine="0" w:firstLineChars="0"/>
              <w:jc w:val="center"/>
              <w:rPr>
                <w:rFonts w:hint="eastAsia" w:ascii="方正仿宋_GBK" w:hAnsi="等线" w:eastAsia="方正仿宋_GBK" w:cs="宋体"/>
                <w:color w:val="000000"/>
                <w:kern w:val="0"/>
                <w:sz w:val="18"/>
                <w:szCs w:val="18"/>
                <w:lang w:val="en-US" w:eastAsia="zh-CN"/>
              </w:rPr>
            </w:pPr>
            <w:r>
              <w:rPr>
                <w:rFonts w:hint="eastAsia" w:ascii="方正仿宋_GBK" w:hAnsi="等线" w:eastAsia="方正仿宋_GBK" w:cs="宋体"/>
                <w:color w:val="000000"/>
                <w:kern w:val="0"/>
                <w:sz w:val="18"/>
                <w:szCs w:val="18"/>
              </w:rPr>
              <w:t>0.1</w:t>
            </w:r>
            <w:r>
              <w:rPr>
                <w:rFonts w:hint="eastAsia" w:ascii="方正仿宋_GBK" w:hAnsi="等线" w:eastAsia="方正仿宋_GBK" w:cs="宋体"/>
                <w:color w:val="000000"/>
                <w:kern w:val="0"/>
                <w:sz w:val="18"/>
                <w:szCs w:val="18"/>
                <w:lang w:val="en-US" w:eastAsia="zh-CN"/>
              </w:rPr>
              <w:t>7</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501" w:hRule="atLeast"/>
        </w:trPr>
        <w:tc>
          <w:tcPr>
            <w:tcW w:w="738" w:type="dxa"/>
            <w:shd w:val="clear" w:color="auto" w:fill="auto"/>
            <w:vAlign w:val="center"/>
          </w:tcPr>
          <w:p>
            <w:pPr>
              <w:widowControl/>
              <w:spacing w:line="240" w:lineRule="auto"/>
              <w:ind w:firstLine="0" w:firstLineChars="0"/>
              <w:jc w:val="center"/>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小计</w:t>
            </w:r>
          </w:p>
        </w:tc>
        <w:tc>
          <w:tcPr>
            <w:tcW w:w="992" w:type="dxa"/>
            <w:shd w:val="clear" w:color="auto" w:fill="auto"/>
            <w:vAlign w:val="center"/>
          </w:tcPr>
          <w:p>
            <w:pPr>
              <w:widowControl/>
              <w:spacing w:line="240" w:lineRule="auto"/>
              <w:ind w:firstLine="0" w:firstLineChars="0"/>
              <w:jc w:val="center"/>
              <w:rPr>
                <w:rFonts w:ascii="微软雅黑" w:hAnsi="微软雅黑" w:eastAsia="微软雅黑" w:cs="微软雅黑"/>
                <w:color w:val="000000"/>
                <w:kern w:val="0"/>
                <w:sz w:val="18"/>
                <w:szCs w:val="18"/>
              </w:rPr>
            </w:pPr>
          </w:p>
        </w:tc>
        <w:tc>
          <w:tcPr>
            <w:tcW w:w="4961" w:type="dxa"/>
            <w:shd w:val="clear" w:color="auto" w:fill="auto"/>
            <w:vAlign w:val="center"/>
          </w:tcPr>
          <w:p>
            <w:pPr>
              <w:widowControl/>
              <w:spacing w:line="240" w:lineRule="auto"/>
              <w:ind w:firstLine="0" w:firstLineChars="0"/>
              <w:jc w:val="left"/>
              <w:rPr>
                <w:rFonts w:ascii="方正仿宋_GBK" w:hAnsi="等线" w:eastAsia="方正仿宋_GBK" w:cs="宋体"/>
                <w:color w:val="000000"/>
                <w:kern w:val="0"/>
                <w:sz w:val="18"/>
                <w:szCs w:val="18"/>
              </w:rPr>
            </w:pPr>
          </w:p>
        </w:tc>
        <w:tc>
          <w:tcPr>
            <w:tcW w:w="787" w:type="dxa"/>
            <w:shd w:val="clear" w:color="auto" w:fill="auto"/>
            <w:noWrap/>
            <w:vAlign w:val="center"/>
          </w:tcPr>
          <w:p>
            <w:pPr>
              <w:widowControl/>
              <w:spacing w:line="240" w:lineRule="auto"/>
              <w:ind w:firstLine="0" w:firstLineChars="0"/>
              <w:jc w:val="center"/>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20</w:t>
            </w:r>
          </w:p>
        </w:tc>
        <w:tc>
          <w:tcPr>
            <w:tcW w:w="780" w:type="dxa"/>
            <w:shd w:val="clear" w:color="auto" w:fill="auto"/>
            <w:noWrap/>
            <w:vAlign w:val="center"/>
          </w:tcPr>
          <w:p>
            <w:pPr>
              <w:widowControl/>
              <w:spacing w:line="240" w:lineRule="auto"/>
              <w:ind w:firstLine="0" w:firstLineChars="0"/>
              <w:jc w:val="center"/>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14.06</w:t>
            </w:r>
          </w:p>
        </w:tc>
      </w:tr>
    </w:tbl>
    <w:p>
      <w:pPr>
        <w:snapToGrid w:val="0"/>
        <w:spacing w:line="560" w:lineRule="atLeast"/>
        <w:ind w:firstLine="560" w:firstLineChars="0"/>
        <w:rPr>
          <w:rFonts w:ascii="宋体" w:hAnsi="宋体"/>
          <w:szCs w:val="28"/>
        </w:rPr>
      </w:pPr>
      <w:r>
        <w:rPr>
          <w:rFonts w:ascii="宋体" w:hAnsi="宋体"/>
          <w:szCs w:val="28"/>
        </w:rPr>
        <w:t>1.</w:t>
      </w:r>
      <w:r>
        <w:rPr>
          <w:rFonts w:hint="eastAsia" w:ascii="宋体" w:hAnsi="宋体"/>
          <w:szCs w:val="28"/>
        </w:rPr>
        <w:t>立项依据充分性标准分值为5分，本次绩效评价得分5分。场镇基础设施功能补短板建设项目的设立符合中共中央办公厅、国务院办公厅印发的《关于推动城乡建设绿色发展的意见》精神，深入贯彻了党中央决策部署和市委工作要求，落实以人民为中心的发展思想,全面加强场镇建设,高质量推动场镇改造提升，努力培育一批高品质小城镇。依据铜梁区人民政府办公室印发的《铜梁区场镇基础设施功能补短板三年行动实施方案》（铜府办〔2022〕13号）《关于调整2022年场镇基础设施功能补短板建设项目及资金计划的通知》以及《关于下达2023年场镇基础设施功能补短板建设项目及资金计划的通知》，各镇街正式开展本项目。项目的设立符合国家法律法规、国民经济发展规划和相关政策，与部门职责范围相符，属于部门履职所需项目。</w:t>
      </w:r>
    </w:p>
    <w:p>
      <w:pPr>
        <w:snapToGrid w:val="0"/>
        <w:spacing w:line="560" w:lineRule="atLeast"/>
        <w:ind w:firstLine="560" w:firstLineChars="0"/>
        <w:rPr>
          <w:rFonts w:ascii="宋体" w:hAnsi="宋体"/>
          <w:szCs w:val="28"/>
        </w:rPr>
      </w:pPr>
      <w:r>
        <w:rPr>
          <w:rFonts w:ascii="宋体" w:hAnsi="宋体"/>
          <w:szCs w:val="28"/>
        </w:rPr>
        <w:t>2.</w:t>
      </w:r>
      <w:r>
        <w:rPr>
          <w:rFonts w:hint="eastAsia" w:ascii="宋体" w:hAnsi="宋体"/>
          <w:szCs w:val="28"/>
        </w:rPr>
        <w:t>立项程序规范性标准分值为5分，本次绩效评价得分4.7</w:t>
      </w:r>
      <w:r>
        <w:rPr>
          <w:rFonts w:hint="eastAsia" w:ascii="宋体" w:hAnsi="宋体"/>
          <w:szCs w:val="28"/>
          <w:lang w:val="en-US" w:eastAsia="zh-CN"/>
        </w:rPr>
        <w:t>2</w:t>
      </w:r>
      <w:r>
        <w:rPr>
          <w:rFonts w:hint="eastAsia" w:ascii="宋体" w:hAnsi="宋体"/>
          <w:szCs w:val="28"/>
        </w:rPr>
        <w:t>分。经检查，多数项目按规定进行了立项申请并取得项目立项批复、概算批复与预算评审报告。申请设立程序符合规定，审批文件、材料符合相关要求。多数项目立项前编制了《项目建议书》，对项目设立的背景、必要性、效益、实施计划进度等进行了分析说明。</w:t>
      </w:r>
    </w:p>
    <w:p>
      <w:pPr>
        <w:snapToGrid w:val="0"/>
        <w:spacing w:line="560" w:lineRule="atLeast"/>
        <w:ind w:firstLine="560" w:firstLineChars="0"/>
        <w:rPr>
          <w:rFonts w:ascii="宋体" w:hAnsi="宋体"/>
          <w:szCs w:val="28"/>
        </w:rPr>
      </w:pPr>
      <w:r>
        <w:rPr>
          <w:rFonts w:hint="eastAsia" w:ascii="宋体" w:hAnsi="宋体"/>
          <w:szCs w:val="28"/>
        </w:rPr>
        <w:t>经检查，发现35个项目立项程序不规范，其中南城街道1个、旧县街道8个、白羊镇1个、太平镇2个、巴川街道2个、少云镇4个、永嘉镇7个、西河镇9个、庆隆镇1个。本指标扣0.2</w:t>
      </w:r>
      <w:r>
        <w:rPr>
          <w:rFonts w:hint="eastAsia" w:ascii="宋体" w:hAnsi="宋体"/>
          <w:szCs w:val="28"/>
          <w:lang w:val="en-US" w:eastAsia="zh-CN"/>
        </w:rPr>
        <w:t>8</w:t>
      </w:r>
      <w:r>
        <w:rPr>
          <w:rFonts w:hint="eastAsia" w:ascii="宋体" w:hAnsi="宋体"/>
          <w:szCs w:val="28"/>
        </w:rPr>
        <w:t>分，具体情况如下：</w:t>
      </w:r>
    </w:p>
    <w:p>
      <w:pPr>
        <w:snapToGrid w:val="0"/>
        <w:spacing w:line="560" w:lineRule="atLeast"/>
        <w:ind w:firstLine="560" w:firstLineChars="0"/>
        <w:rPr>
          <w:rFonts w:ascii="宋体" w:hAnsi="宋体"/>
          <w:szCs w:val="28"/>
        </w:rPr>
      </w:pPr>
      <w:r>
        <w:rPr>
          <w:rFonts w:hint="eastAsia" w:ascii="宋体" w:hAnsi="宋体"/>
          <w:szCs w:val="28"/>
        </w:rPr>
        <w:t>（1）南城街道弱电整治工程未取得立项批复文件，无立项前上街道工作委员会集体决策的会议纪要。</w:t>
      </w:r>
    </w:p>
    <w:p>
      <w:pPr>
        <w:snapToGrid w:val="0"/>
        <w:spacing w:line="560" w:lineRule="atLeast"/>
        <w:ind w:firstLine="560"/>
        <w:rPr>
          <w:rFonts w:ascii="宋体" w:hAnsi="宋体"/>
          <w:szCs w:val="28"/>
        </w:rPr>
      </w:pPr>
      <w:r>
        <w:rPr>
          <w:rFonts w:hint="eastAsia" w:ascii="宋体" w:hAnsi="宋体"/>
          <w:szCs w:val="28"/>
        </w:rPr>
        <w:t>（2）旧县街道除了场镇补短板旧岚路段综合整治项目外，其余8个项目均未编制项目建议书；旧县街道城区人居环境综合整治项目无概算批复；旧县街道弱电下地项目（电信、广电、移动、联通）无立项批复。</w:t>
      </w:r>
    </w:p>
    <w:p>
      <w:pPr>
        <w:snapToGrid w:val="0"/>
        <w:spacing w:line="560" w:lineRule="atLeast"/>
        <w:ind w:firstLine="560"/>
        <w:rPr>
          <w:rFonts w:ascii="宋体" w:hAnsi="宋体"/>
          <w:szCs w:val="28"/>
        </w:rPr>
      </w:pPr>
      <w:r>
        <w:rPr>
          <w:rFonts w:hint="eastAsia" w:ascii="宋体" w:hAnsi="宋体"/>
          <w:szCs w:val="28"/>
        </w:rPr>
        <w:t>（3）白羊镇通信线缆综合整治项目未取得立项批复文件，无立项前上镇党委员会集体决策的会议纪要。</w:t>
      </w:r>
    </w:p>
    <w:p>
      <w:pPr>
        <w:snapToGrid w:val="0"/>
        <w:spacing w:line="560" w:lineRule="atLeast"/>
        <w:ind w:firstLine="560"/>
        <w:rPr>
          <w:rFonts w:ascii="宋体" w:hAnsi="宋体"/>
          <w:szCs w:val="28"/>
        </w:rPr>
      </w:pPr>
      <w:r>
        <w:rPr>
          <w:rFonts w:hint="eastAsia" w:ascii="宋体" w:hAnsi="宋体"/>
          <w:szCs w:val="28"/>
        </w:rPr>
        <w:t>（4）太平镇基础设施补短板同益路、移民路停车场建设项目和太平镇基础设施补短板G319线两侧环境整治提升工程（一期）项目未编制项目建议书。</w:t>
      </w:r>
    </w:p>
    <w:p>
      <w:pPr>
        <w:snapToGrid w:val="0"/>
        <w:spacing w:line="560" w:lineRule="atLeast"/>
        <w:ind w:firstLine="560"/>
        <w:rPr>
          <w:rFonts w:ascii="宋体" w:hAnsi="宋体"/>
          <w:szCs w:val="28"/>
        </w:rPr>
      </w:pPr>
      <w:r>
        <w:rPr>
          <w:rFonts w:hint="eastAsia" w:ascii="宋体" w:hAnsi="宋体"/>
          <w:szCs w:val="28"/>
        </w:rPr>
        <w:t>（5）巴川街道八一路裱褙街弱电整治项目线路改迁工程未取得立项批复文件，无立项前上街道工作委员会集体决策的会议纪要。</w:t>
      </w:r>
    </w:p>
    <w:p>
      <w:pPr>
        <w:snapToGrid w:val="0"/>
        <w:spacing w:line="560" w:lineRule="atLeast"/>
        <w:ind w:firstLine="560"/>
        <w:rPr>
          <w:rFonts w:ascii="宋体" w:hAnsi="宋体"/>
          <w:szCs w:val="28"/>
        </w:rPr>
      </w:pPr>
      <w:r>
        <w:rPr>
          <w:rFonts w:hint="eastAsia" w:ascii="宋体" w:hAnsi="宋体"/>
          <w:szCs w:val="28"/>
        </w:rPr>
        <w:t>（6）少云镇海棠路人居环境综合整治项目、少云镇原派出所旁停车场改造项目、少云镇海棠路屋顶隐患整治工程项目、少云镇海棠街、东市街人居环境综合整治项目未编制《项目建议书》。</w:t>
      </w:r>
    </w:p>
    <w:p>
      <w:pPr>
        <w:snapToGrid w:val="0"/>
        <w:spacing w:line="560" w:lineRule="atLeast"/>
        <w:ind w:firstLine="560"/>
        <w:rPr>
          <w:rFonts w:ascii="宋体" w:hAnsi="宋体"/>
          <w:szCs w:val="28"/>
        </w:rPr>
      </w:pPr>
      <w:r>
        <w:rPr>
          <w:rFonts w:hint="eastAsia" w:ascii="宋体" w:hAnsi="宋体"/>
          <w:szCs w:val="28"/>
        </w:rPr>
        <w:t>（7）西河镇9个项目均未编制项目建议书。</w:t>
      </w:r>
    </w:p>
    <w:p>
      <w:pPr>
        <w:snapToGrid w:val="0"/>
        <w:spacing w:line="560" w:lineRule="atLeast"/>
        <w:ind w:firstLine="560"/>
        <w:rPr>
          <w:rFonts w:ascii="宋体" w:hAnsi="宋体"/>
          <w:szCs w:val="28"/>
        </w:rPr>
      </w:pPr>
      <w:r>
        <w:rPr>
          <w:rFonts w:hint="eastAsia" w:ascii="宋体" w:hAnsi="宋体"/>
          <w:szCs w:val="28"/>
        </w:rPr>
        <w:t>（8）庆隆2022场镇弱电线路下地改迁项目无立项批复、项目建议书。</w:t>
      </w:r>
    </w:p>
    <w:p>
      <w:pPr>
        <w:snapToGrid w:val="0"/>
        <w:spacing w:line="560" w:lineRule="atLeast"/>
        <w:ind w:firstLine="560"/>
        <w:rPr>
          <w:rFonts w:ascii="宋体" w:hAnsi="宋体"/>
          <w:szCs w:val="28"/>
        </w:rPr>
      </w:pPr>
      <w:r>
        <w:rPr>
          <w:rFonts w:ascii="宋体" w:hAnsi="宋体"/>
          <w:szCs w:val="28"/>
        </w:rPr>
        <w:t>3.</w:t>
      </w:r>
      <w:r>
        <w:rPr>
          <w:rFonts w:hint="eastAsia" w:ascii="宋体" w:hAnsi="宋体"/>
          <w:szCs w:val="28"/>
        </w:rPr>
        <w:t>绩效目标合理性标准分值为3分，本次绩效目标合理性得3分。场镇基础设施功能补短板建设项目与主管部门铜梁区住房和城乡建设委员会的部门职责密切相关，项目产出符合正常业绩水平。《铜梁区场镇基础设施功能补短板三年行动实施方案》（铜府办〔2022〕13号）提出的效益效果合理。</w:t>
      </w:r>
    </w:p>
    <w:p>
      <w:pPr>
        <w:snapToGrid w:val="0"/>
        <w:spacing w:line="560" w:lineRule="atLeast"/>
        <w:ind w:firstLine="560"/>
        <w:rPr>
          <w:rFonts w:ascii="宋体" w:hAnsi="宋体"/>
          <w:szCs w:val="28"/>
        </w:rPr>
      </w:pPr>
      <w:r>
        <w:rPr>
          <w:rFonts w:hint="eastAsia" w:ascii="宋体" w:hAnsi="宋体"/>
          <w:szCs w:val="28"/>
        </w:rPr>
        <w:t>4</w:t>
      </w:r>
      <w:r>
        <w:rPr>
          <w:rFonts w:ascii="宋体" w:hAnsi="宋体"/>
          <w:szCs w:val="28"/>
        </w:rPr>
        <w:t>.</w:t>
      </w:r>
      <w:r>
        <w:rPr>
          <w:rFonts w:hint="eastAsia" w:ascii="宋体" w:hAnsi="宋体"/>
          <w:szCs w:val="28"/>
        </w:rPr>
        <w:t>绩效指标明确性标准分值为2分，本次绩效评价得分1分。区住房城乡建委提供的铜梁区场镇基础设施功能补短板建设项目《绩效自评表》中产出指标设置不全面，仅有2个数量类指标，无时效、质量、成本指标。效果指标中“补齐场镇功能短板，提升场镇整体形象”指标不可衡量。本指标扣1分。</w:t>
      </w:r>
    </w:p>
    <w:p>
      <w:pPr>
        <w:snapToGrid w:val="0"/>
        <w:spacing w:line="560" w:lineRule="atLeast"/>
        <w:ind w:firstLine="560"/>
        <w:rPr>
          <w:rFonts w:ascii="宋体" w:hAnsi="宋体"/>
          <w:szCs w:val="28"/>
        </w:rPr>
      </w:pPr>
      <w:r>
        <w:rPr>
          <w:rFonts w:hint="eastAsia" w:ascii="宋体" w:hAnsi="宋体"/>
          <w:szCs w:val="28"/>
        </w:rPr>
        <w:t>5</w:t>
      </w:r>
      <w:r>
        <w:rPr>
          <w:rFonts w:ascii="宋体" w:hAnsi="宋体"/>
          <w:szCs w:val="28"/>
        </w:rPr>
        <w:t>.</w:t>
      </w:r>
      <w:r>
        <w:rPr>
          <w:rFonts w:hint="eastAsia" w:ascii="宋体" w:hAnsi="宋体"/>
          <w:szCs w:val="28"/>
        </w:rPr>
        <w:t>资金到位率标准分值为2.5分，本次绩效评价得分0.1</w:t>
      </w:r>
      <w:r>
        <w:rPr>
          <w:rFonts w:hint="eastAsia" w:ascii="宋体" w:hAnsi="宋体"/>
          <w:szCs w:val="28"/>
          <w:lang w:val="en-US" w:eastAsia="zh-CN"/>
        </w:rPr>
        <w:t>7</w:t>
      </w:r>
      <w:r>
        <w:rPr>
          <w:rFonts w:hint="eastAsia" w:ascii="宋体" w:hAnsi="宋体"/>
          <w:szCs w:val="28"/>
        </w:rPr>
        <w:t>分。根据重庆市铜梁区财政局《关于下达2022年第二批新增政府债券资金的通知》（铜财〔2022〕317号），铜梁区场镇建设项目共下达资金预算1</w:t>
      </w:r>
      <w:r>
        <w:rPr>
          <w:rFonts w:hint="eastAsia" w:ascii="宋体" w:hAnsi="宋体"/>
          <w:szCs w:val="28"/>
          <w:lang w:eastAsia="zh-CN"/>
        </w:rPr>
        <w:t>亿元</w:t>
      </w:r>
      <w:r>
        <w:rPr>
          <w:rFonts w:hint="eastAsia" w:ascii="宋体" w:hAnsi="宋体"/>
          <w:szCs w:val="28"/>
        </w:rPr>
        <w:t>，但未将资金计划额度分解到各镇街的具体项目上。2023年铜梁区场镇建设项目实际到位6740.224236万元，总体资金到位率67.40%。经检查，有14个项目资金到位85%以上，105个项目资金到位不足85%。本指标扣2.3</w:t>
      </w:r>
      <w:r>
        <w:rPr>
          <w:rFonts w:hint="eastAsia" w:ascii="宋体" w:hAnsi="宋体"/>
          <w:szCs w:val="28"/>
          <w:lang w:val="en-US" w:eastAsia="zh-CN"/>
        </w:rPr>
        <w:t>3</w:t>
      </w:r>
      <w:r>
        <w:rPr>
          <w:rFonts w:hint="eastAsia" w:ascii="宋体" w:hAnsi="宋体"/>
          <w:szCs w:val="28"/>
        </w:rPr>
        <w:t>分。</w:t>
      </w:r>
    </w:p>
    <w:p>
      <w:pPr>
        <w:snapToGrid w:val="0"/>
        <w:spacing w:line="560" w:lineRule="atLeast"/>
        <w:ind w:firstLine="560"/>
        <w:rPr>
          <w:rFonts w:ascii="宋体" w:hAnsi="宋体"/>
          <w:szCs w:val="28"/>
        </w:rPr>
      </w:pPr>
      <w:r>
        <w:rPr>
          <w:rFonts w:hint="eastAsia" w:ascii="宋体" w:hAnsi="宋体"/>
          <w:szCs w:val="28"/>
        </w:rPr>
        <w:t>6. 资金到位及时率标准分值为2.5分。本次绩效评价得分0.1</w:t>
      </w:r>
      <w:r>
        <w:rPr>
          <w:rFonts w:hint="eastAsia" w:ascii="宋体" w:hAnsi="宋体"/>
          <w:szCs w:val="28"/>
          <w:lang w:val="en-US" w:eastAsia="zh-CN"/>
        </w:rPr>
        <w:t>7</w:t>
      </w:r>
      <w:r>
        <w:rPr>
          <w:rFonts w:hint="eastAsia" w:ascii="宋体" w:hAnsi="宋体"/>
          <w:szCs w:val="28"/>
        </w:rPr>
        <w:t>分。根据重庆市铜梁区财政局《关于下达2022年第二批新增政府债券资金的通知》（铜财〔2022〕317号），铜梁区场镇建设项目共下达资金预算1</w:t>
      </w:r>
      <w:r>
        <w:rPr>
          <w:rFonts w:hint="eastAsia" w:ascii="宋体" w:hAnsi="宋体"/>
          <w:szCs w:val="28"/>
          <w:lang w:eastAsia="zh-CN"/>
        </w:rPr>
        <w:t>亿元</w:t>
      </w:r>
      <w:r>
        <w:rPr>
          <w:rFonts w:hint="eastAsia" w:ascii="宋体" w:hAnsi="宋体"/>
          <w:szCs w:val="28"/>
        </w:rPr>
        <w:t>，但未将资金计划额度分解到各镇街的具体项目上。2023年铜梁区场镇建设项目实际到位6740.224236万元，总体资金到位率67.40%。经检查，有14个项目资金到位金额占项目签订合同总金额的85%以上，105个项目资金到位不足85%。本指标扣2.3</w:t>
      </w:r>
      <w:r>
        <w:rPr>
          <w:rFonts w:hint="eastAsia" w:ascii="宋体" w:hAnsi="宋体"/>
          <w:szCs w:val="28"/>
          <w:lang w:val="en-US" w:eastAsia="zh-CN"/>
        </w:rPr>
        <w:t>3</w:t>
      </w:r>
      <w:r>
        <w:rPr>
          <w:rFonts w:hint="eastAsia" w:ascii="宋体" w:hAnsi="宋体"/>
          <w:szCs w:val="28"/>
        </w:rPr>
        <w:t>分。</w:t>
      </w:r>
    </w:p>
    <w:p>
      <w:pPr>
        <w:snapToGrid w:val="0"/>
        <w:spacing w:line="560" w:lineRule="atLeast"/>
        <w:ind w:firstLine="562"/>
        <w:outlineLvl w:val="1"/>
        <w:rPr>
          <w:rFonts w:ascii="宋体" w:hAnsi="宋体"/>
          <w:b/>
          <w:szCs w:val="28"/>
        </w:rPr>
      </w:pPr>
      <w:r>
        <w:rPr>
          <w:rFonts w:hint="eastAsia" w:ascii="宋体" w:hAnsi="宋体"/>
          <w:b/>
          <w:szCs w:val="28"/>
        </w:rPr>
        <w:t>（二）管理类指标</w:t>
      </w:r>
    </w:p>
    <w:p>
      <w:pPr>
        <w:snapToGrid w:val="0"/>
        <w:spacing w:line="560" w:lineRule="atLeast"/>
        <w:ind w:firstLine="560"/>
        <w:rPr>
          <w:rFonts w:ascii="宋体" w:hAnsi="宋体"/>
          <w:szCs w:val="28"/>
        </w:rPr>
      </w:pPr>
      <w:r>
        <w:rPr>
          <w:rFonts w:hint="eastAsia" w:ascii="宋体" w:hAnsi="宋体"/>
          <w:szCs w:val="28"/>
        </w:rPr>
        <w:t>涉及管理的二级指标为：业务管理、资金管理。各二级指标下设三级指标。</w:t>
      </w:r>
    </w:p>
    <w:p>
      <w:pPr>
        <w:snapToGrid w:val="0"/>
        <w:spacing w:line="560" w:lineRule="atLeast"/>
        <w:ind w:firstLine="560"/>
        <w:rPr>
          <w:rFonts w:ascii="宋体" w:hAnsi="宋体"/>
          <w:szCs w:val="28"/>
        </w:rPr>
      </w:pPr>
      <w:r>
        <w:rPr>
          <w:rFonts w:hint="eastAsia" w:ascii="宋体" w:hAnsi="宋体"/>
          <w:szCs w:val="28"/>
        </w:rPr>
        <w:t>该项总分20分，实际得分19.3分，扣分0.7分，具体情况如下：</w:t>
      </w:r>
    </w:p>
    <w:tbl>
      <w:tblPr>
        <w:tblStyle w:val="18"/>
        <w:tblW w:w="8357" w:type="dxa"/>
        <w:tblInd w:w="0" w:type="dxa"/>
        <w:tblLayout w:type="fixed"/>
        <w:tblCellMar>
          <w:top w:w="0" w:type="dxa"/>
          <w:left w:w="108" w:type="dxa"/>
          <w:bottom w:w="0" w:type="dxa"/>
          <w:right w:w="108" w:type="dxa"/>
        </w:tblCellMar>
      </w:tblPr>
      <w:tblGrid>
        <w:gridCol w:w="1070"/>
        <w:gridCol w:w="961"/>
        <w:gridCol w:w="4779"/>
        <w:gridCol w:w="847"/>
        <w:gridCol w:w="700"/>
      </w:tblGrid>
      <w:tr>
        <w:tblPrEx>
          <w:tblLayout w:type="fixed"/>
          <w:tblCellMar>
            <w:top w:w="0" w:type="dxa"/>
            <w:left w:w="108" w:type="dxa"/>
            <w:bottom w:w="0" w:type="dxa"/>
            <w:right w:w="108" w:type="dxa"/>
          </w:tblCellMar>
        </w:tblPrEx>
        <w:trPr>
          <w:trHeight w:val="225" w:hRule="atLeast"/>
          <w:tblHeader/>
        </w:trPr>
        <w:tc>
          <w:tcPr>
            <w:tcW w:w="1070" w:type="dxa"/>
            <w:tcBorders>
              <w:top w:val="double" w:color="auto"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方正仿宋_GBK" w:hAnsi="等线" w:eastAsia="方正仿宋_GBK" w:cs="宋体"/>
                <w:b/>
                <w:bCs/>
                <w:color w:val="000000"/>
                <w:kern w:val="0"/>
                <w:sz w:val="18"/>
                <w:szCs w:val="18"/>
              </w:rPr>
            </w:pPr>
            <w:r>
              <w:rPr>
                <w:rFonts w:hint="eastAsia" w:ascii="方正仿宋_GBK" w:hAnsi="等线" w:eastAsia="方正仿宋_GBK" w:cs="宋体"/>
                <w:b/>
                <w:bCs/>
                <w:color w:val="000000"/>
                <w:kern w:val="0"/>
                <w:sz w:val="18"/>
                <w:szCs w:val="18"/>
              </w:rPr>
              <w:t>二级指标</w:t>
            </w:r>
          </w:p>
        </w:tc>
        <w:tc>
          <w:tcPr>
            <w:tcW w:w="961" w:type="dxa"/>
            <w:tcBorders>
              <w:top w:val="doub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方正仿宋_GBK" w:hAnsi="等线" w:eastAsia="方正仿宋_GBK" w:cs="宋体"/>
                <w:b/>
                <w:bCs/>
                <w:color w:val="000000"/>
                <w:kern w:val="0"/>
                <w:sz w:val="18"/>
                <w:szCs w:val="18"/>
              </w:rPr>
            </w:pPr>
            <w:r>
              <w:rPr>
                <w:rFonts w:hint="eastAsia" w:ascii="方正仿宋_GBK" w:hAnsi="等线" w:eastAsia="方正仿宋_GBK" w:cs="宋体"/>
                <w:b/>
                <w:bCs/>
                <w:color w:val="000000"/>
                <w:kern w:val="0"/>
                <w:sz w:val="18"/>
                <w:szCs w:val="18"/>
              </w:rPr>
              <w:t>三级指标</w:t>
            </w:r>
          </w:p>
        </w:tc>
        <w:tc>
          <w:tcPr>
            <w:tcW w:w="4779" w:type="dxa"/>
            <w:tcBorders>
              <w:top w:val="doub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方正仿宋_GBK" w:hAnsi="等线" w:eastAsia="方正仿宋_GBK" w:cs="宋体"/>
                <w:b/>
                <w:bCs/>
                <w:color w:val="000000"/>
                <w:kern w:val="0"/>
                <w:sz w:val="18"/>
                <w:szCs w:val="18"/>
              </w:rPr>
            </w:pPr>
            <w:r>
              <w:rPr>
                <w:rFonts w:hint="eastAsia" w:ascii="方正仿宋_GBK" w:hAnsi="等线" w:eastAsia="方正仿宋_GBK" w:cs="宋体"/>
                <w:b/>
                <w:bCs/>
                <w:color w:val="000000"/>
                <w:kern w:val="0"/>
                <w:sz w:val="18"/>
                <w:szCs w:val="18"/>
              </w:rPr>
              <w:t>评分标准</w:t>
            </w:r>
          </w:p>
        </w:tc>
        <w:tc>
          <w:tcPr>
            <w:tcW w:w="847" w:type="dxa"/>
            <w:tcBorders>
              <w:top w:val="doub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方正仿宋_GBK" w:hAnsi="等线" w:eastAsia="方正仿宋_GBK" w:cs="宋体"/>
                <w:b/>
                <w:bCs/>
                <w:color w:val="000000"/>
                <w:kern w:val="0"/>
                <w:sz w:val="18"/>
                <w:szCs w:val="18"/>
              </w:rPr>
            </w:pPr>
            <w:r>
              <w:rPr>
                <w:rFonts w:hint="eastAsia" w:ascii="方正仿宋_GBK" w:hAnsi="等线" w:eastAsia="方正仿宋_GBK" w:cs="宋体"/>
                <w:b/>
                <w:bCs/>
                <w:color w:val="000000"/>
                <w:kern w:val="0"/>
                <w:sz w:val="18"/>
                <w:szCs w:val="18"/>
              </w:rPr>
              <w:t>分值</w:t>
            </w:r>
          </w:p>
        </w:tc>
        <w:tc>
          <w:tcPr>
            <w:tcW w:w="700" w:type="dxa"/>
            <w:tcBorders>
              <w:top w:val="double" w:color="auto" w:sz="4" w:space="0"/>
              <w:left w:val="single" w:color="000000" w:sz="4" w:space="0"/>
              <w:bottom w:val="single" w:color="000000" w:sz="4" w:space="0"/>
            </w:tcBorders>
            <w:shd w:val="clear" w:color="auto" w:fill="auto"/>
            <w:vAlign w:val="center"/>
          </w:tcPr>
          <w:p>
            <w:pPr>
              <w:widowControl/>
              <w:spacing w:line="240" w:lineRule="auto"/>
              <w:ind w:firstLine="0" w:firstLineChars="0"/>
              <w:jc w:val="center"/>
              <w:rPr>
                <w:rFonts w:ascii="方正仿宋_GBK" w:hAnsi="等线" w:eastAsia="方正仿宋_GBK" w:cs="宋体"/>
                <w:b/>
                <w:bCs/>
                <w:color w:val="000000"/>
                <w:kern w:val="0"/>
                <w:sz w:val="18"/>
                <w:szCs w:val="18"/>
              </w:rPr>
            </w:pPr>
            <w:r>
              <w:rPr>
                <w:rFonts w:hint="eastAsia" w:ascii="方正仿宋_GBK" w:hAnsi="等线" w:eastAsia="方正仿宋_GBK" w:cs="宋体"/>
                <w:b/>
                <w:bCs/>
                <w:color w:val="000000"/>
                <w:kern w:val="0"/>
                <w:sz w:val="18"/>
                <w:szCs w:val="18"/>
              </w:rPr>
              <w:t>得分</w:t>
            </w:r>
          </w:p>
        </w:tc>
      </w:tr>
      <w:tr>
        <w:tblPrEx>
          <w:tblLayout w:type="fixed"/>
          <w:tblCellMar>
            <w:top w:w="0" w:type="dxa"/>
            <w:left w:w="108" w:type="dxa"/>
            <w:bottom w:w="0" w:type="dxa"/>
            <w:right w:w="108" w:type="dxa"/>
          </w:tblCellMar>
        </w:tblPrEx>
        <w:trPr>
          <w:trHeight w:val="881" w:hRule="atLeast"/>
        </w:trPr>
        <w:tc>
          <w:tcPr>
            <w:tcW w:w="1070" w:type="dxa"/>
            <w:vMerge w:val="restart"/>
            <w:tcBorders>
              <w:top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业务管理</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方正仿宋_GBK" w:hAnsi="等线" w:eastAsia="方正仿宋_GBK" w:cs="宋体"/>
                <w:color w:val="000000"/>
                <w:kern w:val="0"/>
                <w:sz w:val="18"/>
                <w:szCs w:val="18"/>
              </w:rPr>
            </w:pPr>
            <w:r>
              <w:rPr>
                <w:rFonts w:hint="eastAsia" w:ascii="微软雅黑" w:hAnsi="微软雅黑" w:eastAsia="微软雅黑" w:cs="微软雅黑"/>
                <w:color w:val="000000"/>
                <w:kern w:val="0"/>
                <w:sz w:val="18"/>
                <w:szCs w:val="18"/>
              </w:rPr>
              <w:t>管理制度健全性</w:t>
            </w:r>
          </w:p>
        </w:tc>
        <w:tc>
          <w:tcPr>
            <w:tcW w:w="4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rPr>
                <w:rFonts w:ascii="Cambria Math" w:hAnsi="Cambria Math" w:eastAsia="方正仿宋_GBK" w:cs="宋体"/>
                <w:color w:val="000000"/>
                <w:kern w:val="0"/>
                <w:sz w:val="18"/>
                <w:szCs w:val="18"/>
              </w:rPr>
            </w:pPr>
            <w:r>
              <w:rPr>
                <w:rFonts w:hint="eastAsia" w:ascii="Cambria Math" w:hAnsi="Cambria Math" w:eastAsia="方正仿宋_GBK" w:cs="宋体"/>
                <w:color w:val="000000"/>
                <w:kern w:val="0"/>
                <w:sz w:val="18"/>
                <w:szCs w:val="18"/>
              </w:rPr>
              <w:t>①已制定或具有相应的业务管理制度，得1分，否则不得分。</w:t>
            </w:r>
          </w:p>
          <w:p>
            <w:pPr>
              <w:widowControl/>
              <w:spacing w:line="240" w:lineRule="auto"/>
              <w:ind w:firstLine="0" w:firstLineChars="0"/>
              <w:jc w:val="left"/>
              <w:rPr>
                <w:rFonts w:ascii="方正仿宋_GBK" w:hAnsi="等线" w:eastAsia="方正仿宋_GBK" w:cs="宋体"/>
                <w:color w:val="000000"/>
                <w:kern w:val="0"/>
                <w:sz w:val="18"/>
                <w:szCs w:val="18"/>
              </w:rPr>
            </w:pPr>
            <w:r>
              <w:rPr>
                <w:rFonts w:hint="eastAsia" w:ascii="Cambria Math" w:hAnsi="Cambria Math" w:eastAsia="方正仿宋_GBK" w:cs="宋体"/>
                <w:color w:val="000000"/>
                <w:kern w:val="0"/>
                <w:sz w:val="18"/>
                <w:szCs w:val="18"/>
              </w:rPr>
              <w:t>②业务管理制度是否合法、合规、完整，是得1分，否则不得分。</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2</w:t>
            </w:r>
          </w:p>
        </w:tc>
        <w:tc>
          <w:tcPr>
            <w:tcW w:w="700" w:type="dxa"/>
            <w:tcBorders>
              <w:top w:val="single" w:color="000000" w:sz="4" w:space="0"/>
              <w:left w:val="single" w:color="000000" w:sz="4" w:space="0"/>
              <w:bottom w:val="single" w:color="000000" w:sz="4" w:space="0"/>
            </w:tcBorders>
            <w:shd w:val="clear" w:color="auto" w:fill="auto"/>
            <w:vAlign w:val="center"/>
          </w:tcPr>
          <w:p>
            <w:pPr>
              <w:widowControl/>
              <w:spacing w:line="240" w:lineRule="auto"/>
              <w:ind w:firstLine="0" w:firstLineChars="0"/>
              <w:jc w:val="center"/>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1.72</w:t>
            </w:r>
          </w:p>
        </w:tc>
      </w:tr>
      <w:tr>
        <w:tblPrEx>
          <w:tblLayout w:type="fixed"/>
          <w:tblCellMar>
            <w:top w:w="0" w:type="dxa"/>
            <w:left w:w="108" w:type="dxa"/>
            <w:bottom w:w="0" w:type="dxa"/>
            <w:right w:w="108" w:type="dxa"/>
          </w:tblCellMar>
        </w:tblPrEx>
        <w:trPr>
          <w:trHeight w:val="999" w:hRule="atLeast"/>
        </w:trPr>
        <w:tc>
          <w:tcPr>
            <w:tcW w:w="1070" w:type="dxa"/>
            <w:vMerge w:val="continue"/>
            <w:tcBorders>
              <w:top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方正仿宋_GBK" w:hAnsi="等线" w:eastAsia="方正仿宋_GBK" w:cs="宋体"/>
                <w:color w:val="000000"/>
                <w:kern w:val="0"/>
                <w:sz w:val="18"/>
                <w:szCs w:val="18"/>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制度执行有效性</w:t>
            </w:r>
          </w:p>
        </w:tc>
        <w:tc>
          <w:tcPr>
            <w:tcW w:w="4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rPr>
                <w:rFonts w:ascii="Cambria Math" w:hAnsi="Cambria Math" w:eastAsia="方正仿宋_GBK" w:cs="宋体"/>
                <w:color w:val="000000"/>
                <w:kern w:val="0"/>
                <w:sz w:val="18"/>
                <w:szCs w:val="18"/>
              </w:rPr>
            </w:pPr>
            <w:r>
              <w:rPr>
                <w:rFonts w:hint="eastAsia" w:ascii="Cambria Math" w:hAnsi="Cambria Math" w:eastAsia="方正仿宋_GBK" w:cs="宋体"/>
                <w:color w:val="000000"/>
                <w:kern w:val="0"/>
                <w:sz w:val="18"/>
                <w:szCs w:val="18"/>
              </w:rPr>
              <w:t>①是否遵守相关法律法规和相关管理规定，是得5分，发现一处不符合规定，扣0.5分，扣完为止。</w:t>
            </w:r>
          </w:p>
          <w:p>
            <w:pPr>
              <w:widowControl/>
              <w:spacing w:line="240" w:lineRule="auto"/>
              <w:ind w:firstLine="0" w:firstLineChars="0"/>
              <w:jc w:val="left"/>
              <w:rPr>
                <w:rFonts w:ascii="Cambria Math" w:hAnsi="Cambria Math" w:eastAsia="方正仿宋_GBK" w:cs="宋体"/>
                <w:color w:val="000000"/>
                <w:kern w:val="0"/>
                <w:sz w:val="18"/>
                <w:szCs w:val="18"/>
              </w:rPr>
            </w:pPr>
            <w:r>
              <w:rPr>
                <w:rFonts w:hint="eastAsia" w:ascii="Cambria Math" w:hAnsi="Cambria Math" w:eastAsia="方正仿宋_GBK" w:cs="宋体"/>
                <w:color w:val="000000"/>
                <w:kern w:val="0"/>
                <w:sz w:val="18"/>
                <w:szCs w:val="18"/>
              </w:rPr>
              <w:t>②项目调整及支出调整手续是否完备，是得1分。</w:t>
            </w:r>
          </w:p>
          <w:p>
            <w:pPr>
              <w:widowControl/>
              <w:spacing w:line="240" w:lineRule="auto"/>
              <w:ind w:firstLine="0" w:firstLineChars="0"/>
              <w:jc w:val="left"/>
              <w:rPr>
                <w:rFonts w:ascii="Cambria Math" w:hAnsi="Cambria Math" w:eastAsia="方正仿宋_GBK" w:cs="宋体"/>
                <w:color w:val="000000"/>
                <w:kern w:val="0"/>
                <w:sz w:val="18"/>
                <w:szCs w:val="18"/>
              </w:rPr>
            </w:pPr>
            <w:r>
              <w:rPr>
                <w:rFonts w:hint="eastAsia" w:ascii="Cambria Math" w:hAnsi="Cambria Math" w:eastAsia="方正仿宋_GBK" w:cs="宋体"/>
                <w:color w:val="000000"/>
                <w:kern w:val="0"/>
                <w:sz w:val="18"/>
                <w:szCs w:val="18"/>
              </w:rPr>
              <w:t>③项目前期资料、项目过程资料和项目验收资料（包括项目合同书、验收报告、技术鉴定）等建设资料是否齐全，是否及时归档，是得1分。</w:t>
            </w:r>
          </w:p>
          <w:p>
            <w:pPr>
              <w:widowControl/>
              <w:spacing w:line="240" w:lineRule="auto"/>
              <w:ind w:firstLine="0" w:firstLineChars="0"/>
              <w:jc w:val="left"/>
              <w:rPr>
                <w:rFonts w:ascii="Cambria Math" w:hAnsi="Cambria Math" w:eastAsia="方正仿宋_GBK" w:cs="宋体"/>
                <w:color w:val="000000"/>
                <w:kern w:val="0"/>
                <w:sz w:val="18"/>
                <w:szCs w:val="18"/>
              </w:rPr>
            </w:pPr>
            <w:r>
              <w:rPr>
                <w:rFonts w:hint="eastAsia" w:ascii="Cambria Math" w:hAnsi="Cambria Math" w:eastAsia="方正仿宋_GBK" w:cs="宋体"/>
                <w:color w:val="000000"/>
                <w:kern w:val="0"/>
                <w:sz w:val="18"/>
                <w:szCs w:val="18"/>
              </w:rPr>
              <w:t>④项目实施的人员条件、场地设备、信息支撑是否落实到位，是得1分。</w:t>
            </w:r>
          </w:p>
          <w:p>
            <w:pPr>
              <w:widowControl/>
              <w:spacing w:line="240" w:lineRule="auto"/>
              <w:ind w:firstLine="0" w:firstLineChars="0"/>
              <w:jc w:val="left"/>
              <w:rPr>
                <w:rFonts w:ascii="方正仿宋_GBK" w:hAnsi="等线" w:eastAsia="方正仿宋_GBK" w:cs="宋体"/>
                <w:color w:val="000000"/>
                <w:kern w:val="0"/>
                <w:sz w:val="18"/>
                <w:szCs w:val="18"/>
              </w:rPr>
            </w:pPr>
            <w:r>
              <w:rPr>
                <w:rFonts w:hint="eastAsia" w:ascii="Cambria Math" w:hAnsi="Cambria Math" w:eastAsia="方正仿宋_GBK" w:cs="宋体"/>
                <w:color w:val="000000"/>
                <w:kern w:val="0"/>
                <w:sz w:val="18"/>
                <w:szCs w:val="18"/>
              </w:rPr>
              <w:t>上述第②-④项发现一处不符合规定，扣相应权重分值，扣完为止。</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8</w:t>
            </w:r>
          </w:p>
        </w:tc>
        <w:tc>
          <w:tcPr>
            <w:tcW w:w="700" w:type="dxa"/>
            <w:tcBorders>
              <w:top w:val="single" w:color="000000" w:sz="4" w:space="0"/>
              <w:left w:val="single" w:color="000000" w:sz="4" w:space="0"/>
              <w:bottom w:val="single" w:color="000000" w:sz="4" w:space="0"/>
            </w:tcBorders>
            <w:shd w:val="clear" w:color="auto" w:fill="auto"/>
            <w:vAlign w:val="center"/>
          </w:tcPr>
          <w:p>
            <w:pPr>
              <w:widowControl/>
              <w:spacing w:line="240" w:lineRule="auto"/>
              <w:ind w:firstLine="0" w:firstLineChars="0"/>
              <w:jc w:val="center"/>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7.88</w:t>
            </w:r>
          </w:p>
        </w:tc>
      </w:tr>
      <w:tr>
        <w:tblPrEx>
          <w:tblLayout w:type="fixed"/>
          <w:tblCellMar>
            <w:top w:w="0" w:type="dxa"/>
            <w:left w:w="108" w:type="dxa"/>
            <w:bottom w:w="0" w:type="dxa"/>
            <w:right w:w="108" w:type="dxa"/>
          </w:tblCellMar>
        </w:tblPrEx>
        <w:trPr>
          <w:trHeight w:val="999" w:hRule="atLeast"/>
        </w:trPr>
        <w:tc>
          <w:tcPr>
            <w:tcW w:w="1070" w:type="dxa"/>
            <w:tcBorders>
              <w:top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业务管理</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项目质量可控性</w:t>
            </w:r>
          </w:p>
        </w:tc>
        <w:tc>
          <w:tcPr>
            <w:tcW w:w="4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rPr>
                <w:rFonts w:ascii="Cambria Math" w:hAnsi="Cambria Math" w:eastAsia="方正仿宋_GBK" w:cs="宋体"/>
                <w:color w:val="000000"/>
                <w:kern w:val="0"/>
                <w:sz w:val="18"/>
                <w:szCs w:val="18"/>
              </w:rPr>
            </w:pPr>
            <w:r>
              <w:rPr>
                <w:rFonts w:hint="eastAsia" w:ascii="Cambria Math" w:hAnsi="Cambria Math" w:eastAsia="方正仿宋_GBK" w:cs="宋体"/>
                <w:color w:val="000000"/>
                <w:kern w:val="0"/>
                <w:sz w:val="18"/>
                <w:szCs w:val="18"/>
              </w:rPr>
              <w:t>①制定有日常监督考核制度及考核标准，是得1分，否则不得分。</w:t>
            </w:r>
          </w:p>
          <w:p>
            <w:pPr>
              <w:widowControl/>
              <w:spacing w:line="240" w:lineRule="auto"/>
              <w:ind w:firstLine="0" w:firstLineChars="0"/>
              <w:jc w:val="left"/>
              <w:rPr>
                <w:rFonts w:ascii="Cambria Math" w:hAnsi="Cambria Math" w:eastAsia="方正仿宋_GBK" w:cs="宋体"/>
                <w:color w:val="000000"/>
                <w:kern w:val="0"/>
                <w:sz w:val="18"/>
                <w:szCs w:val="18"/>
              </w:rPr>
            </w:pPr>
            <w:r>
              <w:rPr>
                <w:rFonts w:hint="eastAsia" w:ascii="Cambria Math" w:hAnsi="Cambria Math" w:eastAsia="方正仿宋_GBK" w:cs="宋体"/>
                <w:color w:val="000000"/>
                <w:kern w:val="0"/>
                <w:sz w:val="18"/>
                <w:szCs w:val="18"/>
              </w:rPr>
              <w:t>②项目日常监管到位，是得1分，发现一处不符合规定，扣0.2分，扣完为止。</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2</w:t>
            </w:r>
          </w:p>
        </w:tc>
        <w:tc>
          <w:tcPr>
            <w:tcW w:w="700" w:type="dxa"/>
            <w:tcBorders>
              <w:top w:val="single" w:color="000000" w:sz="4" w:space="0"/>
              <w:left w:val="single" w:color="000000" w:sz="4" w:space="0"/>
              <w:bottom w:val="single" w:color="000000" w:sz="4" w:space="0"/>
            </w:tcBorders>
            <w:shd w:val="clear" w:color="auto" w:fill="auto"/>
            <w:vAlign w:val="center"/>
          </w:tcPr>
          <w:p>
            <w:pPr>
              <w:widowControl/>
              <w:spacing w:line="240" w:lineRule="auto"/>
              <w:ind w:firstLine="0" w:firstLineChars="0"/>
              <w:jc w:val="center"/>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1.78</w:t>
            </w:r>
          </w:p>
        </w:tc>
      </w:tr>
      <w:tr>
        <w:tblPrEx>
          <w:tblLayout w:type="fixed"/>
          <w:tblCellMar>
            <w:top w:w="0" w:type="dxa"/>
            <w:left w:w="108" w:type="dxa"/>
            <w:bottom w:w="0" w:type="dxa"/>
            <w:right w:w="108" w:type="dxa"/>
          </w:tblCellMar>
        </w:tblPrEx>
        <w:trPr>
          <w:trHeight w:val="1575" w:hRule="atLeast"/>
        </w:trPr>
        <w:tc>
          <w:tcPr>
            <w:tcW w:w="1070" w:type="dxa"/>
            <w:vMerge w:val="restart"/>
            <w:tcBorders>
              <w:top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资金管理</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方正仿宋_GBK" w:hAnsi="等线" w:eastAsia="方正仿宋_GBK" w:cs="宋体"/>
                <w:color w:val="000000"/>
                <w:kern w:val="0"/>
                <w:sz w:val="18"/>
                <w:szCs w:val="18"/>
              </w:rPr>
            </w:pPr>
            <w:r>
              <w:rPr>
                <w:rFonts w:hint="eastAsia" w:ascii="微软雅黑" w:hAnsi="微软雅黑" w:eastAsia="微软雅黑" w:cs="微软雅黑"/>
                <w:color w:val="000000"/>
                <w:kern w:val="0"/>
                <w:sz w:val="18"/>
                <w:szCs w:val="18"/>
              </w:rPr>
              <w:t>管理制度健全性</w:t>
            </w:r>
          </w:p>
        </w:tc>
        <w:tc>
          <w:tcPr>
            <w:tcW w:w="4779" w:type="dxa"/>
            <w:tcBorders>
              <w:top w:val="single" w:color="000000" w:sz="4" w:space="0"/>
              <w:left w:val="single" w:color="000000" w:sz="4" w:space="0"/>
              <w:right w:val="single" w:color="000000" w:sz="4" w:space="0"/>
            </w:tcBorders>
            <w:shd w:val="clear" w:color="auto" w:fill="auto"/>
            <w:vAlign w:val="center"/>
          </w:tcPr>
          <w:p>
            <w:pPr>
              <w:widowControl/>
              <w:spacing w:line="240" w:lineRule="auto"/>
              <w:ind w:firstLine="0" w:firstLineChars="0"/>
              <w:jc w:val="left"/>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①是否已制定或具有相应的财务管理制度，是得1分，否则不得分。</w:t>
            </w:r>
          </w:p>
          <w:p>
            <w:pPr>
              <w:widowControl/>
              <w:spacing w:line="240" w:lineRule="auto"/>
              <w:ind w:firstLine="0" w:firstLineChars="0"/>
              <w:jc w:val="left"/>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②财务管理制度是否合法、合规、完整，是得1分，否则不得分。</w:t>
            </w:r>
          </w:p>
        </w:tc>
        <w:tc>
          <w:tcPr>
            <w:tcW w:w="847" w:type="dxa"/>
            <w:tcBorders>
              <w:top w:val="single" w:color="000000" w:sz="4" w:space="0"/>
              <w:left w:val="single" w:color="000000" w:sz="4" w:space="0"/>
              <w:right w:val="single" w:color="000000" w:sz="4" w:space="0"/>
            </w:tcBorders>
            <w:shd w:val="clear" w:color="auto" w:fill="auto"/>
            <w:vAlign w:val="center"/>
          </w:tcPr>
          <w:p>
            <w:pPr>
              <w:widowControl/>
              <w:spacing w:line="240" w:lineRule="auto"/>
              <w:ind w:firstLine="0" w:firstLineChars="0"/>
              <w:jc w:val="center"/>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2</w:t>
            </w:r>
          </w:p>
        </w:tc>
        <w:tc>
          <w:tcPr>
            <w:tcW w:w="700" w:type="dxa"/>
            <w:tcBorders>
              <w:top w:val="single" w:color="000000" w:sz="4" w:space="0"/>
              <w:left w:val="single" w:color="000000" w:sz="4" w:space="0"/>
            </w:tcBorders>
            <w:shd w:val="clear" w:color="auto" w:fill="auto"/>
            <w:vAlign w:val="center"/>
          </w:tcPr>
          <w:p>
            <w:pPr>
              <w:widowControl/>
              <w:spacing w:line="240" w:lineRule="auto"/>
              <w:ind w:firstLine="0" w:firstLineChars="0"/>
              <w:jc w:val="center"/>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1.98</w:t>
            </w:r>
          </w:p>
        </w:tc>
      </w:tr>
      <w:tr>
        <w:tblPrEx>
          <w:tblLayout w:type="fixed"/>
          <w:tblCellMar>
            <w:top w:w="0" w:type="dxa"/>
            <w:left w:w="108" w:type="dxa"/>
            <w:bottom w:w="0" w:type="dxa"/>
            <w:right w:w="108" w:type="dxa"/>
          </w:tblCellMar>
        </w:tblPrEx>
        <w:trPr>
          <w:trHeight w:val="652" w:hRule="atLeast"/>
        </w:trPr>
        <w:tc>
          <w:tcPr>
            <w:tcW w:w="1070" w:type="dxa"/>
            <w:vMerge w:val="continue"/>
            <w:tcBorders>
              <w:top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rPr>
                <w:rFonts w:ascii="方正仿宋_GBK" w:hAnsi="等线" w:eastAsia="方正仿宋_GBK" w:cs="宋体"/>
                <w:color w:val="000000"/>
                <w:kern w:val="0"/>
                <w:sz w:val="18"/>
                <w:szCs w:val="18"/>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制度执行有效性</w:t>
            </w:r>
          </w:p>
        </w:tc>
        <w:tc>
          <w:tcPr>
            <w:tcW w:w="4779" w:type="dxa"/>
            <w:tcBorders>
              <w:top w:val="single" w:color="000000" w:sz="4" w:space="0"/>
              <w:left w:val="single" w:color="000000" w:sz="4" w:space="0"/>
              <w:right w:val="single" w:color="000000" w:sz="4" w:space="0"/>
            </w:tcBorders>
            <w:shd w:val="clear" w:color="auto" w:fill="auto"/>
            <w:vAlign w:val="center"/>
          </w:tcPr>
          <w:p>
            <w:pPr>
              <w:spacing w:line="240" w:lineRule="auto"/>
              <w:ind w:firstLine="0" w:firstLineChars="0"/>
              <w:jc w:val="left"/>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是否符合国家财经法规和财务管理制度，以及有关专项资金管理办法的规定，资金的拨付是否有完整的审批程序和手续；项目的重大开支是否经评估认证，是否符合项目预算批复和合同规定的用途；是否存在截留、挤占、挪用、虚拟支出等情况。是得4分；每发现违规一处扣1分，扣完为止。</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4</w:t>
            </w:r>
          </w:p>
        </w:tc>
        <w:tc>
          <w:tcPr>
            <w:tcW w:w="700" w:type="dxa"/>
            <w:tcBorders>
              <w:top w:val="single" w:color="000000" w:sz="4" w:space="0"/>
              <w:left w:val="single" w:color="000000" w:sz="4" w:space="0"/>
              <w:bottom w:val="single" w:color="000000" w:sz="4" w:space="0"/>
            </w:tcBorders>
            <w:shd w:val="clear" w:color="auto" w:fill="auto"/>
            <w:vAlign w:val="center"/>
          </w:tcPr>
          <w:p>
            <w:pPr>
              <w:widowControl/>
              <w:spacing w:line="240" w:lineRule="auto"/>
              <w:ind w:firstLine="0" w:firstLineChars="0"/>
              <w:jc w:val="center"/>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3.96</w:t>
            </w:r>
          </w:p>
        </w:tc>
      </w:tr>
      <w:tr>
        <w:tblPrEx>
          <w:tblLayout w:type="fixed"/>
          <w:tblCellMar>
            <w:top w:w="0" w:type="dxa"/>
            <w:left w:w="108" w:type="dxa"/>
            <w:bottom w:w="0" w:type="dxa"/>
            <w:right w:w="108" w:type="dxa"/>
          </w:tblCellMar>
        </w:tblPrEx>
        <w:trPr>
          <w:trHeight w:val="644" w:hRule="atLeast"/>
        </w:trPr>
        <w:tc>
          <w:tcPr>
            <w:tcW w:w="1070" w:type="dxa"/>
            <w:vMerge w:val="continue"/>
            <w:tcBorders>
              <w:top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rPr>
                <w:rFonts w:ascii="方正仿宋_GBK" w:hAnsi="等线" w:eastAsia="方正仿宋_GBK" w:cs="宋体"/>
                <w:color w:val="000000"/>
                <w:kern w:val="0"/>
                <w:sz w:val="18"/>
                <w:szCs w:val="18"/>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财务监控有效性</w:t>
            </w:r>
          </w:p>
        </w:tc>
        <w:tc>
          <w:tcPr>
            <w:tcW w:w="477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left"/>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①项目是否专账、辅助账核算，是得1分，否则不得分。</w:t>
            </w:r>
          </w:p>
          <w:p>
            <w:pPr>
              <w:spacing w:line="240" w:lineRule="auto"/>
              <w:ind w:firstLine="0" w:firstLineChars="0"/>
              <w:jc w:val="left"/>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②是否已制定或具有相应的监控机制，是得0.5分，否则不得分。</w:t>
            </w:r>
          </w:p>
          <w:p>
            <w:pPr>
              <w:widowControl/>
              <w:spacing w:line="240" w:lineRule="auto"/>
              <w:ind w:firstLine="0" w:firstLineChars="0"/>
              <w:jc w:val="left"/>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③是否采取了相应的财务检查等监控措施或手段，是得0.5分，否则不得分。</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2</w:t>
            </w:r>
          </w:p>
        </w:tc>
        <w:tc>
          <w:tcPr>
            <w:tcW w:w="700" w:type="dxa"/>
            <w:tcBorders>
              <w:top w:val="single" w:color="000000" w:sz="4" w:space="0"/>
              <w:left w:val="single" w:color="000000" w:sz="4" w:space="0"/>
              <w:bottom w:val="single" w:color="000000" w:sz="4" w:space="0"/>
            </w:tcBorders>
            <w:shd w:val="clear" w:color="auto" w:fill="auto"/>
            <w:vAlign w:val="center"/>
          </w:tcPr>
          <w:p>
            <w:pPr>
              <w:widowControl/>
              <w:spacing w:line="240" w:lineRule="auto"/>
              <w:ind w:firstLine="0" w:firstLineChars="0"/>
              <w:jc w:val="center"/>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1.98</w:t>
            </w:r>
          </w:p>
        </w:tc>
      </w:tr>
      <w:tr>
        <w:tblPrEx>
          <w:tblLayout w:type="fixed"/>
          <w:tblCellMar>
            <w:top w:w="0" w:type="dxa"/>
            <w:left w:w="108" w:type="dxa"/>
            <w:bottom w:w="0" w:type="dxa"/>
            <w:right w:w="108" w:type="dxa"/>
          </w:tblCellMar>
        </w:tblPrEx>
        <w:trPr>
          <w:trHeight w:val="450" w:hRule="atLeast"/>
        </w:trPr>
        <w:tc>
          <w:tcPr>
            <w:tcW w:w="1070" w:type="dxa"/>
            <w:tcBorders>
              <w:top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小计</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rPr>
                <w:rFonts w:ascii="方正仿宋_GBK" w:hAnsi="等线" w:eastAsia="方正仿宋_GBK" w:cs="宋体"/>
                <w:color w:val="000000"/>
                <w:kern w:val="0"/>
                <w:sz w:val="18"/>
                <w:szCs w:val="18"/>
              </w:rPr>
            </w:pPr>
          </w:p>
        </w:tc>
        <w:tc>
          <w:tcPr>
            <w:tcW w:w="4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rPr>
                <w:rFonts w:ascii="方正仿宋_GBK" w:hAnsi="等线" w:eastAsia="方正仿宋_GBK" w:cs="宋体"/>
                <w:color w:val="000000"/>
                <w:kern w:val="0"/>
                <w:sz w:val="18"/>
                <w:szCs w:val="18"/>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20</w:t>
            </w:r>
          </w:p>
        </w:tc>
        <w:tc>
          <w:tcPr>
            <w:tcW w:w="700" w:type="dxa"/>
            <w:tcBorders>
              <w:top w:val="single" w:color="000000" w:sz="4" w:space="0"/>
              <w:left w:val="single" w:color="000000" w:sz="4" w:space="0"/>
              <w:bottom w:val="single" w:color="000000" w:sz="4" w:space="0"/>
            </w:tcBorders>
            <w:shd w:val="clear" w:color="auto" w:fill="auto"/>
            <w:vAlign w:val="center"/>
          </w:tcPr>
          <w:p>
            <w:pPr>
              <w:widowControl/>
              <w:spacing w:line="240" w:lineRule="auto"/>
              <w:ind w:firstLine="0" w:firstLineChars="0"/>
              <w:jc w:val="center"/>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19.3</w:t>
            </w:r>
          </w:p>
        </w:tc>
      </w:tr>
    </w:tbl>
    <w:p>
      <w:pPr>
        <w:snapToGrid w:val="0"/>
        <w:spacing w:line="560" w:lineRule="atLeast"/>
        <w:ind w:firstLine="560"/>
        <w:rPr>
          <w:rFonts w:ascii="宋体" w:hAnsi="宋体"/>
          <w:szCs w:val="28"/>
        </w:rPr>
      </w:pPr>
      <w:r>
        <w:rPr>
          <w:rFonts w:hint="eastAsia" w:ascii="宋体" w:hAnsi="宋体"/>
          <w:szCs w:val="28"/>
        </w:rPr>
        <w:t>1.业务管理制度健全性标准分值为2分，本次绩效评价得分</w:t>
      </w:r>
      <w:r>
        <w:rPr>
          <w:rFonts w:ascii="宋体" w:hAnsi="宋体"/>
          <w:szCs w:val="28"/>
        </w:rPr>
        <w:t>1</w:t>
      </w:r>
      <w:r>
        <w:rPr>
          <w:rFonts w:hint="eastAsia" w:ascii="宋体" w:hAnsi="宋体"/>
          <w:szCs w:val="28"/>
          <w:lang w:val="en-US" w:eastAsia="zh-CN"/>
        </w:rPr>
        <w:t>.72</w:t>
      </w:r>
      <w:r>
        <w:rPr>
          <w:rFonts w:hint="eastAsia" w:ascii="宋体" w:hAnsi="宋体"/>
          <w:szCs w:val="28"/>
        </w:rPr>
        <w:t>分。25个镇街中20个镇街结合自身实际情况制定了政府性投资工程项目管理制度。制度规范了政府性投资工程项目在立项、招标、施工管理、质量监督、竣工验收、结算审计、工程款支付等环节的工作流程,业务管理制度合法、合规、完整。</w:t>
      </w:r>
      <w:bookmarkStart w:id="3" w:name="_Hlk170996304"/>
      <w:r>
        <w:rPr>
          <w:rFonts w:hint="eastAsia" w:ascii="宋体" w:hAnsi="宋体"/>
          <w:szCs w:val="28"/>
        </w:rPr>
        <w:t>5个镇街未按自身实际情况制定相关业务管理制度，分别为：围龙镇、石鱼镇、永嘉镇、维新镇、安溪镇。</w:t>
      </w:r>
      <w:bookmarkEnd w:id="3"/>
      <w:r>
        <w:rPr>
          <w:rFonts w:hint="eastAsia" w:ascii="宋体" w:hAnsi="宋体"/>
          <w:szCs w:val="28"/>
        </w:rPr>
        <w:t>该指标扣0.28分。</w:t>
      </w:r>
      <w:r>
        <w:rPr>
          <w:rFonts w:ascii="宋体" w:hAnsi="宋体"/>
          <w:szCs w:val="28"/>
        </w:rPr>
        <w:t xml:space="preserve"> </w:t>
      </w:r>
    </w:p>
    <w:p>
      <w:pPr>
        <w:snapToGrid w:val="0"/>
        <w:spacing w:line="560" w:lineRule="atLeast"/>
        <w:ind w:firstLine="560"/>
        <w:rPr>
          <w:rFonts w:ascii="宋体" w:hAnsi="宋体"/>
          <w:szCs w:val="28"/>
        </w:rPr>
      </w:pPr>
      <w:r>
        <w:rPr>
          <w:rFonts w:hint="eastAsia" w:ascii="宋体" w:hAnsi="宋体"/>
          <w:szCs w:val="28"/>
        </w:rPr>
        <w:t>2.制度执行有效性标准分值为8分，本次绩效评价得分7.88分。经检查，项目整体制度执行情况较好，申请立项和立项批复资料齐全,项目通过招投标流程确定项目施工单位，并签订施工合同，招标资料已装订成册。各镇街按合同制的要求签订了监理合同、设计合同等。施工用材取得产品合格证，经抽检合格并取得检验报告。项目实施的人员条件、场地设备、信息支撑落实到位，项目完工后取得竣工验收报告。</w:t>
      </w:r>
    </w:p>
    <w:p>
      <w:pPr>
        <w:snapToGrid w:val="0"/>
        <w:spacing w:line="560" w:lineRule="atLeast"/>
        <w:ind w:firstLine="560"/>
        <w:rPr>
          <w:rFonts w:ascii="宋体" w:hAnsi="宋体"/>
          <w:szCs w:val="28"/>
        </w:rPr>
      </w:pPr>
      <w:r>
        <w:rPr>
          <w:rFonts w:hint="eastAsia" w:ascii="宋体" w:hAnsi="宋体"/>
          <w:szCs w:val="28"/>
        </w:rPr>
        <w:t>经检查，部分项目仍存在制度执行不到位的情况，涉及项目25个，其中南城街道3个、旧县街道7个、二坪镇1个、白羊镇1个、太平镇1个、福果镇1个、巴川街道2个、虎峰镇1个、少云镇5个、西河镇2个、高楼镇1个。本指标扣0.12分，具体扣分事项如下：</w:t>
      </w:r>
    </w:p>
    <w:p>
      <w:pPr>
        <w:snapToGrid w:val="0"/>
        <w:spacing w:line="560" w:lineRule="atLeast"/>
        <w:ind w:firstLine="560"/>
        <w:rPr>
          <w:rFonts w:ascii="宋体" w:hAnsi="宋体"/>
          <w:szCs w:val="28"/>
        </w:rPr>
      </w:pPr>
      <w:r>
        <w:rPr>
          <w:rFonts w:hint="eastAsia" w:ascii="宋体" w:hAnsi="宋体"/>
          <w:szCs w:val="28"/>
        </w:rPr>
        <w:t>（1）</w:t>
      </w:r>
      <w:bookmarkStart w:id="4" w:name="_Hlk170996125"/>
      <w:r>
        <w:rPr>
          <w:rFonts w:hint="eastAsia" w:ascii="宋体" w:hAnsi="宋体"/>
          <w:szCs w:val="28"/>
        </w:rPr>
        <w:t>工程开工建设前未取得施工许可证。南城街道西环路片区门面店招店牌整治工程、南城街道西环路片区人行道整治工程由于文件资料未准备齐全，项目于完工并经质量鉴定合格后才向区政府申请补办施工许可证。</w:t>
      </w:r>
    </w:p>
    <w:bookmarkEnd w:id="4"/>
    <w:p>
      <w:pPr>
        <w:snapToGrid w:val="0"/>
        <w:spacing w:line="560" w:lineRule="atLeast"/>
        <w:ind w:firstLine="560"/>
        <w:rPr>
          <w:rFonts w:ascii="宋体" w:hAnsi="宋体"/>
          <w:szCs w:val="28"/>
        </w:rPr>
      </w:pPr>
      <w:r>
        <w:rPr>
          <w:rFonts w:hint="eastAsia" w:ascii="宋体" w:hAnsi="宋体"/>
          <w:szCs w:val="28"/>
        </w:rPr>
        <w:t>（2）</w:t>
      </w:r>
      <w:bookmarkStart w:id="5" w:name="_Hlk170996140"/>
      <w:r>
        <w:rPr>
          <w:rFonts w:hint="eastAsia" w:ascii="宋体" w:hAnsi="宋体"/>
          <w:szCs w:val="28"/>
        </w:rPr>
        <w:t>弱电改迁工程签订的线路迁改协议均无质保金条款，涉及南城街道、旧县街道、二坪镇、白羊镇、巴川街道、虎峰镇、少云镇。</w:t>
      </w:r>
      <w:bookmarkEnd w:id="5"/>
    </w:p>
    <w:p>
      <w:pPr>
        <w:snapToGrid w:val="0"/>
        <w:spacing w:line="560" w:lineRule="atLeast"/>
        <w:ind w:firstLine="560"/>
        <w:rPr>
          <w:rFonts w:ascii="宋体" w:hAnsi="宋体"/>
          <w:szCs w:val="28"/>
        </w:rPr>
      </w:pPr>
      <w:r>
        <w:rPr>
          <w:rFonts w:hint="eastAsia" w:ascii="宋体" w:hAnsi="宋体"/>
          <w:szCs w:val="28"/>
        </w:rPr>
        <w:t>（3）</w:t>
      </w:r>
      <w:bookmarkStart w:id="6" w:name="_Hlk170996154"/>
      <w:r>
        <w:rPr>
          <w:rFonts w:hint="eastAsia" w:ascii="宋体" w:hAnsi="宋体"/>
          <w:szCs w:val="28"/>
        </w:rPr>
        <w:t>合同签订不及时，重要条款未作明确约定。旧县街道场镇功能补短板建设项目未在中标通知书规定期间内签订施工合同；旧县街道城区人居环境综合整治项目施工合同约定按3%预留质保金，但未规定缺陷责任期。</w:t>
      </w:r>
      <w:bookmarkEnd w:id="6"/>
    </w:p>
    <w:p>
      <w:pPr>
        <w:snapToGrid w:val="0"/>
        <w:spacing w:line="560" w:lineRule="atLeast"/>
        <w:ind w:firstLine="560"/>
        <w:rPr>
          <w:rFonts w:ascii="宋体" w:hAnsi="宋体"/>
          <w:szCs w:val="28"/>
        </w:rPr>
      </w:pPr>
      <w:r>
        <w:rPr>
          <w:rFonts w:hint="eastAsia" w:ascii="宋体" w:hAnsi="宋体"/>
          <w:szCs w:val="28"/>
        </w:rPr>
        <w:t>（4）未取得概算调整批复以及预算审核报告。太平镇基础设施补短板白云片区整治提升工程项目对原立项批复总投资进行调整后，总投资金额小于概算金额，未对项目概算进行相应调整；西河镇人居环境整治（弱电下地土建部分)项目、西河镇人居环境整治(弱电下地线路驳接部分）项目无财政预算审核报告。</w:t>
      </w:r>
    </w:p>
    <w:p>
      <w:pPr>
        <w:snapToGrid w:val="0"/>
        <w:spacing w:line="560" w:lineRule="atLeast"/>
        <w:ind w:firstLine="560"/>
        <w:rPr>
          <w:rFonts w:ascii="宋体" w:hAnsi="宋体"/>
          <w:szCs w:val="28"/>
        </w:rPr>
      </w:pPr>
      <w:r>
        <w:rPr>
          <w:rFonts w:hint="eastAsia" w:ascii="宋体" w:hAnsi="宋体"/>
          <w:szCs w:val="28"/>
        </w:rPr>
        <w:t>（5）</w:t>
      </w:r>
      <w:bookmarkStart w:id="7" w:name="_Hlk170996172"/>
      <w:r>
        <w:rPr>
          <w:rFonts w:hint="eastAsia" w:ascii="宋体" w:hAnsi="宋体"/>
          <w:szCs w:val="28"/>
        </w:rPr>
        <w:t>预算编制不准确。福果镇菜市场建设项目由于预算编制时出现漏项导致工程结算金额超出预算金额39.15742万元。</w:t>
      </w:r>
      <w:bookmarkEnd w:id="7"/>
    </w:p>
    <w:p>
      <w:pPr>
        <w:snapToGrid w:val="0"/>
        <w:spacing w:line="560" w:lineRule="atLeast"/>
        <w:ind w:firstLine="560"/>
        <w:rPr>
          <w:rFonts w:ascii="宋体" w:hAnsi="宋体"/>
          <w:szCs w:val="28"/>
        </w:rPr>
      </w:pPr>
      <w:r>
        <w:rPr>
          <w:rFonts w:hint="eastAsia" w:ascii="宋体" w:hAnsi="宋体"/>
          <w:szCs w:val="28"/>
        </w:rPr>
        <w:t>（6）</w:t>
      </w:r>
      <w:bookmarkStart w:id="8" w:name="_Hlk170996188"/>
      <w:r>
        <w:rPr>
          <w:rFonts w:hint="eastAsia" w:ascii="宋体" w:hAnsi="宋体"/>
          <w:szCs w:val="28"/>
        </w:rPr>
        <w:t>项目未聘请监理单位，涉及巴川街道西环路片区燃气管道及气表迁改工程、少云镇海棠路和新正街弱电改造项目、少云镇海棠街和东市街弱电改造项目、少云镇海棠路屋顶隐患整治工程项目、少云镇新正街屋顶隐患整治工程项目、少云镇场镇水电气隐患整治规范化项目、高楼镇场镇补短板龙源社区人居环境整治项目。</w:t>
      </w:r>
      <w:bookmarkEnd w:id="8"/>
    </w:p>
    <w:p>
      <w:pPr>
        <w:snapToGrid w:val="0"/>
        <w:spacing w:line="560" w:lineRule="atLeast"/>
        <w:ind w:firstLine="560"/>
        <w:rPr>
          <w:rFonts w:ascii="宋体" w:hAnsi="宋体"/>
          <w:szCs w:val="28"/>
        </w:rPr>
      </w:pPr>
      <w:r>
        <w:rPr>
          <w:rFonts w:hint="eastAsia" w:ascii="宋体" w:hAnsi="宋体"/>
          <w:szCs w:val="28"/>
        </w:rPr>
        <w:t>（7）</w:t>
      </w:r>
      <w:bookmarkStart w:id="9" w:name="_Hlk170996198"/>
      <w:r>
        <w:rPr>
          <w:rFonts w:hint="eastAsia" w:ascii="宋体" w:hAnsi="宋体"/>
          <w:szCs w:val="28"/>
        </w:rPr>
        <w:t>项目验收不规范。旧县街道场镇功能补短板建设项目竣工验收报告中无施工单位和建设单位验收组成员签字；旧县街道场镇补短板旧岚路段综合整治项目竣工验收报告中无设计单位验收组成员签字，参建单位签章处无设计单位盖章；福果镇福兴路人居环境整治项目竣工验收报告中无设计单位验收组人员签字，参建单位签章处无设计单位盖章。</w:t>
      </w:r>
    </w:p>
    <w:bookmarkEnd w:id="9"/>
    <w:p>
      <w:pPr>
        <w:snapToGrid w:val="0"/>
        <w:spacing w:line="560" w:lineRule="atLeast"/>
        <w:ind w:firstLine="560" w:firstLineChars="0"/>
        <w:rPr>
          <w:rFonts w:ascii="宋体" w:hAnsi="宋体"/>
          <w:szCs w:val="28"/>
        </w:rPr>
      </w:pPr>
      <w:r>
        <w:rPr>
          <w:rFonts w:hint="eastAsia" w:ascii="宋体" w:hAnsi="宋体"/>
          <w:szCs w:val="28"/>
        </w:rPr>
        <w:t>3.项目质量可控性标准分值为2分, 本次绩效评价得分1.78分。多数镇街制定的业务管理制度中对甲方现场代表应履行的现场质量监督责任进行了规定。施工过程中项目现场代表不定期到场进行施工质量检查，同时聘请监理单位对项目质量进行日常监督，并对施工质量进行相关检测。但部分项目仍存在以下问题，本指标扣0.22分：</w:t>
      </w:r>
    </w:p>
    <w:p>
      <w:pPr>
        <w:snapToGrid w:val="0"/>
        <w:spacing w:line="560" w:lineRule="atLeast"/>
        <w:ind w:firstLine="560" w:firstLineChars="0"/>
        <w:rPr>
          <w:rFonts w:ascii="宋体" w:hAnsi="宋体"/>
          <w:szCs w:val="28"/>
        </w:rPr>
      </w:pPr>
      <w:r>
        <w:rPr>
          <w:rFonts w:hint="eastAsia" w:ascii="宋体" w:hAnsi="宋体"/>
          <w:szCs w:val="28"/>
        </w:rPr>
        <w:t>（1）未制定相关质量监督制度，涉及围龙镇、石鱼镇、永嘉镇、维新镇、安溪镇。</w:t>
      </w:r>
    </w:p>
    <w:p>
      <w:pPr>
        <w:snapToGrid w:val="0"/>
        <w:spacing w:line="560" w:lineRule="atLeast"/>
        <w:ind w:firstLine="560" w:firstLineChars="0"/>
        <w:rPr>
          <w:rFonts w:ascii="宋体" w:hAnsi="宋体"/>
          <w:szCs w:val="28"/>
        </w:rPr>
      </w:pPr>
      <w:r>
        <w:rPr>
          <w:rFonts w:hint="eastAsia" w:ascii="宋体" w:hAnsi="宋体"/>
          <w:szCs w:val="28"/>
        </w:rPr>
        <w:t>（2）项目未聘请监理单位监督实施，涉及巴川街道西环路片区燃气管道及气表迁改、高楼镇场镇补短板龙源社区人居环境整治项目、少云镇海棠路和新正街弱电改造项目、少云镇海棠街和东市街弱电改造项目、少云镇海棠路屋顶隐患整治工程项目、少云镇新正街屋顶隐患整治工程项目、少云镇场镇水电气隐患整治规范化项目。</w:t>
      </w:r>
    </w:p>
    <w:p>
      <w:pPr>
        <w:snapToGrid w:val="0"/>
        <w:spacing w:line="560" w:lineRule="atLeast"/>
        <w:ind w:firstLine="560" w:firstLineChars="0"/>
        <w:rPr>
          <w:rFonts w:ascii="宋体" w:hAnsi="宋体"/>
          <w:szCs w:val="28"/>
        </w:rPr>
      </w:pPr>
      <w:r>
        <w:rPr>
          <w:rFonts w:hint="eastAsia" w:ascii="宋体" w:hAnsi="宋体"/>
          <w:szCs w:val="28"/>
        </w:rPr>
        <w:t>4.财务制度健全性标准分值为2分，本次绩效评价得分1.98分。大部分镇街制定了各自的财务管理制度，制度对收入管理、资产管理、支出管理等作出了明确规定。其中支出管理明确了工程项目支出的审批流程、各级审批权限以及审核要件。财务管理制度合法、合规、完整。但安溪镇未提供财务管理制度，本指标扣0.02分。</w:t>
      </w:r>
    </w:p>
    <w:p>
      <w:pPr>
        <w:snapToGrid w:val="0"/>
        <w:spacing w:line="560" w:lineRule="atLeast"/>
        <w:ind w:firstLine="560"/>
        <w:rPr>
          <w:rFonts w:ascii="宋体" w:hAnsi="宋体"/>
          <w:szCs w:val="28"/>
        </w:rPr>
      </w:pPr>
      <w:r>
        <w:rPr>
          <w:rFonts w:hint="eastAsia" w:ascii="宋体" w:hAnsi="宋体"/>
          <w:szCs w:val="28"/>
        </w:rPr>
        <w:t>5.资金使用合规性标准分值为4分，本次绩效评价得分3.96分。多数项目账务处理合规，能合理反映项目的资金到位、使用情况。项目款项审批执行了相应的付款申请以及付款审批程序，符合预算批复及合同规定的用途。资金不存在截留、挤占、挪用、虚列支出等情况。但在工程款支付审批时仍存在以下问题，本指标扣0.04分：</w:t>
      </w:r>
    </w:p>
    <w:p>
      <w:pPr>
        <w:snapToGrid w:val="0"/>
        <w:spacing w:line="560" w:lineRule="atLeast"/>
        <w:ind w:firstLine="560"/>
        <w:rPr>
          <w:rFonts w:ascii="宋体" w:hAnsi="宋体"/>
          <w:szCs w:val="28"/>
        </w:rPr>
      </w:pPr>
      <w:r>
        <w:rPr>
          <w:rFonts w:hint="eastAsia" w:ascii="宋体" w:hAnsi="宋体"/>
          <w:szCs w:val="28"/>
        </w:rPr>
        <w:t>（1）</w:t>
      </w:r>
      <w:bookmarkStart w:id="10" w:name="_Hlk170996430"/>
      <w:r>
        <w:rPr>
          <w:rFonts w:hint="eastAsia" w:ascii="宋体" w:hAnsi="宋体"/>
          <w:szCs w:val="28"/>
        </w:rPr>
        <w:t>白羊镇场镇环境综合整治项目2024年2月8日的工程付款审批表（申请付款金额34.33万）和2024年3月19日的工程付款审批表（申请付款金额8万）无监理单位盖章；白羊镇场镇人行道整治项目2024年1月18日的工程付款审批表（申请付款金额7万）无监理单位盖章。</w:t>
      </w:r>
      <w:bookmarkEnd w:id="10"/>
    </w:p>
    <w:p>
      <w:pPr>
        <w:snapToGrid w:val="0"/>
        <w:spacing w:line="560" w:lineRule="atLeast"/>
        <w:ind w:firstLine="560"/>
        <w:rPr>
          <w:rFonts w:ascii="宋体" w:hAnsi="宋体"/>
          <w:szCs w:val="28"/>
        </w:rPr>
      </w:pPr>
      <w:r>
        <w:rPr>
          <w:rFonts w:hint="eastAsia" w:ascii="宋体" w:hAnsi="宋体"/>
          <w:szCs w:val="28"/>
        </w:rPr>
        <w:t>（2）安溪镇未提供工程款支付审批表。</w:t>
      </w:r>
    </w:p>
    <w:p>
      <w:pPr>
        <w:snapToGrid w:val="0"/>
        <w:spacing w:line="560" w:lineRule="atLeast"/>
        <w:ind w:firstLine="560" w:firstLineChars="0"/>
        <w:rPr>
          <w:rFonts w:ascii="宋体" w:hAnsi="宋体"/>
          <w:szCs w:val="28"/>
        </w:rPr>
      </w:pPr>
      <w:r>
        <w:rPr>
          <w:rFonts w:hint="eastAsia" w:ascii="宋体" w:hAnsi="宋体"/>
          <w:szCs w:val="28"/>
        </w:rPr>
        <w:t>6.财务监控有效性标准分值为2分，本次绩效评价得分1.98分。多数项目设置了辅助账核算，同时还建立项目收支台账，会计核算清晰。财务管理办法规定了相应的支付审批流程及审核要件，在日常报销中起到资金支出监控作用。经检查，巴川街道环路片区门面店招店牌整治工程、巴川街道西环路片区人行道整治工程、巴川街道西环路片区表计搬迁工程、巴川街道西环路片区燃气管道及气表迁改工程未设置项目辅助账或项目收支台账，会计核算不清晰。本指标扣0.02分。</w:t>
      </w:r>
    </w:p>
    <w:p>
      <w:pPr>
        <w:snapToGrid w:val="0"/>
        <w:spacing w:line="560" w:lineRule="atLeast"/>
        <w:ind w:firstLine="562"/>
        <w:outlineLvl w:val="1"/>
        <w:rPr>
          <w:rFonts w:ascii="宋体" w:hAnsi="宋体"/>
          <w:b/>
          <w:szCs w:val="28"/>
        </w:rPr>
      </w:pPr>
      <w:r>
        <w:rPr>
          <w:rFonts w:hint="eastAsia" w:ascii="宋体" w:hAnsi="宋体"/>
          <w:b/>
          <w:szCs w:val="28"/>
        </w:rPr>
        <w:t>（三）产出类指标</w:t>
      </w:r>
    </w:p>
    <w:p>
      <w:pPr>
        <w:snapToGrid w:val="0"/>
        <w:spacing w:line="560" w:lineRule="atLeast"/>
        <w:ind w:firstLine="560"/>
        <w:rPr>
          <w:rFonts w:ascii="宋体" w:hAnsi="宋体"/>
          <w:szCs w:val="28"/>
        </w:rPr>
      </w:pPr>
      <w:r>
        <w:rPr>
          <w:rFonts w:hint="eastAsia" w:ascii="宋体" w:hAnsi="宋体"/>
          <w:szCs w:val="28"/>
        </w:rPr>
        <w:t>涉及管理的二级指标为：数量指标、时效指标、质量指标及成本指标。各二级指标下设三级指标。</w:t>
      </w:r>
    </w:p>
    <w:p>
      <w:pPr>
        <w:snapToGrid w:val="0"/>
        <w:spacing w:line="560" w:lineRule="atLeast"/>
        <w:ind w:firstLine="560"/>
        <w:rPr>
          <w:rFonts w:ascii="宋体" w:hAnsi="宋体"/>
          <w:szCs w:val="28"/>
        </w:rPr>
      </w:pPr>
      <w:r>
        <w:rPr>
          <w:rFonts w:hint="eastAsia" w:ascii="宋体" w:hAnsi="宋体"/>
          <w:szCs w:val="28"/>
        </w:rPr>
        <w:t>该项总30分，实际得分24.25分，扣分5.75分，具体情况如下：</w:t>
      </w:r>
    </w:p>
    <w:tbl>
      <w:tblPr>
        <w:tblStyle w:val="18"/>
        <w:tblW w:w="8522" w:type="dxa"/>
        <w:tblInd w:w="0" w:type="dxa"/>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973"/>
        <w:gridCol w:w="1119"/>
        <w:gridCol w:w="4814"/>
        <w:gridCol w:w="674"/>
        <w:gridCol w:w="942"/>
      </w:tblGrid>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276" w:hRule="atLeast"/>
          <w:tblHeader/>
        </w:trPr>
        <w:tc>
          <w:tcPr>
            <w:tcW w:w="973" w:type="dxa"/>
            <w:tcBorders>
              <w:tl2br w:val="nil"/>
              <w:tr2bl w:val="nil"/>
            </w:tcBorders>
            <w:shd w:val="clear" w:color="auto" w:fill="auto"/>
            <w:vAlign w:val="center"/>
          </w:tcPr>
          <w:p>
            <w:pPr>
              <w:widowControl/>
              <w:spacing w:line="240" w:lineRule="auto"/>
              <w:ind w:firstLine="0" w:firstLineChars="0"/>
              <w:textAlignment w:val="center"/>
              <w:rPr>
                <w:rFonts w:ascii="方正仿宋_GBK" w:hAnsi="方正仿宋_GBK" w:eastAsia="方正仿宋_GBK" w:cs="方正仿宋_GBK"/>
                <w:b/>
                <w:bCs/>
                <w:sz w:val="18"/>
                <w:szCs w:val="18"/>
              </w:rPr>
            </w:pPr>
            <w:r>
              <w:rPr>
                <w:rFonts w:ascii="方正仿宋_GBK" w:hAnsi="方正仿宋_GBK" w:eastAsia="方正仿宋_GBK" w:cs="方正仿宋_GBK"/>
                <w:b/>
                <w:bCs/>
                <w:kern w:val="0"/>
                <w:sz w:val="18"/>
                <w:szCs w:val="18"/>
                <w:lang w:bidi="ar"/>
              </w:rPr>
              <w:t>二级指标</w:t>
            </w:r>
          </w:p>
        </w:tc>
        <w:tc>
          <w:tcPr>
            <w:tcW w:w="1119" w:type="dxa"/>
            <w:tcBorders>
              <w:tl2br w:val="nil"/>
              <w:tr2bl w:val="nil"/>
            </w:tcBorders>
            <w:shd w:val="clear" w:color="auto" w:fill="auto"/>
            <w:vAlign w:val="center"/>
          </w:tcPr>
          <w:p>
            <w:pPr>
              <w:widowControl/>
              <w:spacing w:line="240" w:lineRule="auto"/>
              <w:ind w:firstLine="0" w:firstLineChars="0"/>
              <w:jc w:val="center"/>
              <w:textAlignment w:val="center"/>
              <w:rPr>
                <w:rFonts w:ascii="方正仿宋_GBK" w:hAnsi="方正仿宋_GBK" w:eastAsia="方正仿宋_GBK" w:cs="方正仿宋_GBK"/>
                <w:b/>
                <w:bCs/>
                <w:sz w:val="18"/>
                <w:szCs w:val="18"/>
              </w:rPr>
            </w:pPr>
            <w:r>
              <w:rPr>
                <w:rFonts w:ascii="方正仿宋_GBK" w:hAnsi="方正仿宋_GBK" w:eastAsia="方正仿宋_GBK" w:cs="方正仿宋_GBK"/>
                <w:b/>
                <w:bCs/>
                <w:kern w:val="0"/>
                <w:sz w:val="18"/>
                <w:szCs w:val="18"/>
                <w:lang w:bidi="ar"/>
              </w:rPr>
              <w:t>三级指标</w:t>
            </w:r>
          </w:p>
        </w:tc>
        <w:tc>
          <w:tcPr>
            <w:tcW w:w="4814" w:type="dxa"/>
            <w:tcBorders>
              <w:tl2br w:val="nil"/>
              <w:tr2bl w:val="nil"/>
            </w:tcBorders>
            <w:shd w:val="clear" w:color="auto" w:fill="auto"/>
            <w:vAlign w:val="center"/>
          </w:tcPr>
          <w:p>
            <w:pPr>
              <w:widowControl/>
              <w:spacing w:line="240" w:lineRule="auto"/>
              <w:ind w:firstLine="360"/>
              <w:jc w:val="center"/>
              <w:textAlignment w:val="center"/>
              <w:rPr>
                <w:rFonts w:ascii="方正仿宋_GBK" w:hAnsi="方正仿宋_GBK" w:eastAsia="方正仿宋_GBK" w:cs="方正仿宋_GBK"/>
                <w:b/>
                <w:bCs/>
                <w:sz w:val="18"/>
                <w:szCs w:val="18"/>
              </w:rPr>
            </w:pPr>
            <w:r>
              <w:rPr>
                <w:rFonts w:ascii="方正仿宋_GBK" w:hAnsi="方正仿宋_GBK" w:eastAsia="方正仿宋_GBK" w:cs="方正仿宋_GBK"/>
                <w:b/>
                <w:bCs/>
                <w:kern w:val="0"/>
                <w:sz w:val="18"/>
                <w:szCs w:val="18"/>
                <w:lang w:bidi="ar"/>
              </w:rPr>
              <w:t>评分标准</w:t>
            </w:r>
          </w:p>
        </w:tc>
        <w:tc>
          <w:tcPr>
            <w:tcW w:w="674" w:type="dxa"/>
            <w:tcBorders>
              <w:tl2br w:val="nil"/>
              <w:tr2bl w:val="nil"/>
            </w:tcBorders>
            <w:shd w:val="clear" w:color="auto" w:fill="auto"/>
            <w:noWrap/>
            <w:vAlign w:val="center"/>
          </w:tcPr>
          <w:p>
            <w:pPr>
              <w:widowControl/>
              <w:spacing w:line="240" w:lineRule="auto"/>
              <w:ind w:firstLine="0" w:firstLineChars="0"/>
              <w:textAlignment w:val="center"/>
              <w:rPr>
                <w:rFonts w:ascii="方正仿宋_GBK" w:hAnsi="方正仿宋_GBK" w:eastAsia="方正仿宋_GBK" w:cs="方正仿宋_GBK"/>
                <w:b/>
                <w:bCs/>
                <w:sz w:val="18"/>
                <w:szCs w:val="18"/>
              </w:rPr>
            </w:pPr>
            <w:r>
              <w:rPr>
                <w:rFonts w:ascii="方正仿宋_GBK" w:hAnsi="方正仿宋_GBK" w:eastAsia="方正仿宋_GBK" w:cs="方正仿宋_GBK"/>
                <w:b/>
                <w:bCs/>
                <w:kern w:val="0"/>
                <w:sz w:val="18"/>
                <w:szCs w:val="18"/>
                <w:lang w:bidi="ar"/>
              </w:rPr>
              <w:t>分值</w:t>
            </w:r>
          </w:p>
        </w:tc>
        <w:tc>
          <w:tcPr>
            <w:tcW w:w="942" w:type="dxa"/>
            <w:tcBorders>
              <w:tl2br w:val="nil"/>
              <w:tr2bl w:val="nil"/>
            </w:tcBorders>
            <w:shd w:val="clear" w:color="auto" w:fill="auto"/>
            <w:noWrap/>
            <w:vAlign w:val="center"/>
          </w:tcPr>
          <w:p>
            <w:pPr>
              <w:widowControl/>
              <w:spacing w:line="240" w:lineRule="auto"/>
              <w:ind w:firstLine="199" w:firstLineChars="110"/>
              <w:textAlignment w:val="center"/>
              <w:rPr>
                <w:rFonts w:ascii="方正仿宋_GBK" w:hAnsi="方正仿宋_GBK" w:eastAsia="方正仿宋_GBK" w:cs="方正仿宋_GBK"/>
                <w:b/>
                <w:bCs/>
                <w:sz w:val="18"/>
                <w:szCs w:val="18"/>
              </w:rPr>
            </w:pPr>
            <w:r>
              <w:rPr>
                <w:rFonts w:ascii="方正仿宋_GBK" w:hAnsi="方正仿宋_GBK" w:eastAsia="方正仿宋_GBK" w:cs="方正仿宋_GBK"/>
                <w:b/>
                <w:bCs/>
                <w:kern w:val="0"/>
                <w:sz w:val="18"/>
                <w:szCs w:val="18"/>
                <w:lang w:bidi="ar"/>
              </w:rPr>
              <w:t>得分</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1168" w:hRule="atLeast"/>
        </w:trPr>
        <w:tc>
          <w:tcPr>
            <w:tcW w:w="973" w:type="dxa"/>
            <w:tcBorders>
              <w:tl2br w:val="nil"/>
              <w:tr2bl w:val="nil"/>
            </w:tcBorders>
            <w:shd w:val="clear" w:color="auto" w:fill="auto"/>
            <w:noWrap/>
            <w:vAlign w:val="center"/>
          </w:tcPr>
          <w:p>
            <w:pPr>
              <w:widowControl/>
              <w:spacing w:line="240" w:lineRule="auto"/>
              <w:ind w:firstLine="0" w:firstLineChars="0"/>
              <w:textAlignment w:val="center"/>
              <w:rPr>
                <w:rFonts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bidi="ar"/>
              </w:rPr>
              <w:t>数量指标</w:t>
            </w:r>
          </w:p>
        </w:tc>
        <w:tc>
          <w:tcPr>
            <w:tcW w:w="1119" w:type="dxa"/>
            <w:tcBorders>
              <w:tl2br w:val="nil"/>
              <w:tr2bl w:val="nil"/>
            </w:tcBorders>
            <w:shd w:val="clear" w:color="auto" w:fill="auto"/>
            <w:vAlign w:val="center"/>
          </w:tcPr>
          <w:p>
            <w:pPr>
              <w:widowControl/>
              <w:spacing w:line="240" w:lineRule="auto"/>
              <w:ind w:firstLine="0" w:firstLineChars="0"/>
              <w:textAlignment w:val="center"/>
              <w:rPr>
                <w:rFonts w:ascii="方正仿宋_GBK" w:hAnsi="方正仿宋_GBK" w:eastAsia="方正仿宋_GBK" w:cs="方正仿宋_GBK"/>
                <w:sz w:val="18"/>
                <w:szCs w:val="18"/>
              </w:rPr>
            </w:pPr>
            <w:r>
              <w:rPr>
                <w:rFonts w:ascii="方正仿宋_GBK" w:hAnsi="方正仿宋_GBK" w:eastAsia="方正仿宋_GBK" w:cs="方正仿宋_GBK"/>
                <w:kern w:val="0"/>
                <w:sz w:val="18"/>
                <w:szCs w:val="18"/>
                <w:lang w:bidi="ar"/>
              </w:rPr>
              <w:t>实际完成率</w:t>
            </w:r>
          </w:p>
        </w:tc>
        <w:tc>
          <w:tcPr>
            <w:tcW w:w="4814" w:type="dxa"/>
            <w:tcBorders>
              <w:tl2br w:val="nil"/>
              <w:tr2bl w:val="nil"/>
            </w:tcBorders>
            <w:shd w:val="clear" w:color="auto" w:fill="auto"/>
            <w:vAlign w:val="center"/>
          </w:tcPr>
          <w:p>
            <w:pPr>
              <w:widowControl/>
              <w:spacing w:line="240" w:lineRule="auto"/>
              <w:ind w:firstLine="0" w:firstLineChars="0"/>
              <w:jc w:val="left"/>
              <w:textAlignment w:val="center"/>
              <w:rPr>
                <w:rFonts w:ascii="方正仿宋_GBK" w:hAnsi="方正仿宋_GBK" w:eastAsia="方正仿宋_GBK" w:cs="方正仿宋_GBK"/>
                <w:kern w:val="0"/>
                <w:sz w:val="18"/>
                <w:szCs w:val="18"/>
                <w:lang w:bidi="ar"/>
              </w:rPr>
            </w:pPr>
            <w:r>
              <w:rPr>
                <w:rFonts w:hint="eastAsia" w:ascii="方正仿宋_GBK" w:hAnsi="方正仿宋_GBK" w:eastAsia="方正仿宋_GBK" w:cs="方正仿宋_GBK"/>
                <w:kern w:val="0"/>
                <w:sz w:val="18"/>
                <w:szCs w:val="18"/>
                <w:lang w:bidi="ar"/>
              </w:rPr>
              <w:t>①实际完成率≥100%，得10分；</w:t>
            </w:r>
          </w:p>
          <w:p>
            <w:pPr>
              <w:widowControl/>
              <w:spacing w:line="240" w:lineRule="auto"/>
              <w:ind w:firstLine="0" w:firstLineChars="0"/>
              <w:jc w:val="left"/>
              <w:textAlignment w:val="center"/>
              <w:rPr>
                <w:rFonts w:ascii="方正仿宋_GBK" w:hAnsi="方正仿宋_GBK" w:eastAsia="方正仿宋_GBK" w:cs="方正仿宋_GBK"/>
                <w:kern w:val="0"/>
                <w:sz w:val="18"/>
                <w:szCs w:val="18"/>
                <w:lang w:bidi="ar"/>
              </w:rPr>
            </w:pPr>
            <w:r>
              <w:rPr>
                <w:rFonts w:hint="eastAsia" w:ascii="方正仿宋_GBK" w:hAnsi="方正仿宋_GBK" w:eastAsia="方正仿宋_GBK" w:cs="方正仿宋_GBK"/>
                <w:kern w:val="0"/>
                <w:sz w:val="18"/>
                <w:szCs w:val="18"/>
                <w:lang w:bidi="ar"/>
              </w:rPr>
              <w:t>②实际完成率在95%（含）-100%之间，得9分；</w:t>
            </w:r>
          </w:p>
          <w:p>
            <w:pPr>
              <w:widowControl/>
              <w:spacing w:line="240" w:lineRule="auto"/>
              <w:ind w:firstLine="0" w:firstLineChars="0"/>
              <w:jc w:val="left"/>
              <w:textAlignment w:val="center"/>
              <w:rPr>
                <w:rFonts w:ascii="方正仿宋_GBK" w:hAnsi="方正仿宋_GBK" w:eastAsia="方正仿宋_GBK" w:cs="方正仿宋_GBK"/>
                <w:kern w:val="0"/>
                <w:sz w:val="18"/>
                <w:szCs w:val="18"/>
                <w:lang w:bidi="ar"/>
              </w:rPr>
            </w:pPr>
            <w:r>
              <w:rPr>
                <w:rFonts w:hint="eastAsia" w:ascii="方正仿宋_GBK" w:hAnsi="方正仿宋_GBK" w:eastAsia="方正仿宋_GBK" w:cs="方正仿宋_GBK"/>
                <w:kern w:val="0"/>
                <w:sz w:val="18"/>
                <w:szCs w:val="18"/>
                <w:lang w:bidi="ar"/>
              </w:rPr>
              <w:t>③实际完成率在90%（含）-95%之间，得8分；</w:t>
            </w:r>
          </w:p>
          <w:p>
            <w:pPr>
              <w:widowControl/>
              <w:spacing w:line="240" w:lineRule="auto"/>
              <w:ind w:firstLine="0" w:firstLineChars="0"/>
              <w:jc w:val="left"/>
              <w:textAlignment w:val="center"/>
              <w:rPr>
                <w:rFonts w:ascii="方正仿宋_GBK" w:hAnsi="方正仿宋_GBK" w:eastAsia="方正仿宋_GBK" w:cs="方正仿宋_GBK"/>
                <w:kern w:val="0"/>
                <w:sz w:val="18"/>
                <w:szCs w:val="18"/>
                <w:lang w:bidi="ar"/>
              </w:rPr>
            </w:pPr>
            <w:r>
              <w:rPr>
                <w:rFonts w:hint="eastAsia" w:ascii="方正仿宋_GBK" w:hAnsi="方正仿宋_GBK" w:eastAsia="方正仿宋_GBK" w:cs="方正仿宋_GBK"/>
                <w:kern w:val="0"/>
                <w:sz w:val="18"/>
                <w:szCs w:val="18"/>
                <w:lang w:bidi="ar"/>
              </w:rPr>
              <w:t>④实际完成率在85%（含）-90%之间，得7分；</w:t>
            </w:r>
          </w:p>
          <w:p>
            <w:pPr>
              <w:widowControl/>
              <w:spacing w:line="240" w:lineRule="auto"/>
              <w:ind w:firstLine="0" w:firstLineChars="0"/>
              <w:jc w:val="left"/>
              <w:textAlignment w:val="center"/>
              <w:rPr>
                <w:rFonts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bidi="ar"/>
              </w:rPr>
              <w:t>⑤实际完成率未达85%，不得分。</w:t>
            </w:r>
          </w:p>
        </w:tc>
        <w:tc>
          <w:tcPr>
            <w:tcW w:w="674" w:type="dxa"/>
            <w:tcBorders>
              <w:tl2br w:val="nil"/>
              <w:tr2bl w:val="nil"/>
            </w:tcBorders>
            <w:shd w:val="clear" w:color="auto" w:fill="auto"/>
            <w:noWrap/>
            <w:vAlign w:val="center"/>
          </w:tcPr>
          <w:p>
            <w:pPr>
              <w:widowControl/>
              <w:spacing w:line="240" w:lineRule="auto"/>
              <w:ind w:firstLine="0" w:firstLineChars="0"/>
              <w:jc w:val="center"/>
              <w:textAlignment w:val="center"/>
              <w:rPr>
                <w:rFonts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10</w:t>
            </w:r>
          </w:p>
        </w:tc>
        <w:tc>
          <w:tcPr>
            <w:tcW w:w="942" w:type="dxa"/>
            <w:tcBorders>
              <w:tl2br w:val="nil"/>
              <w:tr2bl w:val="nil"/>
            </w:tcBorders>
            <w:shd w:val="clear" w:color="auto" w:fill="auto"/>
            <w:noWrap/>
            <w:vAlign w:val="center"/>
          </w:tcPr>
          <w:p>
            <w:pPr>
              <w:widowControl/>
              <w:spacing w:line="240" w:lineRule="auto"/>
              <w:ind w:firstLineChars="111"/>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9.09</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928" w:hRule="atLeast"/>
        </w:trPr>
        <w:tc>
          <w:tcPr>
            <w:tcW w:w="973" w:type="dxa"/>
            <w:tcBorders>
              <w:tl2br w:val="nil"/>
              <w:tr2bl w:val="nil"/>
            </w:tcBorders>
            <w:shd w:val="clear" w:color="auto" w:fill="auto"/>
            <w:vAlign w:val="center"/>
          </w:tcPr>
          <w:p>
            <w:pPr>
              <w:widowControl/>
              <w:spacing w:line="240" w:lineRule="auto"/>
              <w:ind w:firstLine="0" w:firstLineChars="0"/>
              <w:textAlignment w:val="center"/>
              <w:rPr>
                <w:rFonts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bidi="ar"/>
              </w:rPr>
              <w:t>时效指标</w:t>
            </w:r>
          </w:p>
        </w:tc>
        <w:tc>
          <w:tcPr>
            <w:tcW w:w="1119" w:type="dxa"/>
            <w:tcBorders>
              <w:tl2br w:val="nil"/>
              <w:tr2bl w:val="nil"/>
            </w:tcBorders>
            <w:shd w:val="clear" w:color="auto" w:fill="auto"/>
            <w:vAlign w:val="center"/>
          </w:tcPr>
          <w:p>
            <w:pPr>
              <w:widowControl/>
              <w:spacing w:line="240" w:lineRule="auto"/>
              <w:ind w:firstLine="0" w:firstLineChars="0"/>
              <w:textAlignment w:val="center"/>
              <w:rPr>
                <w:rFonts w:ascii="方正仿宋_GBK" w:hAnsi="方正仿宋_GBK" w:eastAsia="方正仿宋_GBK" w:cs="方正仿宋_GBK"/>
                <w:sz w:val="18"/>
                <w:szCs w:val="18"/>
              </w:rPr>
            </w:pPr>
            <w:r>
              <w:rPr>
                <w:rFonts w:ascii="方正仿宋_GBK" w:hAnsi="方正仿宋_GBK" w:eastAsia="方正仿宋_GBK" w:cs="方正仿宋_GBK"/>
                <w:kern w:val="0"/>
                <w:sz w:val="18"/>
                <w:szCs w:val="18"/>
                <w:lang w:bidi="ar"/>
              </w:rPr>
              <w:t>完成及时率</w:t>
            </w:r>
          </w:p>
        </w:tc>
        <w:tc>
          <w:tcPr>
            <w:tcW w:w="4814" w:type="dxa"/>
            <w:tcBorders>
              <w:tl2br w:val="nil"/>
              <w:tr2bl w:val="nil"/>
            </w:tcBorders>
            <w:shd w:val="clear" w:color="auto" w:fill="auto"/>
            <w:vAlign w:val="center"/>
          </w:tcPr>
          <w:p>
            <w:pPr>
              <w:widowControl/>
              <w:spacing w:line="240" w:lineRule="auto"/>
              <w:ind w:firstLine="0" w:firstLineChars="0"/>
              <w:jc w:val="left"/>
              <w:textAlignment w:val="center"/>
              <w:rPr>
                <w:rFonts w:ascii="方正仿宋_GBK" w:hAnsi="方正仿宋_GBK" w:eastAsia="方正仿宋_GBK" w:cs="方正仿宋_GBK"/>
                <w:kern w:val="0"/>
                <w:sz w:val="18"/>
                <w:szCs w:val="18"/>
                <w:lang w:bidi="ar"/>
              </w:rPr>
            </w:pPr>
            <w:r>
              <w:rPr>
                <w:rFonts w:hint="eastAsia" w:ascii="方正仿宋_GBK" w:hAnsi="方正仿宋_GBK" w:eastAsia="方正仿宋_GBK" w:cs="方正仿宋_GBK"/>
                <w:kern w:val="0"/>
                <w:sz w:val="18"/>
                <w:szCs w:val="18"/>
                <w:lang w:bidi="ar"/>
              </w:rPr>
              <w:t>①延迟完成时间/计划完成时间≤0，得6分；</w:t>
            </w:r>
          </w:p>
          <w:p>
            <w:pPr>
              <w:widowControl/>
              <w:spacing w:line="240" w:lineRule="auto"/>
              <w:ind w:firstLine="0" w:firstLineChars="0"/>
              <w:jc w:val="left"/>
              <w:textAlignment w:val="center"/>
              <w:rPr>
                <w:rFonts w:ascii="方正仿宋_GBK" w:hAnsi="方正仿宋_GBK" w:eastAsia="方正仿宋_GBK" w:cs="方正仿宋_GBK"/>
                <w:kern w:val="0"/>
                <w:sz w:val="18"/>
                <w:szCs w:val="18"/>
                <w:lang w:bidi="ar"/>
              </w:rPr>
            </w:pPr>
            <w:r>
              <w:rPr>
                <w:rFonts w:hint="eastAsia" w:ascii="方正仿宋_GBK" w:hAnsi="方正仿宋_GBK" w:eastAsia="方正仿宋_GBK" w:cs="方正仿宋_GBK"/>
                <w:kern w:val="0"/>
                <w:sz w:val="18"/>
                <w:szCs w:val="18"/>
                <w:lang w:bidi="ar"/>
              </w:rPr>
              <w:t>②延迟完成时间/计划完成时间在0-5%（含）之间，得5分；</w:t>
            </w:r>
          </w:p>
          <w:p>
            <w:pPr>
              <w:widowControl/>
              <w:spacing w:line="240" w:lineRule="auto"/>
              <w:ind w:firstLine="0" w:firstLineChars="0"/>
              <w:jc w:val="left"/>
              <w:textAlignment w:val="center"/>
              <w:rPr>
                <w:rFonts w:ascii="方正仿宋_GBK" w:hAnsi="方正仿宋_GBK" w:eastAsia="方正仿宋_GBK" w:cs="方正仿宋_GBK"/>
                <w:kern w:val="0"/>
                <w:sz w:val="18"/>
                <w:szCs w:val="18"/>
                <w:lang w:bidi="ar"/>
              </w:rPr>
            </w:pPr>
            <w:r>
              <w:rPr>
                <w:rFonts w:hint="eastAsia" w:ascii="方正仿宋_GBK" w:hAnsi="方正仿宋_GBK" w:eastAsia="方正仿宋_GBK" w:cs="方正仿宋_GBK"/>
                <w:kern w:val="0"/>
                <w:sz w:val="18"/>
                <w:szCs w:val="18"/>
                <w:lang w:bidi="ar"/>
              </w:rPr>
              <w:t>③延迟完成时间/计划完成时间在5%-10%（含）之间，得4分；</w:t>
            </w:r>
          </w:p>
          <w:p>
            <w:pPr>
              <w:widowControl/>
              <w:spacing w:line="240" w:lineRule="auto"/>
              <w:ind w:firstLine="0" w:firstLineChars="0"/>
              <w:jc w:val="left"/>
              <w:textAlignment w:val="center"/>
              <w:rPr>
                <w:rFonts w:ascii="方正仿宋_GBK" w:hAnsi="方正仿宋_GBK" w:eastAsia="方正仿宋_GBK" w:cs="方正仿宋_GBK"/>
                <w:kern w:val="0"/>
                <w:sz w:val="18"/>
                <w:szCs w:val="18"/>
                <w:lang w:bidi="ar"/>
              </w:rPr>
            </w:pPr>
            <w:r>
              <w:rPr>
                <w:rFonts w:hint="eastAsia" w:ascii="方正仿宋_GBK" w:hAnsi="方正仿宋_GBK" w:eastAsia="方正仿宋_GBK" w:cs="方正仿宋_GBK"/>
                <w:kern w:val="0"/>
                <w:sz w:val="18"/>
                <w:szCs w:val="18"/>
                <w:lang w:bidi="ar"/>
              </w:rPr>
              <w:t>④延迟完成时间/计划完成时间在10%-15%（含）之间，得3分；</w:t>
            </w:r>
          </w:p>
          <w:p>
            <w:pPr>
              <w:widowControl/>
              <w:spacing w:line="240" w:lineRule="auto"/>
              <w:ind w:firstLine="0" w:firstLineChars="0"/>
              <w:jc w:val="left"/>
              <w:textAlignment w:val="center"/>
              <w:rPr>
                <w:rFonts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bidi="ar"/>
              </w:rPr>
              <w:t>⑤延迟完成时间/计划完成时间大于15%，不得分。</w:t>
            </w:r>
          </w:p>
        </w:tc>
        <w:tc>
          <w:tcPr>
            <w:tcW w:w="674" w:type="dxa"/>
            <w:tcBorders>
              <w:tl2br w:val="nil"/>
              <w:tr2bl w:val="nil"/>
            </w:tcBorders>
            <w:shd w:val="clear" w:color="auto" w:fill="auto"/>
            <w:noWrap/>
            <w:vAlign w:val="center"/>
          </w:tcPr>
          <w:p>
            <w:pPr>
              <w:widowControl/>
              <w:spacing w:line="240" w:lineRule="auto"/>
              <w:ind w:firstLineChars="111"/>
              <w:textAlignment w:val="center"/>
              <w:rPr>
                <w:rFonts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6</w:t>
            </w:r>
          </w:p>
        </w:tc>
        <w:tc>
          <w:tcPr>
            <w:tcW w:w="942" w:type="dxa"/>
            <w:tcBorders>
              <w:tl2br w:val="nil"/>
              <w:tr2bl w:val="nil"/>
            </w:tcBorders>
            <w:shd w:val="clear" w:color="auto" w:fill="auto"/>
            <w:noWrap/>
            <w:vAlign w:val="center"/>
          </w:tcPr>
          <w:p>
            <w:pPr>
              <w:widowControl/>
              <w:spacing w:line="240" w:lineRule="auto"/>
              <w:ind w:firstLineChars="111"/>
              <w:textAlignment w:val="center"/>
              <w:rPr>
                <w:rFonts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1.54</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1156" w:hRule="atLeast"/>
        </w:trPr>
        <w:tc>
          <w:tcPr>
            <w:tcW w:w="973" w:type="dxa"/>
            <w:tcBorders>
              <w:tl2br w:val="nil"/>
              <w:tr2bl w:val="nil"/>
            </w:tcBorders>
            <w:shd w:val="clear" w:color="auto" w:fill="auto"/>
            <w:noWrap/>
            <w:vAlign w:val="center"/>
          </w:tcPr>
          <w:p>
            <w:pPr>
              <w:widowControl/>
              <w:spacing w:line="240" w:lineRule="auto"/>
              <w:ind w:firstLine="0" w:firstLineChars="0"/>
              <w:textAlignment w:val="center"/>
              <w:rPr>
                <w:rFonts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bidi="ar"/>
              </w:rPr>
              <w:t>质量指标</w:t>
            </w:r>
          </w:p>
        </w:tc>
        <w:tc>
          <w:tcPr>
            <w:tcW w:w="1119" w:type="dxa"/>
            <w:tcBorders>
              <w:tl2br w:val="nil"/>
              <w:tr2bl w:val="nil"/>
            </w:tcBorders>
            <w:shd w:val="clear" w:color="auto" w:fill="auto"/>
            <w:vAlign w:val="center"/>
          </w:tcPr>
          <w:p>
            <w:pPr>
              <w:widowControl/>
              <w:spacing w:line="240" w:lineRule="auto"/>
              <w:ind w:firstLine="0" w:firstLineChars="0"/>
              <w:textAlignment w:val="center"/>
              <w:rPr>
                <w:rFonts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质量达标率</w:t>
            </w:r>
          </w:p>
        </w:tc>
        <w:tc>
          <w:tcPr>
            <w:tcW w:w="4814" w:type="dxa"/>
            <w:tcBorders>
              <w:tl2br w:val="nil"/>
              <w:tr2bl w:val="nil"/>
            </w:tcBorders>
            <w:shd w:val="clear" w:color="auto" w:fill="auto"/>
            <w:vAlign w:val="center"/>
          </w:tcPr>
          <w:p>
            <w:pPr>
              <w:widowControl/>
              <w:spacing w:line="240" w:lineRule="auto"/>
              <w:ind w:firstLine="0" w:firstLineChars="0"/>
              <w:jc w:val="left"/>
              <w:textAlignment w:val="center"/>
              <w:rPr>
                <w:rFonts w:ascii="方正仿宋_GBK" w:hAnsi="方正仿宋_GBK" w:eastAsia="方正仿宋_GBK" w:cs="方正仿宋_GBK"/>
                <w:kern w:val="0"/>
                <w:sz w:val="18"/>
                <w:szCs w:val="18"/>
                <w:lang w:bidi="ar"/>
              </w:rPr>
            </w:pPr>
            <w:r>
              <w:rPr>
                <w:rFonts w:hint="eastAsia" w:ascii="方正仿宋_GBK" w:hAnsi="方正仿宋_GBK" w:eastAsia="方正仿宋_GBK" w:cs="方正仿宋_GBK"/>
                <w:kern w:val="0"/>
                <w:sz w:val="18"/>
                <w:szCs w:val="18"/>
                <w:lang w:bidi="ar"/>
              </w:rPr>
              <w:t>①质量达标率≥100%，得8分；</w:t>
            </w:r>
          </w:p>
          <w:p>
            <w:pPr>
              <w:widowControl/>
              <w:spacing w:line="240" w:lineRule="auto"/>
              <w:ind w:firstLine="0" w:firstLineChars="0"/>
              <w:jc w:val="left"/>
              <w:textAlignment w:val="center"/>
              <w:rPr>
                <w:rFonts w:ascii="方正仿宋_GBK" w:hAnsi="方正仿宋_GBK" w:eastAsia="方正仿宋_GBK" w:cs="方正仿宋_GBK"/>
                <w:kern w:val="0"/>
                <w:sz w:val="18"/>
                <w:szCs w:val="18"/>
                <w:lang w:bidi="ar"/>
              </w:rPr>
            </w:pPr>
            <w:r>
              <w:rPr>
                <w:rFonts w:hint="eastAsia" w:ascii="方正仿宋_GBK" w:hAnsi="方正仿宋_GBK" w:eastAsia="方正仿宋_GBK" w:cs="方正仿宋_GBK"/>
                <w:kern w:val="0"/>
                <w:sz w:val="18"/>
                <w:szCs w:val="18"/>
                <w:lang w:bidi="ar"/>
              </w:rPr>
              <w:t>②质量达标率在95%（含）-100%之间，得7分；</w:t>
            </w:r>
          </w:p>
          <w:p>
            <w:pPr>
              <w:widowControl/>
              <w:spacing w:line="240" w:lineRule="auto"/>
              <w:ind w:firstLine="0" w:firstLineChars="0"/>
              <w:jc w:val="left"/>
              <w:textAlignment w:val="center"/>
              <w:rPr>
                <w:rFonts w:ascii="方正仿宋_GBK" w:hAnsi="方正仿宋_GBK" w:eastAsia="方正仿宋_GBK" w:cs="方正仿宋_GBK"/>
                <w:kern w:val="0"/>
                <w:sz w:val="18"/>
                <w:szCs w:val="18"/>
                <w:lang w:bidi="ar"/>
              </w:rPr>
            </w:pPr>
            <w:r>
              <w:rPr>
                <w:rFonts w:hint="eastAsia" w:ascii="方正仿宋_GBK" w:hAnsi="方正仿宋_GBK" w:eastAsia="方正仿宋_GBK" w:cs="方正仿宋_GBK"/>
                <w:kern w:val="0"/>
                <w:sz w:val="18"/>
                <w:szCs w:val="18"/>
                <w:lang w:bidi="ar"/>
              </w:rPr>
              <w:t>③质量达标率在90%（含）-95%之间，得6分；</w:t>
            </w:r>
          </w:p>
          <w:p>
            <w:pPr>
              <w:widowControl/>
              <w:spacing w:line="240" w:lineRule="auto"/>
              <w:ind w:firstLine="0" w:firstLineChars="0"/>
              <w:jc w:val="left"/>
              <w:textAlignment w:val="center"/>
              <w:rPr>
                <w:rFonts w:ascii="方正仿宋_GBK" w:hAnsi="方正仿宋_GBK" w:eastAsia="方正仿宋_GBK" w:cs="方正仿宋_GBK"/>
                <w:kern w:val="0"/>
                <w:sz w:val="18"/>
                <w:szCs w:val="18"/>
                <w:lang w:bidi="ar"/>
              </w:rPr>
            </w:pPr>
            <w:r>
              <w:rPr>
                <w:rFonts w:hint="eastAsia" w:ascii="方正仿宋_GBK" w:hAnsi="方正仿宋_GBK" w:eastAsia="方正仿宋_GBK" w:cs="方正仿宋_GBK"/>
                <w:kern w:val="0"/>
                <w:sz w:val="18"/>
                <w:szCs w:val="18"/>
                <w:lang w:bidi="ar"/>
              </w:rPr>
              <w:t>④质量达标率在85%（含）-90%之间，得5分；</w:t>
            </w:r>
          </w:p>
          <w:p>
            <w:pPr>
              <w:widowControl/>
              <w:spacing w:line="240" w:lineRule="auto"/>
              <w:ind w:firstLine="0" w:firstLineChars="0"/>
              <w:jc w:val="left"/>
              <w:textAlignment w:val="center"/>
              <w:rPr>
                <w:rFonts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bidi="ar"/>
              </w:rPr>
              <w:t>⑤质量达标率未达85%，不得分。</w:t>
            </w:r>
          </w:p>
        </w:tc>
        <w:tc>
          <w:tcPr>
            <w:tcW w:w="674" w:type="dxa"/>
            <w:tcBorders>
              <w:tl2br w:val="nil"/>
              <w:tr2bl w:val="nil"/>
            </w:tcBorders>
            <w:shd w:val="clear" w:color="auto" w:fill="auto"/>
            <w:noWrap/>
            <w:vAlign w:val="center"/>
          </w:tcPr>
          <w:p>
            <w:pPr>
              <w:widowControl/>
              <w:spacing w:line="240" w:lineRule="auto"/>
              <w:ind w:firstLineChars="111"/>
              <w:textAlignment w:val="center"/>
              <w:rPr>
                <w:rFonts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8</w:t>
            </w:r>
          </w:p>
        </w:tc>
        <w:tc>
          <w:tcPr>
            <w:tcW w:w="942" w:type="dxa"/>
            <w:tcBorders>
              <w:tl2br w:val="nil"/>
              <w:tr2bl w:val="nil"/>
            </w:tcBorders>
            <w:shd w:val="clear" w:color="auto" w:fill="auto"/>
            <w:noWrap/>
            <w:vAlign w:val="center"/>
          </w:tcPr>
          <w:p>
            <w:pPr>
              <w:widowControl/>
              <w:spacing w:line="240" w:lineRule="auto"/>
              <w:ind w:firstLineChars="111"/>
              <w:textAlignment w:val="center"/>
              <w:rPr>
                <w:rFonts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7.74</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594" w:hRule="atLeast"/>
        </w:trPr>
        <w:tc>
          <w:tcPr>
            <w:tcW w:w="973" w:type="dxa"/>
            <w:tcBorders>
              <w:tl2br w:val="nil"/>
              <w:tr2bl w:val="nil"/>
            </w:tcBorders>
            <w:shd w:val="clear" w:color="auto" w:fill="auto"/>
            <w:noWrap/>
            <w:vAlign w:val="center"/>
          </w:tcPr>
          <w:p>
            <w:pPr>
              <w:widowControl/>
              <w:spacing w:line="240" w:lineRule="auto"/>
              <w:ind w:firstLine="0" w:firstLineChars="0"/>
              <w:textAlignment w:val="center"/>
              <w:rPr>
                <w:rFonts w:ascii="方正仿宋_GBK" w:hAnsi="方正仿宋_GBK" w:eastAsia="方正仿宋_GBK" w:cs="方正仿宋_GBK"/>
                <w:kern w:val="0"/>
                <w:sz w:val="18"/>
                <w:szCs w:val="18"/>
                <w:lang w:bidi="ar"/>
              </w:rPr>
            </w:pPr>
            <w:r>
              <w:rPr>
                <w:rFonts w:hint="eastAsia" w:ascii="方正仿宋_GBK" w:hAnsi="方正仿宋_GBK" w:eastAsia="方正仿宋_GBK" w:cs="方正仿宋_GBK"/>
                <w:kern w:val="0"/>
                <w:sz w:val="18"/>
                <w:szCs w:val="18"/>
                <w:lang w:bidi="ar"/>
              </w:rPr>
              <w:t>成本指标</w:t>
            </w:r>
          </w:p>
        </w:tc>
        <w:tc>
          <w:tcPr>
            <w:tcW w:w="1119" w:type="dxa"/>
            <w:tcBorders>
              <w:tl2br w:val="nil"/>
              <w:tr2bl w:val="nil"/>
            </w:tcBorders>
            <w:shd w:val="clear" w:color="auto" w:fill="auto"/>
            <w:vAlign w:val="center"/>
          </w:tcPr>
          <w:p>
            <w:pPr>
              <w:widowControl/>
              <w:spacing w:line="240" w:lineRule="auto"/>
              <w:ind w:firstLine="0" w:firstLineChars="0"/>
              <w:textAlignment w:val="center"/>
              <w:rPr>
                <w:rFonts w:ascii="方正仿宋_GBK" w:hAnsi="方正仿宋_GBK" w:eastAsia="方正仿宋_GBK" w:cs="方正仿宋_GBK"/>
                <w:kern w:val="0"/>
                <w:sz w:val="18"/>
                <w:szCs w:val="18"/>
                <w:lang w:bidi="ar"/>
              </w:rPr>
            </w:pPr>
            <w:r>
              <w:rPr>
                <w:rFonts w:hint="eastAsia" w:ascii="方正仿宋_GBK" w:hAnsi="方正仿宋_GBK" w:eastAsia="方正仿宋_GBK" w:cs="方正仿宋_GBK"/>
                <w:kern w:val="0"/>
                <w:sz w:val="18"/>
                <w:szCs w:val="18"/>
                <w:lang w:bidi="ar"/>
              </w:rPr>
              <w:t>成本节约率</w:t>
            </w:r>
          </w:p>
        </w:tc>
        <w:tc>
          <w:tcPr>
            <w:tcW w:w="4814" w:type="dxa"/>
            <w:tcBorders>
              <w:tl2br w:val="nil"/>
              <w:tr2bl w:val="nil"/>
            </w:tcBorders>
            <w:shd w:val="clear" w:color="auto" w:fill="auto"/>
            <w:vAlign w:val="center"/>
          </w:tcPr>
          <w:p>
            <w:pPr>
              <w:widowControl/>
              <w:spacing w:line="240" w:lineRule="auto"/>
              <w:ind w:firstLine="0" w:firstLineChars="0"/>
              <w:jc w:val="left"/>
              <w:textAlignment w:val="center"/>
              <w:rPr>
                <w:rFonts w:ascii="方正仿宋_GBK" w:hAnsi="方正仿宋_GBK" w:eastAsia="方正仿宋_GBK" w:cs="方正仿宋_GBK"/>
                <w:kern w:val="0"/>
                <w:sz w:val="18"/>
                <w:szCs w:val="18"/>
                <w:lang w:bidi="ar"/>
              </w:rPr>
            </w:pPr>
            <w:r>
              <w:rPr>
                <w:rFonts w:hint="eastAsia" w:ascii="方正仿宋_GBK" w:hAnsi="方正仿宋_GBK" w:eastAsia="方正仿宋_GBK" w:cs="方正仿宋_GBK"/>
                <w:kern w:val="0"/>
                <w:sz w:val="18"/>
                <w:szCs w:val="18"/>
                <w:lang w:bidi="ar"/>
              </w:rPr>
              <w:t>实际成本≤计划成本得6分。否则不得分。</w:t>
            </w:r>
          </w:p>
        </w:tc>
        <w:tc>
          <w:tcPr>
            <w:tcW w:w="674" w:type="dxa"/>
            <w:tcBorders>
              <w:tl2br w:val="nil"/>
              <w:tr2bl w:val="nil"/>
            </w:tcBorders>
            <w:shd w:val="clear" w:color="auto" w:fill="auto"/>
            <w:noWrap/>
            <w:vAlign w:val="center"/>
          </w:tcPr>
          <w:p>
            <w:pPr>
              <w:widowControl/>
              <w:spacing w:line="240" w:lineRule="auto"/>
              <w:ind w:firstLineChars="111"/>
              <w:textAlignment w:val="center"/>
              <w:rPr>
                <w:rFonts w:ascii="方正仿宋_GBK" w:hAnsi="方正仿宋_GBK" w:eastAsia="方正仿宋_GBK" w:cs="方正仿宋_GBK"/>
                <w:kern w:val="0"/>
                <w:sz w:val="18"/>
                <w:szCs w:val="18"/>
                <w:lang w:bidi="ar"/>
              </w:rPr>
            </w:pPr>
            <w:r>
              <w:rPr>
                <w:rFonts w:hint="eastAsia" w:ascii="方正仿宋_GBK" w:hAnsi="方正仿宋_GBK" w:eastAsia="方正仿宋_GBK" w:cs="方正仿宋_GBK"/>
                <w:kern w:val="0"/>
                <w:sz w:val="18"/>
                <w:szCs w:val="18"/>
                <w:lang w:bidi="ar"/>
              </w:rPr>
              <w:t>6</w:t>
            </w:r>
          </w:p>
        </w:tc>
        <w:tc>
          <w:tcPr>
            <w:tcW w:w="942" w:type="dxa"/>
            <w:tcBorders>
              <w:tl2br w:val="nil"/>
              <w:tr2bl w:val="nil"/>
            </w:tcBorders>
            <w:shd w:val="clear" w:color="auto" w:fill="auto"/>
            <w:noWrap/>
            <w:vAlign w:val="center"/>
          </w:tcPr>
          <w:p>
            <w:pPr>
              <w:widowControl/>
              <w:spacing w:line="240" w:lineRule="auto"/>
              <w:ind w:firstLineChars="111"/>
              <w:textAlignment w:val="center"/>
              <w:rPr>
                <w:rFonts w:ascii="方正仿宋_GBK" w:hAnsi="方正仿宋_GBK" w:eastAsia="方正仿宋_GBK" w:cs="方正仿宋_GBK"/>
                <w:kern w:val="0"/>
                <w:sz w:val="18"/>
                <w:szCs w:val="18"/>
                <w:lang w:bidi="ar"/>
              </w:rPr>
            </w:pPr>
            <w:r>
              <w:rPr>
                <w:rFonts w:hint="eastAsia" w:ascii="方正仿宋_GBK" w:hAnsi="方正仿宋_GBK" w:eastAsia="方正仿宋_GBK" w:cs="方正仿宋_GBK"/>
                <w:kern w:val="0"/>
                <w:sz w:val="18"/>
                <w:szCs w:val="18"/>
                <w:lang w:bidi="ar"/>
              </w:rPr>
              <w:t>5.88</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276" w:hRule="atLeast"/>
        </w:trPr>
        <w:tc>
          <w:tcPr>
            <w:tcW w:w="973" w:type="dxa"/>
            <w:tcBorders>
              <w:tl2br w:val="nil"/>
              <w:tr2bl w:val="nil"/>
            </w:tcBorders>
            <w:shd w:val="clear" w:color="auto" w:fill="auto"/>
            <w:noWrap/>
            <w:vAlign w:val="center"/>
          </w:tcPr>
          <w:p>
            <w:pPr>
              <w:widowControl/>
              <w:spacing w:line="240" w:lineRule="auto"/>
              <w:ind w:firstLineChars="111"/>
              <w:rPr>
                <w:rFonts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小计</w:t>
            </w:r>
          </w:p>
        </w:tc>
        <w:tc>
          <w:tcPr>
            <w:tcW w:w="1119" w:type="dxa"/>
            <w:tcBorders>
              <w:tl2br w:val="nil"/>
              <w:tr2bl w:val="nil"/>
            </w:tcBorders>
            <w:shd w:val="clear" w:color="auto" w:fill="auto"/>
            <w:vAlign w:val="center"/>
          </w:tcPr>
          <w:p>
            <w:pPr>
              <w:widowControl/>
              <w:spacing w:line="240" w:lineRule="auto"/>
              <w:ind w:firstLine="360"/>
              <w:jc w:val="center"/>
              <w:rPr>
                <w:rFonts w:ascii="方正仿宋_GBK" w:hAnsi="方正仿宋_GBK" w:eastAsia="方正仿宋_GBK" w:cs="方正仿宋_GBK"/>
                <w:sz w:val="18"/>
                <w:szCs w:val="18"/>
              </w:rPr>
            </w:pPr>
          </w:p>
        </w:tc>
        <w:tc>
          <w:tcPr>
            <w:tcW w:w="4814" w:type="dxa"/>
            <w:tcBorders>
              <w:tl2br w:val="nil"/>
              <w:tr2bl w:val="nil"/>
            </w:tcBorders>
            <w:shd w:val="clear" w:color="auto" w:fill="auto"/>
            <w:noWrap/>
            <w:vAlign w:val="center"/>
          </w:tcPr>
          <w:p>
            <w:pPr>
              <w:widowControl/>
              <w:spacing w:line="240" w:lineRule="auto"/>
              <w:ind w:firstLine="360"/>
              <w:jc w:val="center"/>
              <w:rPr>
                <w:rFonts w:ascii="方正仿宋_GBK" w:hAnsi="方正仿宋_GBK" w:eastAsia="方正仿宋_GBK" w:cs="方正仿宋_GBK"/>
                <w:sz w:val="18"/>
                <w:szCs w:val="18"/>
              </w:rPr>
            </w:pPr>
          </w:p>
        </w:tc>
        <w:tc>
          <w:tcPr>
            <w:tcW w:w="674" w:type="dxa"/>
            <w:tcBorders>
              <w:tl2br w:val="nil"/>
              <w:tr2bl w:val="nil"/>
            </w:tcBorders>
            <w:shd w:val="clear" w:color="auto" w:fill="auto"/>
            <w:noWrap/>
            <w:vAlign w:val="center"/>
          </w:tcPr>
          <w:p>
            <w:pPr>
              <w:widowControl/>
              <w:spacing w:line="240" w:lineRule="auto"/>
              <w:ind w:firstLine="180" w:firstLineChars="100"/>
              <w:textAlignment w:val="center"/>
              <w:rPr>
                <w:rFonts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30</w:t>
            </w:r>
          </w:p>
        </w:tc>
        <w:tc>
          <w:tcPr>
            <w:tcW w:w="942" w:type="dxa"/>
            <w:tcBorders>
              <w:tl2br w:val="nil"/>
              <w:tr2bl w:val="nil"/>
            </w:tcBorders>
            <w:shd w:val="clear" w:color="auto" w:fill="auto"/>
            <w:noWrap/>
            <w:vAlign w:val="center"/>
          </w:tcPr>
          <w:p>
            <w:pPr>
              <w:widowControl/>
              <w:spacing w:line="240" w:lineRule="auto"/>
              <w:ind w:firstLineChars="111"/>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24.25</w:t>
            </w:r>
          </w:p>
        </w:tc>
      </w:tr>
    </w:tbl>
    <w:p>
      <w:pPr>
        <w:snapToGrid w:val="0"/>
        <w:spacing w:line="560" w:lineRule="atLeast"/>
        <w:ind w:firstLine="560"/>
        <w:rPr>
          <w:rFonts w:ascii="宋体" w:hAnsi="宋体"/>
          <w:szCs w:val="28"/>
        </w:rPr>
      </w:pPr>
      <w:r>
        <w:rPr>
          <w:rFonts w:hint="eastAsia" w:ascii="宋体" w:hAnsi="宋体"/>
          <w:szCs w:val="28"/>
        </w:rPr>
        <w:t>1.实际完成率标准分值为10分，本次绩效评价得分9.0</w:t>
      </w:r>
      <w:r>
        <w:rPr>
          <w:rFonts w:hint="eastAsia" w:ascii="宋体" w:hAnsi="宋体"/>
          <w:szCs w:val="28"/>
          <w:lang w:val="en-US" w:eastAsia="zh-CN"/>
        </w:rPr>
        <w:t>9</w:t>
      </w:r>
      <w:r>
        <w:rPr>
          <w:rFonts w:hint="eastAsia" w:ascii="宋体" w:hAnsi="宋体"/>
          <w:szCs w:val="28"/>
        </w:rPr>
        <w:t>分。经检查，实施的119个场镇建设项目中完工并通过竣工验收的项目94个，完工待验收的项目22个，</w:t>
      </w:r>
      <w:bookmarkStart w:id="11" w:name="_Hlk170983313"/>
      <w:r>
        <w:rPr>
          <w:rFonts w:hint="eastAsia" w:ascii="宋体" w:hAnsi="宋体"/>
          <w:szCs w:val="28"/>
        </w:rPr>
        <w:t>正在建设中的项目</w:t>
      </w:r>
      <w:bookmarkEnd w:id="11"/>
      <w:r>
        <w:rPr>
          <w:rFonts w:hint="eastAsia" w:ascii="宋体" w:hAnsi="宋体"/>
          <w:szCs w:val="28"/>
        </w:rPr>
        <w:t>3个。其中正在建设中的项目包括少云镇新正街、海棠路道路综合改造项目、华兴镇生态停车场建设项目、白羊镇停车场综合体建设项目。本指标扣0.9</w:t>
      </w:r>
      <w:r>
        <w:rPr>
          <w:rFonts w:hint="eastAsia" w:ascii="宋体" w:hAnsi="宋体"/>
          <w:szCs w:val="28"/>
          <w:lang w:val="en-US" w:eastAsia="zh-CN"/>
        </w:rPr>
        <w:t>1</w:t>
      </w:r>
      <w:bookmarkStart w:id="12" w:name="_GoBack"/>
      <w:bookmarkEnd w:id="12"/>
      <w:r>
        <w:rPr>
          <w:rFonts w:hint="eastAsia" w:ascii="宋体" w:hAnsi="宋体"/>
          <w:szCs w:val="28"/>
        </w:rPr>
        <w:t>分。</w:t>
      </w:r>
    </w:p>
    <w:p>
      <w:pPr>
        <w:snapToGrid w:val="0"/>
        <w:spacing w:line="560" w:lineRule="atLeast"/>
        <w:ind w:firstLine="560"/>
        <w:rPr>
          <w:rFonts w:ascii="宋体" w:hAnsi="宋体"/>
          <w:szCs w:val="28"/>
        </w:rPr>
      </w:pPr>
      <w:r>
        <w:rPr>
          <w:rFonts w:ascii="宋体" w:hAnsi="宋体"/>
          <w:szCs w:val="28"/>
        </w:rPr>
        <w:t>2.</w:t>
      </w:r>
      <w:r>
        <w:rPr>
          <w:rFonts w:hint="eastAsia" w:ascii="宋体" w:hAnsi="宋体"/>
          <w:szCs w:val="28"/>
        </w:rPr>
        <w:t>完成及时率标准分值为6分，本次绩效评价得分1.54分。经检查，实施的119个项目中仅35个项目按照立项批复的计划建设时间完成，其余项目竣工时间均有不同程度上的延迟。该项目扣4.46分。</w:t>
      </w:r>
    </w:p>
    <w:p>
      <w:pPr>
        <w:snapToGrid w:val="0"/>
        <w:spacing w:line="560" w:lineRule="atLeast"/>
        <w:ind w:firstLine="560"/>
        <w:rPr>
          <w:rFonts w:ascii="宋体" w:hAnsi="宋体"/>
          <w:szCs w:val="28"/>
        </w:rPr>
      </w:pPr>
      <w:r>
        <w:rPr>
          <w:rFonts w:hint="eastAsia" w:ascii="宋体" w:hAnsi="宋体"/>
          <w:szCs w:val="28"/>
        </w:rPr>
        <w:t>3</w:t>
      </w:r>
      <w:r>
        <w:rPr>
          <w:rFonts w:ascii="宋体" w:hAnsi="宋体"/>
          <w:szCs w:val="28"/>
        </w:rPr>
        <w:t>.</w:t>
      </w:r>
      <w:r>
        <w:rPr>
          <w:rFonts w:hint="eastAsia" w:ascii="宋体" w:hAnsi="宋体"/>
          <w:szCs w:val="28"/>
        </w:rPr>
        <w:t>质量达标率标准分值为8分，本次绩效评价得分7.74分。经检查，多数项目工程设备、施工材料等取得产品合格证书，质量抽检结果合格。经现场查看，未发现明显质量问题。但仍存在以下情况，本指标扣0.26分：</w:t>
      </w:r>
    </w:p>
    <w:p>
      <w:pPr>
        <w:snapToGrid w:val="0"/>
        <w:spacing w:line="560" w:lineRule="atLeast"/>
        <w:ind w:firstLine="560"/>
        <w:rPr>
          <w:rFonts w:ascii="宋体" w:hAnsi="宋体"/>
          <w:szCs w:val="28"/>
        </w:rPr>
      </w:pPr>
      <w:r>
        <w:rPr>
          <w:rFonts w:hint="eastAsia" w:ascii="宋体" w:hAnsi="宋体"/>
          <w:szCs w:val="28"/>
        </w:rPr>
        <w:t>（1）白羊镇停车场综合体建设项目由于正在办理用地手续，暂停施工，项目产出较少。</w:t>
      </w:r>
    </w:p>
    <w:p>
      <w:pPr>
        <w:snapToGrid w:val="0"/>
        <w:spacing w:line="560" w:lineRule="atLeast"/>
        <w:ind w:firstLine="560"/>
        <w:rPr>
          <w:rFonts w:ascii="宋体" w:hAnsi="宋体"/>
          <w:szCs w:val="28"/>
        </w:rPr>
      </w:pPr>
      <w:r>
        <w:rPr>
          <w:rFonts w:hint="eastAsia" w:ascii="宋体" w:hAnsi="宋体"/>
          <w:szCs w:val="28"/>
        </w:rPr>
        <w:t>（2）土桥镇旧市坝场镇新建农产品集中交易点项目、二坪镇场镇人居环境整治项目（弱电下地线路驳接部分）、白羊镇场镇环境综合整治项目、少云镇海棠路人居环境综合整治项目完工但因质量问题正在整改。</w:t>
      </w:r>
    </w:p>
    <w:p>
      <w:pPr>
        <w:snapToGrid w:val="0"/>
        <w:spacing w:line="560" w:lineRule="atLeast"/>
        <w:ind w:firstLine="560"/>
        <w:rPr>
          <w:rFonts w:ascii="宋体" w:hAnsi="宋体"/>
          <w:szCs w:val="28"/>
        </w:rPr>
      </w:pPr>
      <w:r>
        <w:rPr>
          <w:rFonts w:hint="eastAsia" w:ascii="宋体" w:hAnsi="宋体"/>
          <w:szCs w:val="28"/>
        </w:rPr>
        <w:t>4.成本节约率标准分值为6分，本次绩效评价得分5.88分。多数项目成本控制较好，工程结算金额或施工合同金额未超预算。经检查，以下项目实际成本超过计划，本指标扣0.12分：</w:t>
      </w:r>
    </w:p>
    <w:p>
      <w:pPr>
        <w:snapToGrid w:val="0"/>
        <w:spacing w:line="560" w:lineRule="atLeast"/>
        <w:ind w:firstLine="560"/>
        <w:rPr>
          <w:rFonts w:ascii="宋体" w:hAnsi="宋体"/>
          <w:szCs w:val="28"/>
        </w:rPr>
      </w:pPr>
      <w:r>
        <w:rPr>
          <w:rFonts w:hint="eastAsia" w:ascii="宋体" w:hAnsi="宋体"/>
          <w:szCs w:val="28"/>
        </w:rPr>
        <w:t>（1）福果镇菜市场建设项目由于预算编制时出现漏项导致工程结算金额超出预算金额39.15742万元。</w:t>
      </w:r>
    </w:p>
    <w:p>
      <w:pPr>
        <w:snapToGrid w:val="0"/>
        <w:spacing w:line="560" w:lineRule="atLeast"/>
        <w:ind w:firstLine="560"/>
        <w:rPr>
          <w:rFonts w:ascii="宋体" w:hAnsi="宋体"/>
          <w:szCs w:val="28"/>
        </w:rPr>
      </w:pPr>
      <w:r>
        <w:rPr>
          <w:rFonts w:hint="eastAsia" w:ascii="宋体" w:hAnsi="宋体"/>
          <w:szCs w:val="28"/>
        </w:rPr>
        <w:t>（2）少云镇原派出所旁停车场改造项目预算金额28.457932万元，工程结算金额28.637235万元，超过预算金额0.179303万元。</w:t>
      </w:r>
    </w:p>
    <w:p>
      <w:pPr>
        <w:snapToGrid w:val="0"/>
        <w:spacing w:line="560" w:lineRule="atLeast"/>
        <w:ind w:firstLine="560"/>
        <w:rPr>
          <w:rFonts w:ascii="宋体" w:hAnsi="宋体"/>
          <w:szCs w:val="28"/>
        </w:rPr>
      </w:pPr>
      <w:r>
        <w:rPr>
          <w:rFonts w:hint="eastAsia" w:ascii="宋体" w:hAnsi="宋体"/>
          <w:szCs w:val="28"/>
        </w:rPr>
        <w:t>（3）西河镇撤并场人行道整治项目预算金额65.811735万元，工程结算金额66.555227万元，超过预算金额</w:t>
      </w:r>
      <w:r>
        <w:rPr>
          <w:rFonts w:ascii="宋体" w:hAnsi="宋体"/>
          <w:szCs w:val="28"/>
        </w:rPr>
        <w:t>0.743492</w:t>
      </w:r>
      <w:r>
        <w:rPr>
          <w:rFonts w:hint="eastAsia" w:ascii="宋体" w:hAnsi="宋体"/>
          <w:szCs w:val="28"/>
        </w:rPr>
        <w:t>万元。此外，西河镇人居环境整治（弱电下地土建部分)项目、西河镇人居环境整治(弱电下地线路驳接部分）项目无财政预算审核报告，不利于项目成本控制。</w:t>
      </w:r>
    </w:p>
    <w:p>
      <w:pPr>
        <w:snapToGrid w:val="0"/>
        <w:spacing w:line="560" w:lineRule="atLeast"/>
        <w:ind w:firstLine="560"/>
        <w:rPr>
          <w:rFonts w:ascii="宋体" w:hAnsi="宋体"/>
          <w:szCs w:val="28"/>
        </w:rPr>
      </w:pPr>
      <w:r>
        <w:rPr>
          <w:rFonts w:hint="eastAsia" w:ascii="宋体" w:hAnsi="宋体"/>
          <w:szCs w:val="28"/>
        </w:rPr>
        <w:t>（4）维新镇集贸市场提质改造项目预算金额73.986199万元，工程结算金额76.29992万元，超过预算金额2.313721万元。</w:t>
      </w:r>
    </w:p>
    <w:p>
      <w:pPr>
        <w:snapToGrid w:val="0"/>
        <w:spacing w:line="560" w:lineRule="atLeast"/>
        <w:ind w:firstLine="560"/>
        <w:rPr>
          <w:rFonts w:ascii="宋体" w:hAnsi="宋体"/>
          <w:szCs w:val="28"/>
        </w:rPr>
      </w:pPr>
      <w:r>
        <w:rPr>
          <w:rFonts w:hint="eastAsia" w:ascii="宋体" w:hAnsi="宋体"/>
          <w:szCs w:val="28"/>
        </w:rPr>
        <w:t>（5）高楼镇公共停车场建设项目预算金额49.149228万元，工程结算金额50.881398万元，超过预算金额1.73217万元；高楼镇场镇补短板龙源社区人居环境整治项目预算金额48.905086万元，工程结算金额49.596436元，超过预算金额0.69135万元。</w:t>
      </w:r>
    </w:p>
    <w:p>
      <w:pPr>
        <w:snapToGrid w:val="0"/>
        <w:spacing w:line="560" w:lineRule="atLeast"/>
        <w:ind w:firstLine="560"/>
        <w:rPr>
          <w:rFonts w:ascii="宋体" w:hAnsi="宋体"/>
          <w:szCs w:val="28"/>
        </w:rPr>
      </w:pPr>
      <w:r>
        <w:rPr>
          <w:rFonts w:hint="eastAsia" w:ascii="宋体" w:hAnsi="宋体"/>
          <w:szCs w:val="28"/>
        </w:rPr>
        <w:t>（6）华兴镇场镇人居环境综合整治项目预算金额19.249611万元，工程结算金额19.300311万元，超过预算金额0.0507万元。</w:t>
      </w:r>
    </w:p>
    <w:p>
      <w:pPr>
        <w:snapToGrid w:val="0"/>
        <w:spacing w:line="560" w:lineRule="atLeast"/>
        <w:ind w:firstLine="562"/>
        <w:rPr>
          <w:rFonts w:ascii="宋体" w:hAnsi="宋体"/>
          <w:b/>
          <w:szCs w:val="28"/>
        </w:rPr>
      </w:pPr>
      <w:r>
        <w:rPr>
          <w:rFonts w:hint="eastAsia" w:ascii="宋体" w:hAnsi="宋体"/>
          <w:b/>
          <w:szCs w:val="28"/>
        </w:rPr>
        <w:t>（四）效益类指标</w:t>
      </w:r>
    </w:p>
    <w:p>
      <w:pPr>
        <w:snapToGrid w:val="0"/>
        <w:spacing w:line="560" w:lineRule="atLeast"/>
        <w:ind w:firstLine="560"/>
        <w:rPr>
          <w:rFonts w:ascii="宋体" w:hAnsi="宋体"/>
          <w:szCs w:val="28"/>
        </w:rPr>
      </w:pPr>
      <w:r>
        <w:rPr>
          <w:rFonts w:hint="eastAsia" w:ascii="宋体" w:hAnsi="宋体"/>
          <w:szCs w:val="28"/>
        </w:rPr>
        <w:t>涉及效益的二级指标为：社会效益、生态效益、可持续影响及满意度。各二级指标下设三级指标。</w:t>
      </w:r>
    </w:p>
    <w:p>
      <w:pPr>
        <w:snapToGrid w:val="0"/>
        <w:spacing w:line="560" w:lineRule="atLeast"/>
        <w:ind w:firstLine="560"/>
        <w:rPr>
          <w:rFonts w:ascii="宋体" w:hAnsi="宋体"/>
          <w:szCs w:val="28"/>
        </w:rPr>
      </w:pPr>
      <w:r>
        <w:rPr>
          <w:rFonts w:hint="eastAsia" w:ascii="宋体" w:hAnsi="宋体"/>
          <w:szCs w:val="28"/>
        </w:rPr>
        <w:t>该项总30分，实际得分29.77分，扣分0.23分，具体情况如下：</w:t>
      </w:r>
    </w:p>
    <w:tbl>
      <w:tblPr>
        <w:tblStyle w:val="18"/>
        <w:tblW w:w="8376" w:type="dxa"/>
        <w:tblInd w:w="96" w:type="dxa"/>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1363"/>
        <w:gridCol w:w="1320"/>
        <w:gridCol w:w="4176"/>
        <w:gridCol w:w="756"/>
        <w:gridCol w:w="761"/>
      </w:tblGrid>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276" w:hRule="atLeast"/>
          <w:tblHeader/>
        </w:trPr>
        <w:tc>
          <w:tcPr>
            <w:tcW w:w="1363" w:type="dxa"/>
            <w:tcBorders>
              <w:tl2br w:val="nil"/>
              <w:tr2bl w:val="nil"/>
            </w:tcBorders>
            <w:shd w:val="clear" w:color="auto" w:fill="auto"/>
            <w:vAlign w:val="center"/>
          </w:tcPr>
          <w:p>
            <w:pPr>
              <w:widowControl/>
              <w:spacing w:line="240" w:lineRule="auto"/>
              <w:ind w:firstLineChars="111"/>
              <w:textAlignment w:val="center"/>
              <w:rPr>
                <w:rFonts w:ascii="方正仿宋_GBK" w:hAnsi="方正仿宋_GBK" w:eastAsia="方正仿宋_GBK" w:cs="方正仿宋_GBK"/>
                <w:b/>
                <w:bCs/>
                <w:color w:val="000000"/>
                <w:sz w:val="18"/>
                <w:szCs w:val="18"/>
              </w:rPr>
            </w:pPr>
            <w:r>
              <w:rPr>
                <w:rFonts w:ascii="方正仿宋_GBK" w:hAnsi="方正仿宋_GBK" w:eastAsia="方正仿宋_GBK" w:cs="方正仿宋_GBK"/>
                <w:b/>
                <w:bCs/>
                <w:color w:val="000000"/>
                <w:kern w:val="0"/>
                <w:sz w:val="18"/>
                <w:szCs w:val="18"/>
                <w:lang w:bidi="ar"/>
              </w:rPr>
              <w:t>二级指标</w:t>
            </w:r>
          </w:p>
        </w:tc>
        <w:tc>
          <w:tcPr>
            <w:tcW w:w="1320" w:type="dxa"/>
            <w:tcBorders>
              <w:tl2br w:val="nil"/>
              <w:tr2bl w:val="nil"/>
            </w:tcBorders>
            <w:shd w:val="clear" w:color="auto" w:fill="auto"/>
            <w:vAlign w:val="center"/>
          </w:tcPr>
          <w:p>
            <w:pPr>
              <w:widowControl/>
              <w:spacing w:line="240" w:lineRule="auto"/>
              <w:ind w:firstLine="0" w:firstLineChars="0"/>
              <w:jc w:val="center"/>
              <w:textAlignment w:val="center"/>
              <w:rPr>
                <w:rFonts w:ascii="方正仿宋_GBK" w:hAnsi="方正仿宋_GBK" w:eastAsia="方正仿宋_GBK" w:cs="方正仿宋_GBK"/>
                <w:b/>
                <w:bCs/>
                <w:color w:val="000000"/>
                <w:sz w:val="18"/>
                <w:szCs w:val="18"/>
              </w:rPr>
            </w:pPr>
            <w:r>
              <w:rPr>
                <w:rFonts w:ascii="方正仿宋_GBK" w:hAnsi="方正仿宋_GBK" w:eastAsia="方正仿宋_GBK" w:cs="方正仿宋_GBK"/>
                <w:b/>
                <w:bCs/>
                <w:color w:val="000000"/>
                <w:kern w:val="0"/>
                <w:sz w:val="18"/>
                <w:szCs w:val="18"/>
                <w:lang w:bidi="ar"/>
              </w:rPr>
              <w:t>三级指标</w:t>
            </w:r>
          </w:p>
        </w:tc>
        <w:tc>
          <w:tcPr>
            <w:tcW w:w="4176" w:type="dxa"/>
            <w:tcBorders>
              <w:tl2br w:val="nil"/>
              <w:tr2bl w:val="nil"/>
            </w:tcBorders>
            <w:shd w:val="clear" w:color="auto" w:fill="auto"/>
            <w:vAlign w:val="center"/>
          </w:tcPr>
          <w:p>
            <w:pPr>
              <w:widowControl/>
              <w:spacing w:line="240" w:lineRule="auto"/>
              <w:ind w:firstLine="360"/>
              <w:jc w:val="center"/>
              <w:textAlignment w:val="center"/>
              <w:rPr>
                <w:rFonts w:ascii="方正仿宋_GBK" w:hAnsi="方正仿宋_GBK" w:eastAsia="方正仿宋_GBK" w:cs="方正仿宋_GBK"/>
                <w:b/>
                <w:bCs/>
                <w:color w:val="000000"/>
                <w:sz w:val="18"/>
                <w:szCs w:val="18"/>
              </w:rPr>
            </w:pPr>
            <w:r>
              <w:rPr>
                <w:rFonts w:ascii="方正仿宋_GBK" w:hAnsi="方正仿宋_GBK" w:eastAsia="方正仿宋_GBK" w:cs="方正仿宋_GBK"/>
                <w:b/>
                <w:bCs/>
                <w:color w:val="000000"/>
                <w:kern w:val="0"/>
                <w:sz w:val="18"/>
                <w:szCs w:val="18"/>
                <w:lang w:bidi="ar"/>
              </w:rPr>
              <w:t>评分标准</w:t>
            </w:r>
          </w:p>
        </w:tc>
        <w:tc>
          <w:tcPr>
            <w:tcW w:w="756" w:type="dxa"/>
            <w:tcBorders>
              <w:tl2br w:val="nil"/>
              <w:tr2bl w:val="nil"/>
            </w:tcBorders>
            <w:shd w:val="clear" w:color="auto" w:fill="auto"/>
            <w:noWrap/>
            <w:vAlign w:val="center"/>
          </w:tcPr>
          <w:p>
            <w:pPr>
              <w:widowControl/>
              <w:spacing w:line="240" w:lineRule="auto"/>
              <w:ind w:firstLine="0" w:firstLineChars="0"/>
              <w:jc w:val="center"/>
              <w:textAlignment w:val="center"/>
              <w:rPr>
                <w:rFonts w:ascii="方正仿宋_GBK" w:hAnsi="方正仿宋_GBK" w:eastAsia="方正仿宋_GBK" w:cs="方正仿宋_GBK"/>
                <w:b/>
                <w:bCs/>
                <w:color w:val="000000"/>
                <w:sz w:val="18"/>
                <w:szCs w:val="18"/>
              </w:rPr>
            </w:pPr>
            <w:r>
              <w:rPr>
                <w:rFonts w:ascii="方正仿宋_GBK" w:hAnsi="方正仿宋_GBK" w:eastAsia="方正仿宋_GBK" w:cs="方正仿宋_GBK"/>
                <w:b/>
                <w:bCs/>
                <w:color w:val="000000"/>
                <w:kern w:val="0"/>
                <w:sz w:val="18"/>
                <w:szCs w:val="18"/>
                <w:lang w:bidi="ar"/>
              </w:rPr>
              <w:t>分值</w:t>
            </w:r>
          </w:p>
        </w:tc>
        <w:tc>
          <w:tcPr>
            <w:tcW w:w="761" w:type="dxa"/>
            <w:tcBorders>
              <w:tl2br w:val="nil"/>
              <w:tr2bl w:val="nil"/>
            </w:tcBorders>
            <w:shd w:val="clear" w:color="auto" w:fill="auto"/>
            <w:noWrap/>
            <w:vAlign w:val="center"/>
          </w:tcPr>
          <w:p>
            <w:pPr>
              <w:widowControl/>
              <w:spacing w:line="240" w:lineRule="auto"/>
              <w:ind w:firstLine="0" w:firstLineChars="0"/>
              <w:jc w:val="center"/>
              <w:textAlignment w:val="center"/>
              <w:rPr>
                <w:rFonts w:ascii="方正仿宋_GBK" w:hAnsi="方正仿宋_GBK" w:eastAsia="方正仿宋_GBK" w:cs="方正仿宋_GBK"/>
                <w:b/>
                <w:bCs/>
                <w:color w:val="000000"/>
                <w:sz w:val="18"/>
                <w:szCs w:val="18"/>
              </w:rPr>
            </w:pPr>
            <w:r>
              <w:rPr>
                <w:rFonts w:ascii="方正仿宋_GBK" w:hAnsi="方正仿宋_GBK" w:eastAsia="方正仿宋_GBK" w:cs="方正仿宋_GBK"/>
                <w:b/>
                <w:bCs/>
                <w:color w:val="000000"/>
                <w:kern w:val="0"/>
                <w:sz w:val="18"/>
                <w:szCs w:val="18"/>
                <w:lang w:bidi="ar"/>
              </w:rPr>
              <w:t>得分</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554" w:hRule="atLeast"/>
        </w:trPr>
        <w:tc>
          <w:tcPr>
            <w:tcW w:w="1363" w:type="dxa"/>
            <w:tcBorders>
              <w:tl2br w:val="nil"/>
              <w:tr2bl w:val="nil"/>
            </w:tcBorders>
            <w:shd w:val="clear" w:color="auto" w:fill="auto"/>
            <w:noWrap/>
            <w:vAlign w:val="center"/>
          </w:tcPr>
          <w:p>
            <w:pPr>
              <w:widowControl/>
              <w:spacing w:line="240" w:lineRule="auto"/>
              <w:ind w:firstLineChars="111"/>
              <w:textAlignment w:val="center"/>
              <w:rPr>
                <w:rFonts w:ascii="方正仿宋_GBK" w:hAnsi="方正仿宋_GBK" w:eastAsia="方正仿宋_GBK" w:cs="方正仿宋_GBK"/>
                <w:color w:val="000000"/>
                <w:kern w:val="0"/>
                <w:sz w:val="18"/>
                <w:szCs w:val="18"/>
                <w:lang w:bidi="ar"/>
              </w:rPr>
            </w:pPr>
            <w:r>
              <w:rPr>
                <w:rFonts w:hint="eastAsia" w:ascii="方正仿宋_GBK" w:hAnsi="方正仿宋_GBK" w:eastAsia="方正仿宋_GBK" w:cs="方正仿宋_GBK"/>
                <w:color w:val="000000"/>
                <w:kern w:val="0"/>
                <w:sz w:val="18"/>
                <w:szCs w:val="18"/>
                <w:lang w:bidi="ar"/>
              </w:rPr>
              <w:t>经济效益</w:t>
            </w:r>
          </w:p>
        </w:tc>
        <w:tc>
          <w:tcPr>
            <w:tcW w:w="1320" w:type="dxa"/>
            <w:tcBorders>
              <w:tl2br w:val="nil"/>
              <w:tr2bl w:val="nil"/>
            </w:tcBorders>
            <w:shd w:val="clear" w:color="auto" w:fill="auto"/>
            <w:vAlign w:val="center"/>
          </w:tcPr>
          <w:p>
            <w:pPr>
              <w:widowControl/>
              <w:spacing w:line="240" w:lineRule="auto"/>
              <w:ind w:firstLine="0" w:firstLineChars="0"/>
              <w:jc w:val="center"/>
              <w:textAlignment w:val="center"/>
              <w:rPr>
                <w:rFonts w:ascii="方正仿宋_GBK" w:hAnsi="方正仿宋_GBK" w:eastAsia="方正仿宋_GBK" w:cs="方正仿宋_GBK"/>
                <w:color w:val="000000"/>
                <w:kern w:val="0"/>
                <w:sz w:val="18"/>
                <w:szCs w:val="18"/>
                <w:lang w:bidi="ar"/>
              </w:rPr>
            </w:pPr>
            <w:r>
              <w:rPr>
                <w:rFonts w:hint="eastAsia" w:ascii="方正仿宋_GBK" w:hAnsi="方正仿宋_GBK" w:eastAsia="方正仿宋_GBK" w:cs="方正仿宋_GBK"/>
                <w:color w:val="000000"/>
                <w:kern w:val="0"/>
                <w:sz w:val="18"/>
                <w:szCs w:val="18"/>
                <w:lang w:bidi="ar"/>
              </w:rPr>
              <w:t>经济发展</w:t>
            </w:r>
          </w:p>
        </w:tc>
        <w:tc>
          <w:tcPr>
            <w:tcW w:w="4176" w:type="dxa"/>
            <w:tcBorders>
              <w:tl2br w:val="nil"/>
              <w:tr2bl w:val="nil"/>
            </w:tcBorders>
            <w:shd w:val="clear" w:color="auto" w:fill="auto"/>
            <w:vAlign w:val="center"/>
          </w:tcPr>
          <w:p>
            <w:pPr>
              <w:widowControl/>
              <w:spacing w:line="240" w:lineRule="auto"/>
              <w:ind w:firstLine="0" w:firstLineChars="0"/>
              <w:jc w:val="left"/>
              <w:textAlignment w:val="center"/>
              <w:rPr>
                <w:rFonts w:ascii="方正仿宋_GBK" w:hAnsi="方正仿宋_GBK" w:eastAsia="方正仿宋_GBK" w:cs="方正仿宋_GBK"/>
                <w:color w:val="000000"/>
                <w:kern w:val="0"/>
                <w:sz w:val="18"/>
                <w:szCs w:val="18"/>
                <w:lang w:bidi="ar"/>
              </w:rPr>
            </w:pPr>
            <w:r>
              <w:rPr>
                <w:rFonts w:hint="eastAsia" w:ascii="方正仿宋_GBK" w:hAnsi="方正仿宋_GBK" w:eastAsia="方正仿宋_GBK" w:cs="方正仿宋_GBK"/>
                <w:color w:val="000000"/>
                <w:kern w:val="0"/>
                <w:sz w:val="18"/>
                <w:szCs w:val="18"/>
                <w:lang w:bidi="ar"/>
              </w:rPr>
              <w:t>能够为经济发展带来有利影响的得5分，否则不得分。</w:t>
            </w:r>
          </w:p>
        </w:tc>
        <w:tc>
          <w:tcPr>
            <w:tcW w:w="756" w:type="dxa"/>
            <w:tcBorders>
              <w:tl2br w:val="nil"/>
              <w:tr2bl w:val="nil"/>
            </w:tcBorders>
            <w:shd w:val="clear" w:color="auto" w:fill="auto"/>
            <w:noWrap/>
            <w:vAlign w:val="center"/>
          </w:tcPr>
          <w:p>
            <w:pPr>
              <w:widowControl/>
              <w:spacing w:line="240" w:lineRule="auto"/>
              <w:ind w:firstLineChars="111"/>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5</w:t>
            </w:r>
          </w:p>
        </w:tc>
        <w:tc>
          <w:tcPr>
            <w:tcW w:w="761" w:type="dxa"/>
            <w:tcBorders>
              <w:tl2br w:val="nil"/>
              <w:tr2bl w:val="nil"/>
            </w:tcBorders>
            <w:shd w:val="clear" w:color="auto" w:fill="auto"/>
            <w:noWrap/>
            <w:vAlign w:val="center"/>
          </w:tcPr>
          <w:p>
            <w:pPr>
              <w:widowControl/>
              <w:spacing w:line="240" w:lineRule="auto"/>
              <w:ind w:firstLine="0" w:firstLineChars="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4.98</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554" w:hRule="atLeast"/>
        </w:trPr>
        <w:tc>
          <w:tcPr>
            <w:tcW w:w="1363" w:type="dxa"/>
            <w:tcBorders>
              <w:tl2br w:val="nil"/>
              <w:tr2bl w:val="nil"/>
            </w:tcBorders>
            <w:shd w:val="clear" w:color="auto" w:fill="auto"/>
            <w:noWrap/>
            <w:vAlign w:val="center"/>
          </w:tcPr>
          <w:p>
            <w:pPr>
              <w:widowControl/>
              <w:spacing w:line="240" w:lineRule="auto"/>
              <w:ind w:firstLineChars="111"/>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kern w:val="0"/>
                <w:sz w:val="18"/>
                <w:szCs w:val="18"/>
                <w:lang w:bidi="ar"/>
              </w:rPr>
              <w:t>社会效益</w:t>
            </w:r>
          </w:p>
        </w:tc>
        <w:tc>
          <w:tcPr>
            <w:tcW w:w="1320" w:type="dxa"/>
            <w:tcBorders>
              <w:tl2br w:val="nil"/>
              <w:tr2bl w:val="nil"/>
            </w:tcBorders>
            <w:shd w:val="clear" w:color="auto" w:fill="auto"/>
            <w:vAlign w:val="center"/>
          </w:tcPr>
          <w:p>
            <w:pPr>
              <w:widowControl/>
              <w:spacing w:line="240" w:lineRule="auto"/>
              <w:ind w:firstLine="0" w:firstLineChars="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lang w:bidi="ar"/>
              </w:rPr>
              <w:t>完善基础设施</w:t>
            </w:r>
          </w:p>
        </w:tc>
        <w:tc>
          <w:tcPr>
            <w:tcW w:w="4176" w:type="dxa"/>
            <w:tcBorders>
              <w:tl2br w:val="nil"/>
              <w:tr2bl w:val="nil"/>
            </w:tcBorders>
            <w:shd w:val="clear" w:color="auto" w:fill="auto"/>
            <w:vAlign w:val="center"/>
          </w:tcPr>
          <w:p>
            <w:pPr>
              <w:widowControl/>
              <w:spacing w:line="240" w:lineRule="auto"/>
              <w:ind w:firstLine="0" w:firstLineChars="0"/>
              <w:jc w:val="left"/>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能够提升城市基础设施建设完善度的5分，否则不得分。</w:t>
            </w:r>
          </w:p>
        </w:tc>
        <w:tc>
          <w:tcPr>
            <w:tcW w:w="756" w:type="dxa"/>
            <w:tcBorders>
              <w:tl2br w:val="nil"/>
              <w:tr2bl w:val="nil"/>
            </w:tcBorders>
            <w:shd w:val="clear" w:color="auto" w:fill="auto"/>
            <w:noWrap/>
            <w:vAlign w:val="center"/>
          </w:tcPr>
          <w:p>
            <w:pPr>
              <w:widowControl/>
              <w:spacing w:line="240" w:lineRule="auto"/>
              <w:ind w:firstLineChars="111"/>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5</w:t>
            </w:r>
          </w:p>
        </w:tc>
        <w:tc>
          <w:tcPr>
            <w:tcW w:w="761" w:type="dxa"/>
            <w:tcBorders>
              <w:tl2br w:val="nil"/>
              <w:tr2bl w:val="nil"/>
            </w:tcBorders>
            <w:shd w:val="clear" w:color="auto" w:fill="auto"/>
            <w:noWrap/>
            <w:vAlign w:val="center"/>
          </w:tcPr>
          <w:p>
            <w:pPr>
              <w:widowControl/>
              <w:spacing w:line="240" w:lineRule="auto"/>
              <w:ind w:firstLine="0" w:firstLineChars="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5</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626" w:hRule="atLeast"/>
        </w:trPr>
        <w:tc>
          <w:tcPr>
            <w:tcW w:w="1363" w:type="dxa"/>
            <w:tcBorders>
              <w:tl2br w:val="nil"/>
              <w:tr2bl w:val="nil"/>
            </w:tcBorders>
            <w:shd w:val="clear" w:color="auto" w:fill="auto"/>
            <w:noWrap/>
            <w:vAlign w:val="center"/>
          </w:tcPr>
          <w:p>
            <w:pPr>
              <w:widowControl/>
              <w:spacing w:line="240" w:lineRule="auto"/>
              <w:ind w:firstLineChars="111"/>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kern w:val="0"/>
                <w:sz w:val="18"/>
                <w:szCs w:val="18"/>
                <w:lang w:bidi="ar"/>
              </w:rPr>
              <w:t>生态效益</w:t>
            </w:r>
          </w:p>
        </w:tc>
        <w:tc>
          <w:tcPr>
            <w:tcW w:w="1320" w:type="dxa"/>
            <w:tcBorders>
              <w:tl2br w:val="nil"/>
              <w:tr2bl w:val="nil"/>
            </w:tcBorders>
            <w:shd w:val="clear" w:color="auto" w:fill="auto"/>
            <w:vAlign w:val="center"/>
          </w:tcPr>
          <w:p>
            <w:pPr>
              <w:widowControl/>
              <w:spacing w:line="240" w:lineRule="auto"/>
              <w:ind w:firstLine="0" w:firstLineChars="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lang w:bidi="ar"/>
              </w:rPr>
              <w:t>生态影响</w:t>
            </w:r>
          </w:p>
        </w:tc>
        <w:tc>
          <w:tcPr>
            <w:tcW w:w="4176" w:type="dxa"/>
            <w:tcBorders>
              <w:tl2br w:val="nil"/>
              <w:tr2bl w:val="nil"/>
            </w:tcBorders>
            <w:shd w:val="clear" w:color="auto" w:fill="auto"/>
            <w:vAlign w:val="center"/>
          </w:tcPr>
          <w:p>
            <w:pPr>
              <w:widowControl/>
              <w:spacing w:line="240" w:lineRule="auto"/>
              <w:ind w:firstLine="0" w:firstLineChars="0"/>
              <w:jc w:val="left"/>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lang w:bidi="ar"/>
              </w:rPr>
              <w:t>未破坏生态环境得5分，破坏生态环境不得分。</w:t>
            </w:r>
          </w:p>
        </w:tc>
        <w:tc>
          <w:tcPr>
            <w:tcW w:w="756" w:type="dxa"/>
            <w:tcBorders>
              <w:tl2br w:val="nil"/>
              <w:tr2bl w:val="nil"/>
            </w:tcBorders>
            <w:shd w:val="clear" w:color="auto" w:fill="auto"/>
            <w:noWrap/>
            <w:vAlign w:val="center"/>
          </w:tcPr>
          <w:p>
            <w:pPr>
              <w:widowControl/>
              <w:spacing w:line="240" w:lineRule="auto"/>
              <w:ind w:firstLine="0" w:firstLineChars="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5</w:t>
            </w:r>
          </w:p>
        </w:tc>
        <w:tc>
          <w:tcPr>
            <w:tcW w:w="761" w:type="dxa"/>
            <w:tcBorders>
              <w:tl2br w:val="nil"/>
              <w:tr2bl w:val="nil"/>
            </w:tcBorders>
            <w:shd w:val="clear" w:color="auto" w:fill="auto"/>
            <w:noWrap/>
            <w:vAlign w:val="center"/>
          </w:tcPr>
          <w:p>
            <w:pPr>
              <w:widowControl/>
              <w:spacing w:line="240" w:lineRule="auto"/>
              <w:ind w:firstLine="0" w:firstLineChars="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5</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432" w:hRule="atLeast"/>
        </w:trPr>
        <w:tc>
          <w:tcPr>
            <w:tcW w:w="1363" w:type="dxa"/>
            <w:tcBorders>
              <w:tl2br w:val="nil"/>
              <w:tr2bl w:val="nil"/>
            </w:tcBorders>
            <w:shd w:val="clear" w:color="auto" w:fill="auto"/>
            <w:noWrap/>
            <w:vAlign w:val="center"/>
          </w:tcPr>
          <w:p>
            <w:pPr>
              <w:widowControl/>
              <w:spacing w:line="240" w:lineRule="auto"/>
              <w:ind w:firstLine="0" w:firstLineChars="0"/>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kern w:val="0"/>
                <w:sz w:val="18"/>
                <w:szCs w:val="18"/>
                <w:lang w:bidi="ar"/>
              </w:rPr>
              <w:t>可持续影响</w:t>
            </w:r>
          </w:p>
        </w:tc>
        <w:tc>
          <w:tcPr>
            <w:tcW w:w="1320" w:type="dxa"/>
            <w:tcBorders>
              <w:tl2br w:val="nil"/>
              <w:tr2bl w:val="nil"/>
            </w:tcBorders>
            <w:shd w:val="clear" w:color="auto" w:fill="auto"/>
            <w:vAlign w:val="center"/>
          </w:tcPr>
          <w:p>
            <w:pPr>
              <w:widowControl/>
              <w:spacing w:line="240" w:lineRule="auto"/>
              <w:ind w:firstLine="0" w:firstLineChars="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lang w:bidi="ar"/>
              </w:rPr>
              <w:t>长效机制</w:t>
            </w:r>
          </w:p>
        </w:tc>
        <w:tc>
          <w:tcPr>
            <w:tcW w:w="4176" w:type="dxa"/>
            <w:tcBorders>
              <w:tl2br w:val="nil"/>
              <w:tr2bl w:val="nil"/>
            </w:tcBorders>
            <w:shd w:val="clear" w:color="auto" w:fill="auto"/>
            <w:vAlign w:val="center"/>
          </w:tcPr>
          <w:p>
            <w:pPr>
              <w:widowControl/>
              <w:spacing w:line="240" w:lineRule="auto"/>
              <w:ind w:firstLine="0" w:firstLineChars="0"/>
              <w:jc w:val="left"/>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lang w:bidi="ar"/>
              </w:rPr>
              <w:t>项目建成后及时投入使用，进入良性运行，后续运行及成效发挥可持续，得5分。每发现一处问题影响可持续性，扣1分，扣完为止。</w:t>
            </w:r>
          </w:p>
        </w:tc>
        <w:tc>
          <w:tcPr>
            <w:tcW w:w="756" w:type="dxa"/>
            <w:tcBorders>
              <w:tl2br w:val="nil"/>
              <w:tr2bl w:val="nil"/>
            </w:tcBorders>
            <w:shd w:val="clear" w:color="auto" w:fill="auto"/>
            <w:noWrap/>
            <w:vAlign w:val="center"/>
          </w:tcPr>
          <w:p>
            <w:pPr>
              <w:widowControl/>
              <w:spacing w:line="240" w:lineRule="auto"/>
              <w:ind w:firstLine="0" w:firstLineChars="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5</w:t>
            </w:r>
          </w:p>
        </w:tc>
        <w:tc>
          <w:tcPr>
            <w:tcW w:w="761" w:type="dxa"/>
            <w:tcBorders>
              <w:tl2br w:val="nil"/>
              <w:tr2bl w:val="nil"/>
            </w:tcBorders>
            <w:shd w:val="clear" w:color="auto" w:fill="auto"/>
            <w:noWrap/>
            <w:vAlign w:val="center"/>
          </w:tcPr>
          <w:p>
            <w:pPr>
              <w:widowControl/>
              <w:spacing w:line="240" w:lineRule="auto"/>
              <w:ind w:firstLine="0" w:firstLineChars="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4.92</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672" w:hRule="atLeast"/>
        </w:trPr>
        <w:tc>
          <w:tcPr>
            <w:tcW w:w="1363" w:type="dxa"/>
            <w:tcBorders>
              <w:tl2br w:val="nil"/>
              <w:tr2bl w:val="nil"/>
            </w:tcBorders>
            <w:shd w:val="clear" w:color="auto" w:fill="auto"/>
            <w:noWrap/>
            <w:vAlign w:val="center"/>
          </w:tcPr>
          <w:p>
            <w:pPr>
              <w:widowControl/>
              <w:spacing w:line="240" w:lineRule="auto"/>
              <w:ind w:firstLineChars="111"/>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kern w:val="0"/>
                <w:sz w:val="18"/>
                <w:szCs w:val="18"/>
                <w:lang w:bidi="ar"/>
              </w:rPr>
              <w:t>满意度</w:t>
            </w:r>
          </w:p>
        </w:tc>
        <w:tc>
          <w:tcPr>
            <w:tcW w:w="1320" w:type="dxa"/>
            <w:tcBorders>
              <w:tl2br w:val="nil"/>
              <w:tr2bl w:val="nil"/>
            </w:tcBorders>
            <w:shd w:val="clear" w:color="auto" w:fill="auto"/>
            <w:vAlign w:val="center"/>
          </w:tcPr>
          <w:p>
            <w:pPr>
              <w:widowControl/>
              <w:spacing w:line="240" w:lineRule="auto"/>
              <w:ind w:firstLine="0" w:firstLineChars="0"/>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kern w:val="0"/>
                <w:sz w:val="18"/>
                <w:szCs w:val="18"/>
                <w:lang w:bidi="ar"/>
              </w:rPr>
              <w:t>社会公众或服务对象满意度</w:t>
            </w:r>
          </w:p>
        </w:tc>
        <w:tc>
          <w:tcPr>
            <w:tcW w:w="4176" w:type="dxa"/>
            <w:tcBorders>
              <w:tl2br w:val="nil"/>
              <w:tr2bl w:val="nil"/>
            </w:tcBorders>
            <w:shd w:val="clear" w:color="auto" w:fill="auto"/>
            <w:vAlign w:val="center"/>
          </w:tcPr>
          <w:p>
            <w:pPr>
              <w:widowControl/>
              <w:spacing w:line="240" w:lineRule="auto"/>
              <w:ind w:firstLine="0" w:firstLineChars="0"/>
              <w:jc w:val="left"/>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lang w:bidi="ar"/>
              </w:rPr>
              <w:t>满意得10分，一般得6分，不满意得0分，加权平均计算。</w:t>
            </w:r>
          </w:p>
        </w:tc>
        <w:tc>
          <w:tcPr>
            <w:tcW w:w="756" w:type="dxa"/>
            <w:tcBorders>
              <w:tl2br w:val="nil"/>
              <w:tr2bl w:val="nil"/>
            </w:tcBorders>
            <w:shd w:val="clear" w:color="auto" w:fill="auto"/>
            <w:noWrap/>
            <w:vAlign w:val="center"/>
          </w:tcPr>
          <w:p>
            <w:pPr>
              <w:widowControl/>
              <w:spacing w:line="240" w:lineRule="auto"/>
              <w:ind w:firstLine="0" w:firstLineChars="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10</w:t>
            </w:r>
          </w:p>
        </w:tc>
        <w:tc>
          <w:tcPr>
            <w:tcW w:w="761" w:type="dxa"/>
            <w:tcBorders>
              <w:tl2br w:val="nil"/>
              <w:tr2bl w:val="nil"/>
            </w:tcBorders>
            <w:shd w:val="clear" w:color="auto" w:fill="auto"/>
            <w:noWrap/>
            <w:vAlign w:val="center"/>
          </w:tcPr>
          <w:p>
            <w:pPr>
              <w:widowControl/>
              <w:spacing w:line="240" w:lineRule="auto"/>
              <w:ind w:firstLine="0" w:firstLineChars="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9.87</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420" w:hRule="atLeast"/>
        </w:trPr>
        <w:tc>
          <w:tcPr>
            <w:tcW w:w="1363" w:type="dxa"/>
            <w:tcBorders>
              <w:tl2br w:val="nil"/>
              <w:tr2bl w:val="nil"/>
            </w:tcBorders>
            <w:shd w:val="clear" w:color="auto" w:fill="auto"/>
            <w:noWrap/>
            <w:vAlign w:val="center"/>
          </w:tcPr>
          <w:p>
            <w:pPr>
              <w:widowControl/>
              <w:spacing w:line="240" w:lineRule="auto"/>
              <w:ind w:firstLine="360"/>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kern w:val="0"/>
                <w:sz w:val="18"/>
                <w:szCs w:val="18"/>
                <w:lang w:bidi="ar"/>
              </w:rPr>
              <w:t>小计</w:t>
            </w:r>
          </w:p>
        </w:tc>
        <w:tc>
          <w:tcPr>
            <w:tcW w:w="1320" w:type="dxa"/>
            <w:tcBorders>
              <w:tl2br w:val="nil"/>
              <w:tr2bl w:val="nil"/>
            </w:tcBorders>
            <w:shd w:val="clear" w:color="auto" w:fill="auto"/>
            <w:vAlign w:val="center"/>
          </w:tcPr>
          <w:p>
            <w:pPr>
              <w:widowControl/>
              <w:spacing w:line="240" w:lineRule="auto"/>
              <w:ind w:firstLine="360"/>
              <w:jc w:val="center"/>
              <w:rPr>
                <w:rFonts w:ascii="方正仿宋_GBK" w:hAnsi="方正仿宋_GBK" w:eastAsia="方正仿宋_GBK" w:cs="方正仿宋_GBK"/>
                <w:color w:val="000000"/>
                <w:sz w:val="18"/>
                <w:szCs w:val="18"/>
              </w:rPr>
            </w:pPr>
          </w:p>
        </w:tc>
        <w:tc>
          <w:tcPr>
            <w:tcW w:w="4176" w:type="dxa"/>
            <w:tcBorders>
              <w:tl2br w:val="nil"/>
              <w:tr2bl w:val="nil"/>
            </w:tcBorders>
            <w:shd w:val="clear" w:color="auto" w:fill="auto"/>
            <w:noWrap/>
            <w:vAlign w:val="center"/>
          </w:tcPr>
          <w:p>
            <w:pPr>
              <w:widowControl/>
              <w:spacing w:line="240" w:lineRule="auto"/>
              <w:ind w:firstLine="360"/>
              <w:jc w:val="center"/>
              <w:rPr>
                <w:rFonts w:ascii="方正仿宋_GBK" w:hAnsi="方正仿宋_GBK" w:eastAsia="方正仿宋_GBK" w:cs="方正仿宋_GBK"/>
                <w:color w:val="000000"/>
                <w:sz w:val="18"/>
                <w:szCs w:val="18"/>
              </w:rPr>
            </w:pPr>
          </w:p>
        </w:tc>
        <w:tc>
          <w:tcPr>
            <w:tcW w:w="756" w:type="dxa"/>
            <w:tcBorders>
              <w:tl2br w:val="nil"/>
              <w:tr2bl w:val="nil"/>
            </w:tcBorders>
            <w:shd w:val="clear" w:color="auto" w:fill="auto"/>
            <w:noWrap/>
            <w:vAlign w:val="center"/>
          </w:tcPr>
          <w:p>
            <w:pPr>
              <w:widowControl/>
              <w:spacing w:line="240" w:lineRule="auto"/>
              <w:ind w:firstLine="0" w:firstLineChars="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30</w:t>
            </w:r>
          </w:p>
        </w:tc>
        <w:tc>
          <w:tcPr>
            <w:tcW w:w="761" w:type="dxa"/>
            <w:tcBorders>
              <w:tl2br w:val="nil"/>
              <w:tr2bl w:val="nil"/>
            </w:tcBorders>
            <w:shd w:val="clear" w:color="auto" w:fill="auto"/>
            <w:noWrap/>
            <w:vAlign w:val="center"/>
          </w:tcPr>
          <w:p>
            <w:pPr>
              <w:widowControl/>
              <w:spacing w:line="240" w:lineRule="auto"/>
              <w:ind w:firstLine="0" w:firstLineChars="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29.</w:t>
            </w:r>
            <w:r>
              <w:rPr>
                <w:rFonts w:hint="eastAsia" w:ascii="方正仿宋_GBK" w:hAnsi="方正仿宋_GBK" w:eastAsia="方正仿宋_GBK" w:cs="方正仿宋_GBK"/>
                <w:color w:val="000000"/>
                <w:sz w:val="18"/>
                <w:szCs w:val="18"/>
                <w:lang w:val="en-US" w:eastAsia="zh-CN"/>
              </w:rPr>
              <w:t>7</w:t>
            </w:r>
            <w:r>
              <w:rPr>
                <w:rFonts w:hint="eastAsia" w:ascii="方正仿宋_GBK" w:hAnsi="方正仿宋_GBK" w:eastAsia="方正仿宋_GBK" w:cs="方正仿宋_GBK"/>
                <w:color w:val="000000"/>
                <w:sz w:val="18"/>
                <w:szCs w:val="18"/>
              </w:rPr>
              <w:t>7</w:t>
            </w:r>
          </w:p>
        </w:tc>
      </w:tr>
    </w:tbl>
    <w:p>
      <w:pPr>
        <w:snapToGrid w:val="0"/>
        <w:spacing w:line="560" w:lineRule="atLeast"/>
        <w:ind w:firstLine="560" w:firstLineChars="0"/>
        <w:rPr>
          <w:rFonts w:ascii="宋体" w:hAnsi="宋体"/>
          <w:szCs w:val="28"/>
        </w:rPr>
      </w:pPr>
      <w:r>
        <w:rPr>
          <w:rFonts w:hint="eastAsia" w:ascii="宋体" w:hAnsi="宋体"/>
          <w:szCs w:val="28"/>
        </w:rPr>
        <w:t>1.经济发展标准分值为5分，本次绩效评价得分4.98分。铜梁区场镇建设项目的实施有助于推进场镇聚集人口、聚集产业、聚集公共服务，深度挖掘场镇文化价值和文化内涵，增强场镇吸附能力，从而为促进当地经济发展打下坚实基础。经现场访谈，发现福果镇菜市场建设项目建成后将菜市场承包给其他单位经营管理，承包方大幅提高了菜市场摊位费，增加了菜农的经营成本。本指标扣0.02分。</w:t>
      </w:r>
    </w:p>
    <w:p>
      <w:pPr>
        <w:snapToGrid w:val="0"/>
        <w:spacing w:line="560" w:lineRule="atLeast"/>
        <w:ind w:firstLine="560"/>
        <w:rPr>
          <w:rFonts w:ascii="宋体" w:hAnsi="宋体"/>
          <w:szCs w:val="28"/>
        </w:rPr>
      </w:pPr>
      <w:r>
        <w:rPr>
          <w:rFonts w:ascii="宋体" w:hAnsi="宋体"/>
          <w:szCs w:val="28"/>
        </w:rPr>
        <w:t>2</w:t>
      </w:r>
      <w:r>
        <w:rPr>
          <w:rFonts w:hint="eastAsia" w:ascii="宋体" w:hAnsi="宋体"/>
          <w:szCs w:val="28"/>
        </w:rPr>
        <w:t>.完善基础设施标准分值为5分，本次绩效评价得分5分。场镇建设项目通过改造或新建停车场、公交车停靠点、公园、公厕、农贸市场、人行道地面铺装等完善了城镇基础设施建设。项目整治并统一了店招店牌，新增和升级镇街绿化，增设休闲座椅，健身器材，改善了镇街风貌，提升人居环境。同时项目还增加路边照明设施安装，规范强、弱电线路，因地制宜实施弱电线路下地，强化雨污管网管理，</w:t>
      </w:r>
      <w:r>
        <w:rPr>
          <w:rFonts w:hint="eastAsia" w:ascii="宋体" w:hAnsi="宋体"/>
          <w:szCs w:val="28"/>
          <w:lang w:eastAsia="zh-CN"/>
        </w:rPr>
        <w:t>减</w:t>
      </w:r>
      <w:r>
        <w:rPr>
          <w:rFonts w:hint="eastAsia" w:ascii="宋体" w:hAnsi="宋体"/>
          <w:szCs w:val="28"/>
        </w:rPr>
        <w:t>少了安全隐患。通过现场访谈及调查问卷，受益群众对项目完善基础设施的效果感到满意。</w:t>
      </w:r>
    </w:p>
    <w:p>
      <w:pPr>
        <w:snapToGrid w:val="0"/>
        <w:spacing w:line="560" w:lineRule="atLeast"/>
        <w:ind w:firstLine="560"/>
        <w:rPr>
          <w:rFonts w:ascii="宋体" w:hAnsi="宋体"/>
          <w:szCs w:val="28"/>
        </w:rPr>
      </w:pPr>
      <w:r>
        <w:rPr>
          <w:rFonts w:ascii="宋体" w:hAnsi="宋体"/>
          <w:szCs w:val="28"/>
        </w:rPr>
        <w:t>3</w:t>
      </w:r>
      <w:r>
        <w:rPr>
          <w:rFonts w:hint="eastAsia" w:ascii="宋体" w:hAnsi="宋体"/>
          <w:szCs w:val="28"/>
        </w:rPr>
        <w:t>.生态影响标准分值为5分，本次绩效评价得分5分。经现场查看，未发现破坏生态环境的迹象。本次绩效评价取得1170份调查问卷，调查结果均认为项目的建设未对周围生态环境造成破坏。</w:t>
      </w:r>
    </w:p>
    <w:p>
      <w:pPr>
        <w:snapToGrid w:val="0"/>
        <w:spacing w:line="560" w:lineRule="atLeast"/>
        <w:ind w:firstLine="560" w:firstLineChars="0"/>
        <w:rPr>
          <w:rFonts w:ascii="宋体" w:hAnsi="宋体"/>
          <w:szCs w:val="28"/>
        </w:rPr>
      </w:pPr>
      <w:r>
        <w:rPr>
          <w:rFonts w:hint="eastAsia" w:ascii="宋体" w:hAnsi="宋体"/>
          <w:szCs w:val="28"/>
        </w:rPr>
        <w:t>4.长效机制标准分值为5分，本次绩效评价得分4.92分。经评估分析，项目通过完善镇街基础设施建设带来的经济和社会效益能够长期持续发挥作用。我们对各个项目现场进行了查看，对周围居民进行了现场访谈以及问卷调查，发现以下情况，本指标扣0.08分：</w:t>
      </w:r>
    </w:p>
    <w:p>
      <w:pPr>
        <w:snapToGrid w:val="0"/>
        <w:spacing w:line="560" w:lineRule="atLeast"/>
        <w:ind w:firstLine="560" w:firstLineChars="0"/>
        <w:rPr>
          <w:rFonts w:ascii="宋体" w:hAnsi="宋体"/>
          <w:szCs w:val="28"/>
        </w:rPr>
      </w:pPr>
      <w:r>
        <w:rPr>
          <w:rFonts w:hint="eastAsia" w:ascii="宋体" w:hAnsi="宋体"/>
          <w:szCs w:val="28"/>
        </w:rPr>
        <w:t>（1）旧县街道生态停车场建设项目出入口桅杆折断，设施未得到良好的维护。</w:t>
      </w:r>
    </w:p>
    <w:p>
      <w:pPr>
        <w:snapToGrid w:val="0"/>
        <w:spacing w:line="560" w:lineRule="atLeast"/>
        <w:ind w:firstLine="560" w:firstLineChars="0"/>
        <w:rPr>
          <w:rFonts w:ascii="宋体" w:hAnsi="宋体"/>
          <w:szCs w:val="28"/>
        </w:rPr>
      </w:pPr>
      <w:r>
        <w:rPr>
          <w:rFonts w:hint="eastAsia" w:ascii="宋体" w:hAnsi="宋体"/>
          <w:szCs w:val="28"/>
        </w:rPr>
        <w:t>（2）福果镇菜市场建设项目建成后将菜市场承包给其他单位经营，承包方大幅提高了菜市场摊位费，增加了菜农的经营成本，降低菜农进驻菜市场经营的积极性。</w:t>
      </w:r>
    </w:p>
    <w:p>
      <w:pPr>
        <w:snapToGrid w:val="0"/>
        <w:spacing w:line="560" w:lineRule="atLeast"/>
        <w:ind w:firstLine="560" w:firstLineChars="0"/>
        <w:rPr>
          <w:rFonts w:ascii="宋体" w:hAnsi="宋体"/>
          <w:szCs w:val="28"/>
        </w:rPr>
      </w:pPr>
      <w:r>
        <w:rPr>
          <w:rFonts w:hint="eastAsia" w:ascii="宋体" w:hAnsi="宋体"/>
          <w:szCs w:val="28"/>
        </w:rPr>
        <w:t>（3）收到的1170份调查问卷中，有12份认为项目未得到良好的维护。</w:t>
      </w:r>
    </w:p>
    <w:p>
      <w:pPr>
        <w:snapToGrid w:val="0"/>
        <w:spacing w:line="560" w:lineRule="atLeast"/>
        <w:ind w:firstLine="560"/>
        <w:rPr>
          <w:rFonts w:ascii="宋体" w:hAnsi="宋体"/>
          <w:szCs w:val="28"/>
        </w:rPr>
      </w:pPr>
      <w:r>
        <w:rPr>
          <w:rFonts w:hint="eastAsia" w:ascii="宋体" w:hAnsi="宋体"/>
          <w:szCs w:val="28"/>
        </w:rPr>
        <w:t>5.受益对象满意度标准分值为10分。本次绩效评价取得分9.87分。本次绩效评价针对119个项目取得调查问卷1170份，其中101个项目满意度100%，11个项目满意度96%，5个项目满意度92%，1个项目满意度86%，1个项目满意度76%。其中满意度86%的项目为福果镇菜市场建设项目，满意度76%的项目为西河镇马鞍桥公厕改造项目。本指标扣0.13分。</w:t>
      </w:r>
    </w:p>
    <w:p>
      <w:pPr>
        <w:pStyle w:val="25"/>
        <w:snapToGrid w:val="0"/>
        <w:spacing w:line="560" w:lineRule="exact"/>
        <w:ind w:left="562" w:firstLine="0" w:firstLineChars="0"/>
        <w:outlineLvl w:val="0"/>
        <w:rPr>
          <w:rFonts w:ascii="宋体" w:hAnsi="宋体"/>
          <w:b/>
          <w:szCs w:val="28"/>
        </w:rPr>
      </w:pPr>
      <w:r>
        <w:rPr>
          <w:rFonts w:hint="eastAsia" w:ascii="宋体" w:hAnsi="宋体"/>
          <w:b/>
          <w:szCs w:val="28"/>
          <w:lang w:val="en-US" w:eastAsia="zh-CN"/>
        </w:rPr>
        <w:t>四</w:t>
      </w:r>
      <w:r>
        <w:rPr>
          <w:rFonts w:ascii="宋体" w:hAnsi="宋体"/>
          <w:b/>
          <w:szCs w:val="28"/>
        </w:rPr>
        <w:t>、</w:t>
      </w:r>
      <w:r>
        <w:rPr>
          <w:rFonts w:hint="eastAsia" w:ascii="宋体" w:hAnsi="宋体"/>
          <w:b/>
          <w:szCs w:val="28"/>
        </w:rPr>
        <w:t>绩效评价综述</w:t>
      </w:r>
    </w:p>
    <w:p>
      <w:pPr>
        <w:snapToGrid w:val="0"/>
        <w:spacing w:line="560" w:lineRule="atLeast"/>
        <w:ind w:firstLine="560"/>
        <w:rPr>
          <w:rFonts w:ascii="宋体" w:hAnsi="宋体"/>
          <w:szCs w:val="28"/>
        </w:rPr>
      </w:pPr>
      <w:r>
        <w:rPr>
          <w:rFonts w:hint="eastAsia" w:ascii="宋体" w:hAnsi="宋体"/>
          <w:szCs w:val="28"/>
        </w:rPr>
        <w:t>根据我们设定的绩效目标，重庆市铜梁区场镇基础设施功能补短板建设项目绩效评价得分为87.38分，绩效评价等级为：良，各项指标得分情况如下：</w:t>
      </w:r>
    </w:p>
    <w:tbl>
      <w:tblPr>
        <w:tblStyle w:val="18"/>
        <w:tblW w:w="8362" w:type="dxa"/>
        <w:jc w:val="center"/>
        <w:tblInd w:w="0" w:type="dxa"/>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28" w:type="dxa"/>
          <w:bottom w:w="0" w:type="dxa"/>
          <w:right w:w="28" w:type="dxa"/>
        </w:tblCellMar>
      </w:tblPr>
      <w:tblGrid>
        <w:gridCol w:w="1392"/>
        <w:gridCol w:w="1395"/>
        <w:gridCol w:w="1395"/>
        <w:gridCol w:w="1393"/>
        <w:gridCol w:w="1395"/>
        <w:gridCol w:w="1392"/>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28" w:type="dxa"/>
            <w:bottom w:w="0" w:type="dxa"/>
            <w:right w:w="28" w:type="dxa"/>
          </w:tblCellMar>
        </w:tblPrEx>
        <w:trPr>
          <w:cantSplit/>
          <w:trHeight w:val="340" w:hRule="atLeast"/>
          <w:jc w:val="center"/>
        </w:trPr>
        <w:tc>
          <w:tcPr>
            <w:tcW w:w="1392" w:type="dxa"/>
            <w:tcBorders>
              <w:top w:val="double" w:color="auto" w:sz="4" w:space="0"/>
              <w:bottom w:val="single" w:color="auto" w:sz="4" w:space="0"/>
              <w:right w:val="single" w:color="auto" w:sz="4" w:space="0"/>
            </w:tcBorders>
            <w:shd w:val="clear" w:color="auto" w:fill="auto"/>
            <w:noWrap/>
            <w:vAlign w:val="center"/>
          </w:tcPr>
          <w:p>
            <w:pPr>
              <w:widowControl/>
              <w:snapToGrid w:val="0"/>
              <w:spacing w:line="240" w:lineRule="auto"/>
              <w:ind w:left="17" w:right="17" w:firstLine="6" w:firstLineChars="3"/>
              <w:jc w:val="center"/>
              <w:rPr>
                <w:rFonts w:ascii="Arial Narrow" w:hAnsi="宋体" w:cs="宋体"/>
                <w:color w:val="000000"/>
                <w:kern w:val="0"/>
                <w:sz w:val="21"/>
                <w:szCs w:val="32"/>
              </w:rPr>
            </w:pPr>
            <w:r>
              <w:rPr>
                <w:rFonts w:hint="eastAsia" w:ascii="Arial Narrow" w:hAnsi="宋体" w:cs="宋体"/>
                <w:color w:val="000000"/>
                <w:kern w:val="0"/>
                <w:sz w:val="21"/>
                <w:szCs w:val="32"/>
              </w:rPr>
              <w:t>项目</w:t>
            </w:r>
          </w:p>
        </w:tc>
        <w:tc>
          <w:tcPr>
            <w:tcW w:w="1395" w:type="dxa"/>
            <w:tcBorders>
              <w:top w:val="double" w:color="auto" w:sz="4" w:space="0"/>
              <w:left w:val="single" w:color="auto" w:sz="4" w:space="0"/>
              <w:bottom w:val="single" w:color="auto" w:sz="4" w:space="0"/>
              <w:right w:val="single" w:color="auto" w:sz="4" w:space="0"/>
            </w:tcBorders>
            <w:shd w:val="clear" w:color="auto" w:fill="auto"/>
            <w:noWrap/>
            <w:vAlign w:val="center"/>
          </w:tcPr>
          <w:p>
            <w:pPr>
              <w:widowControl/>
              <w:snapToGrid w:val="0"/>
              <w:spacing w:line="240" w:lineRule="auto"/>
              <w:ind w:left="17" w:right="17" w:firstLine="6" w:firstLineChars="3"/>
              <w:jc w:val="center"/>
              <w:rPr>
                <w:rFonts w:ascii="Arial Narrow" w:hAnsi="宋体" w:cs="宋体"/>
                <w:color w:val="000000"/>
                <w:kern w:val="0"/>
                <w:sz w:val="21"/>
                <w:szCs w:val="32"/>
              </w:rPr>
            </w:pPr>
            <w:r>
              <w:rPr>
                <w:rFonts w:hint="eastAsia" w:ascii="Arial Narrow" w:hAnsi="宋体" w:cs="宋体"/>
                <w:color w:val="000000"/>
                <w:kern w:val="0"/>
                <w:sz w:val="21"/>
                <w:szCs w:val="32"/>
              </w:rPr>
              <w:t>投入指标</w:t>
            </w:r>
          </w:p>
        </w:tc>
        <w:tc>
          <w:tcPr>
            <w:tcW w:w="1395" w:type="dxa"/>
            <w:tcBorders>
              <w:top w:val="double" w:color="auto" w:sz="4" w:space="0"/>
              <w:left w:val="single" w:color="auto" w:sz="4" w:space="0"/>
              <w:bottom w:val="single" w:color="auto" w:sz="4" w:space="0"/>
              <w:right w:val="single" w:color="auto" w:sz="4" w:space="0"/>
            </w:tcBorders>
            <w:shd w:val="clear" w:color="auto" w:fill="auto"/>
            <w:noWrap/>
            <w:vAlign w:val="center"/>
          </w:tcPr>
          <w:p>
            <w:pPr>
              <w:widowControl/>
              <w:snapToGrid w:val="0"/>
              <w:spacing w:line="240" w:lineRule="auto"/>
              <w:ind w:left="17" w:right="17" w:firstLine="6" w:firstLineChars="3"/>
              <w:jc w:val="center"/>
              <w:rPr>
                <w:rFonts w:ascii="Arial Narrow" w:hAnsi="宋体" w:cs="宋体"/>
                <w:color w:val="000000"/>
                <w:kern w:val="0"/>
                <w:sz w:val="21"/>
                <w:szCs w:val="32"/>
              </w:rPr>
            </w:pPr>
            <w:r>
              <w:rPr>
                <w:rFonts w:hint="eastAsia" w:ascii="Arial Narrow" w:hAnsi="宋体" w:cs="宋体"/>
                <w:color w:val="000000"/>
                <w:kern w:val="0"/>
                <w:sz w:val="21"/>
                <w:szCs w:val="32"/>
              </w:rPr>
              <w:t>管理指标</w:t>
            </w:r>
          </w:p>
        </w:tc>
        <w:tc>
          <w:tcPr>
            <w:tcW w:w="1393" w:type="dxa"/>
            <w:tcBorders>
              <w:top w:val="double" w:color="auto" w:sz="4" w:space="0"/>
              <w:left w:val="single" w:color="auto" w:sz="4" w:space="0"/>
              <w:bottom w:val="single" w:color="auto" w:sz="4" w:space="0"/>
              <w:right w:val="single" w:color="auto" w:sz="4" w:space="0"/>
            </w:tcBorders>
            <w:shd w:val="clear" w:color="auto" w:fill="auto"/>
            <w:noWrap/>
            <w:vAlign w:val="center"/>
          </w:tcPr>
          <w:p>
            <w:pPr>
              <w:widowControl/>
              <w:snapToGrid w:val="0"/>
              <w:spacing w:line="240" w:lineRule="auto"/>
              <w:ind w:left="17" w:right="17" w:firstLine="6" w:firstLineChars="3"/>
              <w:jc w:val="center"/>
              <w:rPr>
                <w:rFonts w:ascii="Arial Narrow" w:hAnsi="宋体" w:cs="宋体"/>
                <w:color w:val="000000"/>
                <w:kern w:val="0"/>
                <w:sz w:val="21"/>
                <w:szCs w:val="32"/>
              </w:rPr>
            </w:pPr>
            <w:r>
              <w:rPr>
                <w:rFonts w:hint="eastAsia" w:ascii="Arial Narrow" w:hAnsi="宋体" w:cs="宋体"/>
                <w:color w:val="000000"/>
                <w:kern w:val="0"/>
                <w:sz w:val="21"/>
                <w:szCs w:val="32"/>
              </w:rPr>
              <w:t>产出指标</w:t>
            </w:r>
          </w:p>
        </w:tc>
        <w:tc>
          <w:tcPr>
            <w:tcW w:w="1395" w:type="dxa"/>
            <w:tcBorders>
              <w:top w:val="double" w:color="auto" w:sz="4" w:space="0"/>
              <w:left w:val="single" w:color="auto" w:sz="4" w:space="0"/>
              <w:bottom w:val="single" w:color="auto" w:sz="4" w:space="0"/>
              <w:right w:val="single" w:color="auto" w:sz="4" w:space="0"/>
            </w:tcBorders>
            <w:shd w:val="clear" w:color="auto" w:fill="auto"/>
            <w:noWrap/>
            <w:vAlign w:val="center"/>
          </w:tcPr>
          <w:p>
            <w:pPr>
              <w:widowControl/>
              <w:snapToGrid w:val="0"/>
              <w:spacing w:line="240" w:lineRule="auto"/>
              <w:ind w:left="17" w:right="17" w:firstLine="6" w:firstLineChars="3"/>
              <w:jc w:val="center"/>
              <w:rPr>
                <w:rFonts w:ascii="Arial Narrow" w:hAnsi="宋体" w:cs="宋体"/>
                <w:color w:val="000000"/>
                <w:kern w:val="0"/>
                <w:sz w:val="21"/>
                <w:szCs w:val="32"/>
              </w:rPr>
            </w:pPr>
            <w:r>
              <w:rPr>
                <w:rFonts w:hint="eastAsia" w:ascii="Arial Narrow" w:hAnsi="宋体" w:cs="宋体"/>
                <w:color w:val="000000"/>
                <w:kern w:val="0"/>
                <w:sz w:val="21"/>
                <w:szCs w:val="32"/>
              </w:rPr>
              <w:t>效益指标</w:t>
            </w:r>
          </w:p>
        </w:tc>
        <w:tc>
          <w:tcPr>
            <w:tcW w:w="1392" w:type="dxa"/>
            <w:tcBorders>
              <w:top w:val="double" w:color="auto" w:sz="4" w:space="0"/>
              <w:left w:val="single" w:color="auto" w:sz="4" w:space="0"/>
              <w:bottom w:val="single" w:color="auto" w:sz="4" w:space="0"/>
            </w:tcBorders>
            <w:shd w:val="clear" w:color="auto" w:fill="auto"/>
            <w:noWrap/>
            <w:vAlign w:val="center"/>
          </w:tcPr>
          <w:p>
            <w:pPr>
              <w:widowControl/>
              <w:snapToGrid w:val="0"/>
              <w:spacing w:line="240" w:lineRule="auto"/>
              <w:ind w:left="17" w:right="17" w:firstLine="6" w:firstLineChars="3"/>
              <w:jc w:val="center"/>
              <w:rPr>
                <w:rFonts w:ascii="Arial Narrow" w:hAnsi="宋体" w:cs="宋体"/>
                <w:color w:val="000000"/>
                <w:kern w:val="0"/>
                <w:sz w:val="21"/>
                <w:szCs w:val="32"/>
              </w:rPr>
            </w:pPr>
            <w:r>
              <w:rPr>
                <w:rFonts w:hint="eastAsia" w:ascii="Arial Narrow" w:hAnsi="宋体" w:cs="宋体"/>
                <w:color w:val="000000"/>
                <w:kern w:val="0"/>
                <w:sz w:val="21"/>
                <w:szCs w:val="32"/>
              </w:rPr>
              <w:t>合计</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28" w:type="dxa"/>
            <w:bottom w:w="0" w:type="dxa"/>
            <w:right w:w="28" w:type="dxa"/>
          </w:tblCellMar>
        </w:tblPrEx>
        <w:trPr>
          <w:cantSplit/>
          <w:trHeight w:val="340" w:hRule="atLeast"/>
          <w:jc w:val="center"/>
        </w:trPr>
        <w:tc>
          <w:tcPr>
            <w:tcW w:w="1392" w:type="dxa"/>
            <w:tcBorders>
              <w:top w:val="single" w:color="auto" w:sz="4" w:space="0"/>
              <w:bottom w:val="single" w:color="auto" w:sz="4" w:space="0"/>
              <w:right w:val="single" w:color="auto" w:sz="4" w:space="0"/>
            </w:tcBorders>
            <w:shd w:val="clear" w:color="auto" w:fill="auto"/>
            <w:noWrap/>
            <w:vAlign w:val="center"/>
          </w:tcPr>
          <w:p>
            <w:pPr>
              <w:widowControl/>
              <w:snapToGrid w:val="0"/>
              <w:spacing w:line="240" w:lineRule="auto"/>
              <w:ind w:left="17" w:right="17" w:firstLine="6" w:firstLineChars="3"/>
              <w:jc w:val="center"/>
              <w:rPr>
                <w:rFonts w:ascii="Arial Narrow" w:hAnsi="宋体" w:cs="宋体"/>
                <w:color w:val="000000"/>
                <w:kern w:val="0"/>
                <w:sz w:val="21"/>
                <w:szCs w:val="32"/>
              </w:rPr>
            </w:pPr>
            <w:r>
              <w:rPr>
                <w:rFonts w:hint="eastAsia" w:ascii="Arial Narrow" w:hAnsi="宋体" w:cs="宋体"/>
                <w:color w:val="000000"/>
                <w:kern w:val="0"/>
                <w:sz w:val="21"/>
                <w:szCs w:val="32"/>
              </w:rPr>
              <w:t>标准分</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360"/>
              <w:jc w:val="center"/>
              <w:textAlignment w:val="center"/>
              <w:rPr>
                <w:rFonts w:ascii="方正仿宋_GBK" w:hAnsi="方正仿宋_GBK" w:eastAsia="方正仿宋_GBK" w:cs="方正仿宋_GBK"/>
                <w:color w:val="000000"/>
                <w:kern w:val="0"/>
                <w:sz w:val="18"/>
                <w:szCs w:val="18"/>
                <w:lang w:bidi="ar"/>
              </w:rPr>
            </w:pPr>
            <w:r>
              <w:rPr>
                <w:rFonts w:hint="eastAsia" w:ascii="方正仿宋_GBK" w:hAnsi="方正仿宋_GBK" w:eastAsia="方正仿宋_GBK" w:cs="方正仿宋_GBK"/>
                <w:color w:val="000000"/>
                <w:kern w:val="0"/>
                <w:sz w:val="18"/>
                <w:szCs w:val="18"/>
                <w:lang w:bidi="ar"/>
              </w:rPr>
              <w:t>20.00</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360"/>
              <w:jc w:val="center"/>
              <w:textAlignment w:val="center"/>
              <w:rPr>
                <w:rFonts w:ascii="方正仿宋_GBK" w:hAnsi="方正仿宋_GBK" w:eastAsia="方正仿宋_GBK" w:cs="方正仿宋_GBK"/>
                <w:color w:val="000000"/>
                <w:kern w:val="0"/>
                <w:sz w:val="18"/>
                <w:szCs w:val="18"/>
                <w:lang w:bidi="ar"/>
              </w:rPr>
            </w:pPr>
            <w:r>
              <w:rPr>
                <w:rFonts w:hint="eastAsia" w:ascii="方正仿宋_GBK" w:hAnsi="方正仿宋_GBK" w:eastAsia="方正仿宋_GBK" w:cs="方正仿宋_GBK"/>
                <w:color w:val="000000"/>
                <w:kern w:val="0"/>
                <w:sz w:val="18"/>
                <w:szCs w:val="18"/>
                <w:lang w:bidi="ar"/>
              </w:rPr>
              <w:t>20.00</w:t>
            </w:r>
          </w:p>
        </w:tc>
        <w:tc>
          <w:tcPr>
            <w:tcW w:w="1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360"/>
              <w:jc w:val="center"/>
              <w:textAlignment w:val="center"/>
              <w:rPr>
                <w:rFonts w:ascii="方正仿宋_GBK" w:hAnsi="方正仿宋_GBK" w:eastAsia="方正仿宋_GBK" w:cs="方正仿宋_GBK"/>
                <w:color w:val="000000"/>
                <w:kern w:val="0"/>
                <w:sz w:val="18"/>
                <w:szCs w:val="18"/>
                <w:lang w:bidi="ar"/>
              </w:rPr>
            </w:pPr>
            <w:r>
              <w:rPr>
                <w:rFonts w:hint="eastAsia" w:ascii="方正仿宋_GBK" w:hAnsi="方正仿宋_GBK" w:eastAsia="方正仿宋_GBK" w:cs="方正仿宋_GBK"/>
                <w:color w:val="000000"/>
                <w:kern w:val="0"/>
                <w:sz w:val="18"/>
                <w:szCs w:val="18"/>
                <w:lang w:bidi="ar"/>
              </w:rPr>
              <w:t>30.00</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360"/>
              <w:jc w:val="center"/>
              <w:textAlignment w:val="center"/>
              <w:rPr>
                <w:rFonts w:ascii="方正仿宋_GBK" w:hAnsi="方正仿宋_GBK" w:eastAsia="方正仿宋_GBK" w:cs="方正仿宋_GBK"/>
                <w:color w:val="000000"/>
                <w:kern w:val="0"/>
                <w:sz w:val="18"/>
                <w:szCs w:val="18"/>
                <w:lang w:bidi="ar"/>
              </w:rPr>
            </w:pPr>
            <w:r>
              <w:rPr>
                <w:rFonts w:hint="eastAsia" w:ascii="方正仿宋_GBK" w:hAnsi="方正仿宋_GBK" w:eastAsia="方正仿宋_GBK" w:cs="方正仿宋_GBK"/>
                <w:color w:val="000000"/>
                <w:kern w:val="0"/>
                <w:sz w:val="18"/>
                <w:szCs w:val="18"/>
                <w:lang w:bidi="ar"/>
              </w:rPr>
              <w:t>30.00</w:t>
            </w:r>
          </w:p>
        </w:tc>
        <w:tc>
          <w:tcPr>
            <w:tcW w:w="1392" w:type="dxa"/>
            <w:tcBorders>
              <w:top w:val="single" w:color="auto" w:sz="4" w:space="0"/>
              <w:left w:val="single" w:color="auto" w:sz="4" w:space="0"/>
              <w:bottom w:val="single" w:color="auto" w:sz="4" w:space="0"/>
            </w:tcBorders>
            <w:shd w:val="clear" w:color="auto" w:fill="auto"/>
            <w:noWrap/>
            <w:vAlign w:val="center"/>
          </w:tcPr>
          <w:p>
            <w:pPr>
              <w:widowControl/>
              <w:spacing w:line="240" w:lineRule="auto"/>
              <w:ind w:firstLine="360"/>
              <w:jc w:val="center"/>
              <w:textAlignment w:val="center"/>
              <w:rPr>
                <w:rFonts w:ascii="方正仿宋_GBK" w:hAnsi="方正仿宋_GBK" w:eastAsia="方正仿宋_GBK" w:cs="方正仿宋_GBK"/>
                <w:color w:val="000000"/>
                <w:kern w:val="0"/>
                <w:sz w:val="18"/>
                <w:szCs w:val="18"/>
                <w:lang w:bidi="ar"/>
              </w:rPr>
            </w:pPr>
            <w:r>
              <w:rPr>
                <w:rFonts w:hint="eastAsia" w:ascii="方正仿宋_GBK" w:hAnsi="方正仿宋_GBK" w:eastAsia="方正仿宋_GBK" w:cs="方正仿宋_GBK"/>
                <w:color w:val="000000"/>
                <w:kern w:val="0"/>
                <w:sz w:val="18"/>
                <w:szCs w:val="18"/>
                <w:lang w:bidi="ar"/>
              </w:rPr>
              <w:t>100.00</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28" w:type="dxa"/>
            <w:bottom w:w="0" w:type="dxa"/>
            <w:right w:w="28" w:type="dxa"/>
          </w:tblCellMar>
        </w:tblPrEx>
        <w:trPr>
          <w:cantSplit/>
          <w:trHeight w:val="340" w:hRule="atLeast"/>
          <w:jc w:val="center"/>
        </w:trPr>
        <w:tc>
          <w:tcPr>
            <w:tcW w:w="1392" w:type="dxa"/>
            <w:tcBorders>
              <w:top w:val="single" w:color="auto" w:sz="4" w:space="0"/>
              <w:bottom w:val="double" w:color="auto" w:sz="4" w:space="0"/>
              <w:right w:val="single" w:color="auto" w:sz="4" w:space="0"/>
            </w:tcBorders>
            <w:shd w:val="clear" w:color="auto" w:fill="auto"/>
            <w:noWrap/>
            <w:vAlign w:val="center"/>
          </w:tcPr>
          <w:p>
            <w:pPr>
              <w:widowControl/>
              <w:snapToGrid w:val="0"/>
              <w:spacing w:line="240" w:lineRule="auto"/>
              <w:ind w:left="17" w:right="17" w:firstLine="6" w:firstLineChars="3"/>
              <w:jc w:val="center"/>
              <w:rPr>
                <w:rFonts w:ascii="Arial Narrow" w:hAnsi="宋体" w:cs="宋体"/>
                <w:color w:val="000000"/>
                <w:kern w:val="0"/>
                <w:sz w:val="21"/>
                <w:szCs w:val="32"/>
              </w:rPr>
            </w:pPr>
            <w:r>
              <w:rPr>
                <w:rFonts w:hint="eastAsia" w:ascii="Arial Narrow" w:hAnsi="宋体" w:cs="宋体"/>
                <w:color w:val="000000"/>
                <w:kern w:val="0"/>
                <w:sz w:val="21"/>
                <w:szCs w:val="32"/>
              </w:rPr>
              <w:t>得分</w:t>
            </w:r>
          </w:p>
        </w:tc>
        <w:tc>
          <w:tcPr>
            <w:tcW w:w="1395" w:type="dxa"/>
            <w:tcBorders>
              <w:top w:val="single" w:color="auto" w:sz="4" w:space="0"/>
              <w:left w:val="single" w:color="auto" w:sz="4" w:space="0"/>
              <w:bottom w:val="double" w:color="auto" w:sz="4" w:space="0"/>
              <w:right w:val="single" w:color="auto" w:sz="4" w:space="0"/>
            </w:tcBorders>
            <w:shd w:val="clear" w:color="auto" w:fill="auto"/>
            <w:noWrap/>
            <w:vAlign w:val="center"/>
          </w:tcPr>
          <w:p>
            <w:pPr>
              <w:widowControl/>
              <w:spacing w:line="240" w:lineRule="auto"/>
              <w:ind w:firstLine="360"/>
              <w:jc w:val="center"/>
              <w:textAlignment w:val="center"/>
              <w:rPr>
                <w:rFonts w:ascii="方正仿宋_GBK" w:hAnsi="方正仿宋_GBK" w:eastAsia="方正仿宋_GBK" w:cs="方正仿宋_GBK"/>
                <w:color w:val="000000"/>
                <w:kern w:val="0"/>
                <w:sz w:val="18"/>
                <w:szCs w:val="18"/>
                <w:lang w:bidi="ar"/>
              </w:rPr>
            </w:pPr>
            <w:r>
              <w:rPr>
                <w:rFonts w:hint="eastAsia" w:ascii="方正仿宋_GBK" w:hAnsi="方正仿宋_GBK" w:eastAsia="方正仿宋_GBK" w:cs="方正仿宋_GBK"/>
                <w:color w:val="000000"/>
                <w:kern w:val="0"/>
                <w:sz w:val="18"/>
                <w:szCs w:val="18"/>
                <w:lang w:bidi="ar"/>
              </w:rPr>
              <w:t>14.06</w:t>
            </w:r>
          </w:p>
        </w:tc>
        <w:tc>
          <w:tcPr>
            <w:tcW w:w="1395" w:type="dxa"/>
            <w:tcBorders>
              <w:top w:val="single" w:color="auto" w:sz="4" w:space="0"/>
              <w:left w:val="single" w:color="auto" w:sz="4" w:space="0"/>
              <w:bottom w:val="double" w:color="auto" w:sz="4" w:space="0"/>
              <w:right w:val="single" w:color="auto" w:sz="4" w:space="0"/>
            </w:tcBorders>
            <w:shd w:val="clear" w:color="auto" w:fill="auto"/>
            <w:noWrap/>
            <w:vAlign w:val="center"/>
          </w:tcPr>
          <w:p>
            <w:pPr>
              <w:widowControl/>
              <w:spacing w:line="240" w:lineRule="auto"/>
              <w:ind w:firstLine="360"/>
              <w:jc w:val="center"/>
              <w:textAlignment w:val="center"/>
              <w:rPr>
                <w:rFonts w:ascii="方正仿宋_GBK" w:hAnsi="方正仿宋_GBK" w:eastAsia="方正仿宋_GBK" w:cs="方正仿宋_GBK"/>
                <w:color w:val="000000"/>
                <w:kern w:val="0"/>
                <w:sz w:val="18"/>
                <w:szCs w:val="18"/>
                <w:lang w:bidi="ar"/>
              </w:rPr>
            </w:pPr>
            <w:r>
              <w:rPr>
                <w:rFonts w:hint="eastAsia" w:ascii="方正仿宋_GBK" w:hAnsi="方正仿宋_GBK" w:eastAsia="方正仿宋_GBK" w:cs="方正仿宋_GBK"/>
                <w:color w:val="000000"/>
                <w:kern w:val="0"/>
                <w:sz w:val="18"/>
                <w:szCs w:val="18"/>
                <w:lang w:bidi="ar"/>
              </w:rPr>
              <w:t>19.30</w:t>
            </w:r>
          </w:p>
        </w:tc>
        <w:tc>
          <w:tcPr>
            <w:tcW w:w="1393" w:type="dxa"/>
            <w:tcBorders>
              <w:top w:val="single" w:color="auto" w:sz="4" w:space="0"/>
              <w:left w:val="single" w:color="auto" w:sz="4" w:space="0"/>
              <w:bottom w:val="double" w:color="auto" w:sz="4" w:space="0"/>
              <w:right w:val="single" w:color="auto" w:sz="4" w:space="0"/>
            </w:tcBorders>
            <w:shd w:val="clear" w:color="auto" w:fill="auto"/>
            <w:noWrap/>
            <w:vAlign w:val="center"/>
          </w:tcPr>
          <w:p>
            <w:pPr>
              <w:widowControl/>
              <w:spacing w:line="240" w:lineRule="auto"/>
              <w:ind w:firstLine="360"/>
              <w:jc w:val="center"/>
              <w:textAlignment w:val="center"/>
              <w:rPr>
                <w:rFonts w:hint="eastAsia" w:ascii="方正仿宋_GBK" w:hAnsi="方正仿宋_GBK" w:eastAsia="方正仿宋_GBK" w:cs="方正仿宋_GBK"/>
                <w:color w:val="000000"/>
                <w:kern w:val="0"/>
                <w:sz w:val="18"/>
                <w:szCs w:val="18"/>
                <w:lang w:bidi="ar"/>
              </w:rPr>
            </w:pPr>
            <w:r>
              <w:rPr>
                <w:rFonts w:hint="eastAsia" w:ascii="方正仿宋_GBK" w:hAnsi="方正仿宋_GBK" w:eastAsia="方正仿宋_GBK" w:cs="方正仿宋_GBK"/>
                <w:color w:val="000000"/>
                <w:kern w:val="0"/>
                <w:sz w:val="18"/>
                <w:szCs w:val="18"/>
                <w:lang w:bidi="ar"/>
              </w:rPr>
              <w:t>24.25</w:t>
            </w:r>
          </w:p>
        </w:tc>
        <w:tc>
          <w:tcPr>
            <w:tcW w:w="1395" w:type="dxa"/>
            <w:tcBorders>
              <w:top w:val="single" w:color="auto" w:sz="4" w:space="0"/>
              <w:left w:val="single" w:color="auto" w:sz="4" w:space="0"/>
              <w:bottom w:val="double" w:color="auto" w:sz="4" w:space="0"/>
              <w:right w:val="single" w:color="auto" w:sz="4" w:space="0"/>
            </w:tcBorders>
            <w:shd w:val="clear" w:color="auto" w:fill="auto"/>
            <w:noWrap/>
            <w:vAlign w:val="center"/>
          </w:tcPr>
          <w:p>
            <w:pPr>
              <w:widowControl/>
              <w:spacing w:line="240" w:lineRule="auto"/>
              <w:ind w:firstLine="360"/>
              <w:jc w:val="center"/>
              <w:textAlignment w:val="center"/>
              <w:rPr>
                <w:rFonts w:ascii="方正仿宋_GBK" w:hAnsi="方正仿宋_GBK" w:eastAsia="方正仿宋_GBK" w:cs="方正仿宋_GBK"/>
                <w:color w:val="000000"/>
                <w:kern w:val="0"/>
                <w:sz w:val="18"/>
                <w:szCs w:val="18"/>
                <w:lang w:bidi="ar"/>
              </w:rPr>
            </w:pPr>
            <w:r>
              <w:rPr>
                <w:rFonts w:hint="eastAsia" w:ascii="方正仿宋_GBK" w:hAnsi="方正仿宋_GBK" w:eastAsia="方正仿宋_GBK" w:cs="方正仿宋_GBK"/>
                <w:color w:val="000000"/>
                <w:kern w:val="0"/>
                <w:sz w:val="18"/>
                <w:szCs w:val="18"/>
                <w:lang w:bidi="ar"/>
              </w:rPr>
              <w:t>29.77</w:t>
            </w:r>
          </w:p>
        </w:tc>
        <w:tc>
          <w:tcPr>
            <w:tcW w:w="1392" w:type="dxa"/>
            <w:tcBorders>
              <w:top w:val="single" w:color="auto" w:sz="4" w:space="0"/>
              <w:left w:val="single" w:color="auto" w:sz="4" w:space="0"/>
              <w:bottom w:val="double" w:color="auto" w:sz="4" w:space="0"/>
            </w:tcBorders>
            <w:shd w:val="clear" w:color="auto" w:fill="auto"/>
            <w:noWrap/>
            <w:vAlign w:val="center"/>
          </w:tcPr>
          <w:p>
            <w:pPr>
              <w:widowControl/>
              <w:spacing w:line="240" w:lineRule="auto"/>
              <w:ind w:firstLine="360"/>
              <w:jc w:val="center"/>
              <w:textAlignment w:val="center"/>
              <w:rPr>
                <w:rFonts w:hint="eastAsia" w:ascii="方正仿宋_GBK" w:hAnsi="方正仿宋_GBK" w:eastAsia="方正仿宋_GBK" w:cs="方正仿宋_GBK"/>
                <w:color w:val="000000"/>
                <w:kern w:val="0"/>
                <w:sz w:val="18"/>
                <w:szCs w:val="18"/>
                <w:lang w:bidi="ar"/>
              </w:rPr>
            </w:pPr>
            <w:r>
              <w:rPr>
                <w:rFonts w:hint="eastAsia" w:ascii="方正仿宋_GBK" w:hAnsi="方正仿宋_GBK" w:eastAsia="方正仿宋_GBK" w:cs="方正仿宋_GBK"/>
                <w:color w:val="000000"/>
                <w:kern w:val="0"/>
                <w:sz w:val="18"/>
                <w:szCs w:val="18"/>
                <w:lang w:bidi="ar"/>
              </w:rPr>
              <w:t>87.38</w:t>
            </w:r>
          </w:p>
        </w:tc>
      </w:tr>
    </w:tbl>
    <w:p>
      <w:pPr>
        <w:snapToGrid w:val="0"/>
        <w:spacing w:line="560" w:lineRule="atLeast"/>
        <w:ind w:firstLine="560"/>
        <w:rPr>
          <w:rFonts w:ascii="宋体" w:hAnsi="宋体"/>
          <w:szCs w:val="28"/>
        </w:rPr>
      </w:pPr>
      <w:r>
        <w:rPr>
          <w:rFonts w:hint="eastAsia" w:ascii="宋体" w:hAnsi="宋体"/>
          <w:szCs w:val="28"/>
        </w:rPr>
        <w:t>注：详见重庆市铜梁区场镇基础设施功能补短板建设项目绩效评价指标表。</w:t>
      </w:r>
    </w:p>
    <w:p>
      <w:pPr>
        <w:pStyle w:val="25"/>
        <w:snapToGrid w:val="0"/>
        <w:spacing w:line="560" w:lineRule="exact"/>
        <w:ind w:left="562" w:firstLine="0" w:firstLineChars="0"/>
        <w:outlineLvl w:val="0"/>
        <w:rPr>
          <w:rFonts w:ascii="宋体" w:hAnsi="宋体"/>
          <w:b/>
          <w:szCs w:val="28"/>
        </w:rPr>
      </w:pPr>
      <w:r>
        <w:rPr>
          <w:rFonts w:hint="eastAsia" w:ascii="宋体" w:hAnsi="宋体"/>
          <w:b/>
          <w:szCs w:val="28"/>
          <w:lang w:val="en-US" w:eastAsia="zh-CN"/>
        </w:rPr>
        <w:t>五</w:t>
      </w:r>
      <w:r>
        <w:rPr>
          <w:rFonts w:ascii="宋体" w:hAnsi="宋体"/>
          <w:b/>
          <w:szCs w:val="28"/>
        </w:rPr>
        <w:t>、</w:t>
      </w:r>
      <w:r>
        <w:rPr>
          <w:rFonts w:hint="eastAsia" w:ascii="宋体" w:hAnsi="宋体"/>
          <w:b/>
          <w:szCs w:val="28"/>
        </w:rPr>
        <w:t>存在的主要问题及建议</w:t>
      </w:r>
    </w:p>
    <w:p>
      <w:pPr>
        <w:spacing w:line="240" w:lineRule="auto"/>
        <w:ind w:firstLine="560" w:firstLineChars="0"/>
        <w:rPr>
          <w:rFonts w:ascii="宋体" w:hAnsi="宋体"/>
          <w:szCs w:val="28"/>
        </w:rPr>
      </w:pPr>
      <w:r>
        <w:rPr>
          <w:rFonts w:hint="eastAsia" w:ascii="宋体" w:hAnsi="宋体"/>
          <w:szCs w:val="28"/>
        </w:rPr>
        <w:t>1、绩效指标设置不全面，个别指标不可衡量。区住房城乡建委提供的铜梁区场镇基础设施功能补短板建设项目《绩效自评表》中产出指标设置不全面，仅有2个数量类指标，无时效、质量、成本指标。效果指标中“补齐场镇功能短板，提升场镇整体形象”指标不可衡量。</w:t>
      </w:r>
    </w:p>
    <w:p>
      <w:pPr>
        <w:spacing w:line="240" w:lineRule="auto"/>
        <w:ind w:firstLine="560" w:firstLineChars="0"/>
        <w:rPr>
          <w:rFonts w:ascii="宋体" w:hAnsi="宋体"/>
          <w:szCs w:val="28"/>
        </w:rPr>
      </w:pPr>
      <w:r>
        <w:rPr>
          <w:rFonts w:hint="eastAsia" w:ascii="宋体" w:hAnsi="宋体"/>
          <w:szCs w:val="28"/>
        </w:rPr>
        <w:t>建议按照《铜梁区区级政策和项目预算绩效管理办法》的要求，设置反映项目产出和效果的绩效指标。其中:产出指标包括数量、质量、时效、成本等四类，应至少设置两类;效果指标包括经济效益、社会效益、生态效益、可持续影响、服务对象满意度等五类，应至少设置两类。设置的指标第三方可衡量。</w:t>
      </w:r>
    </w:p>
    <w:p>
      <w:pPr>
        <w:spacing w:line="240" w:lineRule="auto"/>
        <w:ind w:firstLine="560" w:firstLineChars="0"/>
        <w:rPr>
          <w:rFonts w:ascii="宋体" w:hAnsi="宋体"/>
          <w:szCs w:val="28"/>
        </w:rPr>
      </w:pPr>
      <w:r>
        <w:rPr>
          <w:rFonts w:hint="eastAsia" w:ascii="宋体" w:hAnsi="宋体"/>
          <w:szCs w:val="28"/>
        </w:rPr>
        <w:t>2、项目立项程序不规范。部分项目未事前编制项目评估资料，如项目建议书。部分项目未取得立项批复、概算批复或预算评审报告，也无事前上会的集体决策。涉及项目35个，其中南城街道1个、旧县街道8个、白羊镇1个、太平镇2个、巴川街道2个、少云镇4个、永嘉镇7个、西河镇9个、庆隆镇1个。</w:t>
      </w:r>
    </w:p>
    <w:p>
      <w:pPr>
        <w:spacing w:line="240" w:lineRule="auto"/>
        <w:ind w:firstLine="560" w:firstLineChars="0"/>
        <w:rPr>
          <w:rFonts w:ascii="宋体" w:hAnsi="宋体"/>
          <w:szCs w:val="28"/>
        </w:rPr>
      </w:pPr>
      <w:r>
        <w:rPr>
          <w:rFonts w:hint="eastAsia" w:ascii="宋体" w:hAnsi="宋体"/>
          <w:szCs w:val="28"/>
        </w:rPr>
        <w:t>建议规范项目立项程序。项目设立前编制项目建议书，为立项决策提供充分的依据，同时按相关规定提交立项材料，取得立项审批。</w:t>
      </w:r>
    </w:p>
    <w:p>
      <w:pPr>
        <w:spacing w:line="240" w:lineRule="auto"/>
        <w:ind w:firstLine="560" w:firstLineChars="0"/>
        <w:rPr>
          <w:rFonts w:ascii="宋体" w:hAnsi="宋体"/>
          <w:szCs w:val="28"/>
        </w:rPr>
      </w:pPr>
      <w:r>
        <w:rPr>
          <w:rFonts w:hint="eastAsia" w:ascii="宋体" w:hAnsi="宋体"/>
          <w:szCs w:val="28"/>
        </w:rPr>
        <w:t>3、业务制度不健全。5个镇街未按自身实际情况细化并制定相关业务管理制度，分别为：围龙镇、石鱼镇、永嘉镇、维新镇、安溪镇。</w:t>
      </w:r>
    </w:p>
    <w:p>
      <w:pPr>
        <w:spacing w:line="240" w:lineRule="auto"/>
        <w:ind w:firstLine="560" w:firstLineChars="0"/>
        <w:rPr>
          <w:rFonts w:ascii="宋体" w:hAnsi="宋体"/>
          <w:szCs w:val="28"/>
        </w:rPr>
      </w:pPr>
      <w:r>
        <w:rPr>
          <w:rFonts w:hint="eastAsia" w:ascii="宋体" w:hAnsi="宋体"/>
          <w:szCs w:val="28"/>
        </w:rPr>
        <w:t>建议全面梳理工程项目工作环节，在市级和区级管理制度框架下，制定符合自身实际情况的工程项目管理制度，以加强项目管理，确保建设项目活动合法合规地开展。</w:t>
      </w:r>
    </w:p>
    <w:p>
      <w:pPr>
        <w:spacing w:line="240" w:lineRule="auto"/>
        <w:ind w:firstLine="560" w:firstLineChars="0"/>
        <w:rPr>
          <w:rFonts w:ascii="宋体" w:hAnsi="宋体"/>
          <w:szCs w:val="28"/>
        </w:rPr>
      </w:pPr>
      <w:r>
        <w:rPr>
          <w:rFonts w:hint="eastAsia" w:ascii="宋体" w:hAnsi="宋体"/>
          <w:szCs w:val="28"/>
        </w:rPr>
        <w:t>4、工程开工建设</w:t>
      </w:r>
      <w:r>
        <w:rPr>
          <w:rFonts w:hint="eastAsia" w:ascii="宋体" w:hAnsi="宋体"/>
          <w:szCs w:val="28"/>
          <w:lang w:eastAsia="zh-CN"/>
        </w:rPr>
        <w:t>前</w:t>
      </w:r>
      <w:r>
        <w:rPr>
          <w:rFonts w:hint="eastAsia" w:ascii="宋体" w:hAnsi="宋体"/>
          <w:szCs w:val="28"/>
        </w:rPr>
        <w:t>未取得施工许可证。南城街道西环路片区门面店招店牌整治工程、南城街道西环路片区人行道整治工程由于文件资料未准备齐全，项目于完工并经质量鉴定合格后才向区政府申请补办施工许可证。</w:t>
      </w:r>
    </w:p>
    <w:p>
      <w:pPr>
        <w:spacing w:line="240" w:lineRule="auto"/>
        <w:ind w:firstLine="560" w:firstLineChars="0"/>
        <w:rPr>
          <w:rFonts w:ascii="宋体" w:hAnsi="宋体"/>
          <w:szCs w:val="28"/>
        </w:rPr>
      </w:pPr>
      <w:r>
        <w:rPr>
          <w:rFonts w:hint="eastAsia" w:ascii="宋体" w:hAnsi="宋体"/>
          <w:szCs w:val="28"/>
        </w:rPr>
        <w:t>建议加大前期准备工作力度，加强各方协调沟通，及时办理施工许可证，确保工程建设的合规性。</w:t>
      </w:r>
    </w:p>
    <w:p>
      <w:pPr>
        <w:spacing w:line="240" w:lineRule="auto"/>
        <w:ind w:firstLine="560" w:firstLineChars="0"/>
        <w:rPr>
          <w:rFonts w:ascii="宋体" w:hAnsi="宋体"/>
          <w:szCs w:val="28"/>
        </w:rPr>
      </w:pPr>
      <w:r>
        <w:rPr>
          <w:rFonts w:hint="eastAsia" w:ascii="宋体" w:hAnsi="宋体"/>
          <w:szCs w:val="28"/>
        </w:rPr>
        <w:t>5、弱电改迁工程签订的线路迁改协议均无质保金条款，涉及南城街道、旧县街道、二坪镇、白羊镇、巴川街道、虎峰镇、少云镇。</w:t>
      </w:r>
    </w:p>
    <w:p>
      <w:pPr>
        <w:spacing w:line="240" w:lineRule="auto"/>
        <w:ind w:firstLine="560" w:firstLineChars="0"/>
        <w:rPr>
          <w:rFonts w:ascii="宋体" w:hAnsi="宋体"/>
          <w:szCs w:val="28"/>
        </w:rPr>
      </w:pPr>
      <w:r>
        <w:rPr>
          <w:rFonts w:hint="eastAsia" w:ascii="宋体" w:hAnsi="宋体"/>
          <w:szCs w:val="28"/>
        </w:rPr>
        <w:t xml:space="preserve">建议合同拟定质保金条款，降低自身风险，确保项目完工质量。 </w:t>
      </w:r>
    </w:p>
    <w:p>
      <w:pPr>
        <w:spacing w:line="240" w:lineRule="auto"/>
        <w:ind w:firstLine="560" w:firstLineChars="0"/>
        <w:rPr>
          <w:rFonts w:ascii="宋体" w:hAnsi="宋体"/>
          <w:szCs w:val="28"/>
        </w:rPr>
      </w:pPr>
      <w:r>
        <w:rPr>
          <w:rFonts w:hint="eastAsia" w:ascii="宋体" w:hAnsi="宋体"/>
          <w:szCs w:val="28"/>
        </w:rPr>
        <w:t>6、合同签订不及时，重要条款未作明确约定。旧县街道场镇功能补短板建设项目未在中标通知书规定期间内签订施工合同；旧县街道城区人居环境综合整治项目施工合同约定按3%预留质保金，但未规定缺陷责任期。</w:t>
      </w:r>
    </w:p>
    <w:p>
      <w:pPr>
        <w:spacing w:line="240" w:lineRule="auto"/>
        <w:ind w:firstLine="560" w:firstLineChars="0"/>
        <w:rPr>
          <w:rFonts w:ascii="宋体" w:hAnsi="宋体"/>
          <w:szCs w:val="28"/>
        </w:rPr>
      </w:pPr>
      <w:r>
        <w:rPr>
          <w:rFonts w:hint="eastAsia" w:ascii="宋体" w:hAnsi="宋体"/>
          <w:szCs w:val="28"/>
        </w:rPr>
        <w:t>建议加强合同管理，严格审核合同条款，明确合同双方各自义务，避免因合同约定不明出现的争议，降低自身风险，确保项目完工质量。</w:t>
      </w:r>
    </w:p>
    <w:p>
      <w:pPr>
        <w:spacing w:line="240" w:lineRule="auto"/>
        <w:ind w:firstLine="560" w:firstLineChars="0"/>
        <w:rPr>
          <w:rFonts w:ascii="宋体" w:hAnsi="宋体"/>
          <w:szCs w:val="28"/>
        </w:rPr>
      </w:pPr>
      <w:r>
        <w:rPr>
          <w:rFonts w:hint="eastAsia" w:ascii="宋体" w:hAnsi="宋体"/>
          <w:szCs w:val="28"/>
        </w:rPr>
        <w:t>7、未编制项目预算以及预算编制不准确。西河镇人居环境整治（弱电下地土建部分)项目、西河镇人居环境整治(弱电下地线路驳接部分）项目无财政预算审核报告，不利于项目成本控制。福果镇菜市场建设项目由于预算编制时出现漏项导致工程结算金额超出预算金额39.15742万元。</w:t>
      </w:r>
    </w:p>
    <w:p>
      <w:pPr>
        <w:spacing w:line="240" w:lineRule="auto"/>
        <w:ind w:firstLine="560" w:firstLineChars="0"/>
        <w:rPr>
          <w:rFonts w:ascii="宋体" w:hAnsi="宋体"/>
          <w:szCs w:val="28"/>
        </w:rPr>
      </w:pPr>
      <w:r>
        <w:rPr>
          <w:rFonts w:hint="eastAsia" w:ascii="宋体" w:hAnsi="宋体"/>
          <w:szCs w:val="28"/>
        </w:rPr>
        <w:t>建议加强项目预算编制工作，增加预算编制精确度，更好</w:t>
      </w:r>
      <w:r>
        <w:rPr>
          <w:rFonts w:hint="eastAsia" w:ascii="宋体" w:hAnsi="宋体"/>
          <w:szCs w:val="28"/>
          <w:lang w:eastAsia="zh-CN"/>
        </w:rPr>
        <w:t>地</w:t>
      </w:r>
      <w:r>
        <w:rPr>
          <w:rFonts w:hint="eastAsia" w:ascii="宋体" w:hAnsi="宋体"/>
          <w:szCs w:val="28"/>
        </w:rPr>
        <w:t>发挥预算在成本控制中的指导作用。</w:t>
      </w:r>
    </w:p>
    <w:p>
      <w:pPr>
        <w:spacing w:line="240" w:lineRule="auto"/>
        <w:ind w:firstLine="560" w:firstLineChars="0"/>
        <w:rPr>
          <w:rFonts w:ascii="宋体" w:hAnsi="宋体"/>
          <w:szCs w:val="28"/>
        </w:rPr>
      </w:pPr>
      <w:r>
        <w:rPr>
          <w:rFonts w:hint="eastAsia" w:ascii="宋体" w:hAnsi="宋体"/>
          <w:szCs w:val="28"/>
        </w:rPr>
        <w:t>8、项目未聘请监理单位，缺少质量控制措施。涉及巴川街道西环路片区燃气管道及气表迁改工程、少云镇海棠路和新正街弱电改造项目、少云镇海棠街和东市街弱电改造项目、少云镇海棠路屋顶隐患整治工程项目、少云镇新正街屋顶隐患整治工程项目、少云镇场镇水电气隐患整治规范化项目、高楼镇场镇补短板龙源社区人居环境整治项目。</w:t>
      </w:r>
    </w:p>
    <w:p>
      <w:pPr>
        <w:spacing w:line="240" w:lineRule="auto"/>
        <w:ind w:firstLine="560" w:firstLineChars="0"/>
        <w:rPr>
          <w:rFonts w:ascii="宋体" w:hAnsi="宋体"/>
          <w:szCs w:val="28"/>
        </w:rPr>
      </w:pPr>
      <w:r>
        <w:rPr>
          <w:rFonts w:hint="eastAsia" w:ascii="宋体" w:hAnsi="宋体"/>
          <w:szCs w:val="28"/>
        </w:rPr>
        <w:t>建议切实落实项目监理制，做好项目施工过程监督，确保项目质量。</w:t>
      </w:r>
    </w:p>
    <w:p>
      <w:pPr>
        <w:spacing w:line="240" w:lineRule="auto"/>
        <w:ind w:firstLine="560" w:firstLineChars="0"/>
        <w:rPr>
          <w:rFonts w:ascii="宋体" w:hAnsi="宋体"/>
          <w:szCs w:val="28"/>
        </w:rPr>
      </w:pPr>
      <w:r>
        <w:rPr>
          <w:rFonts w:hint="eastAsia" w:ascii="宋体" w:hAnsi="宋体"/>
          <w:szCs w:val="28"/>
        </w:rPr>
        <w:t>9、项目验收不规范，竣工验收报告缺少参建方签字或盖章。涉及旧县街道场镇功能补短板建设项目、旧县街道场镇补短板旧岚路段综合整治项目、福果镇福兴路人居环境整治项目。</w:t>
      </w:r>
    </w:p>
    <w:p>
      <w:pPr>
        <w:spacing w:line="240" w:lineRule="auto"/>
        <w:ind w:firstLine="560" w:firstLineChars="0"/>
        <w:rPr>
          <w:rFonts w:ascii="宋体" w:hAnsi="宋体"/>
          <w:szCs w:val="28"/>
        </w:rPr>
      </w:pPr>
      <w:r>
        <w:rPr>
          <w:rFonts w:hint="eastAsia" w:ascii="宋体" w:hAnsi="宋体"/>
          <w:szCs w:val="28"/>
        </w:rPr>
        <w:t>建议项目完工后由各参建单位组成验收小组共同对项目建设内容和建设质量进行验收并签字盖章，以明确各参建单位合同履约义务的完成情况。</w:t>
      </w:r>
    </w:p>
    <w:p>
      <w:pPr>
        <w:spacing w:line="240" w:lineRule="auto"/>
        <w:ind w:firstLine="560" w:firstLineChars="0"/>
        <w:rPr>
          <w:rFonts w:ascii="宋体" w:hAnsi="宋体"/>
          <w:szCs w:val="28"/>
        </w:rPr>
      </w:pPr>
      <w:r>
        <w:rPr>
          <w:rFonts w:hint="eastAsia" w:ascii="宋体" w:hAnsi="宋体"/>
          <w:szCs w:val="28"/>
        </w:rPr>
        <w:t>10、工程款支付审批不严，工程付款申请表无监理单位审核盖章。涉及白羊镇场镇环境综合整治项目、白羊镇场镇人行道整治项目。</w:t>
      </w:r>
    </w:p>
    <w:p>
      <w:pPr>
        <w:spacing w:line="240" w:lineRule="auto"/>
        <w:ind w:firstLine="560" w:firstLineChars="0"/>
        <w:rPr>
          <w:rFonts w:ascii="宋体" w:hAnsi="宋体"/>
          <w:szCs w:val="28"/>
        </w:rPr>
      </w:pPr>
      <w:r>
        <w:rPr>
          <w:rFonts w:hint="eastAsia" w:ascii="宋体" w:hAnsi="宋体"/>
          <w:szCs w:val="28"/>
        </w:rPr>
        <w:t>建议加强工程款支付审批工作，工程款支付申请先经监理单位审核，并加盖公章以示同意。</w:t>
      </w:r>
    </w:p>
    <w:p>
      <w:pPr>
        <w:spacing w:line="240" w:lineRule="auto"/>
        <w:ind w:firstLine="560" w:firstLineChars="0"/>
        <w:rPr>
          <w:rFonts w:ascii="宋体" w:hAnsi="宋体"/>
          <w:szCs w:val="28"/>
        </w:rPr>
      </w:pPr>
      <w:r>
        <w:rPr>
          <w:rFonts w:hint="eastAsia" w:ascii="宋体" w:hAnsi="宋体"/>
          <w:szCs w:val="28"/>
        </w:rPr>
        <w:t>11、项目实施进度控制有待加强。119个场镇建设项目中仅35个项目按照立项批复的计划建设时间完成，其余项目竣工时间均有不同程度上的延迟。</w:t>
      </w:r>
    </w:p>
    <w:p>
      <w:pPr>
        <w:spacing w:line="240" w:lineRule="auto"/>
        <w:ind w:firstLine="560" w:firstLineChars="0"/>
        <w:rPr>
          <w:rFonts w:ascii="宋体" w:hAnsi="宋体"/>
          <w:szCs w:val="28"/>
        </w:rPr>
      </w:pPr>
      <w:r>
        <w:rPr>
          <w:rFonts w:hint="eastAsia" w:ascii="宋体" w:hAnsi="宋体"/>
          <w:szCs w:val="28"/>
        </w:rPr>
        <w:t>建议做好前期项目调研，科学制定项目建设时间表，合理安排项目各环节工作进度，加强与施工单位的沟通，确保项目在任务时限内完成。</w:t>
      </w:r>
    </w:p>
    <w:p>
      <w:pPr>
        <w:spacing w:line="240" w:lineRule="auto"/>
        <w:ind w:firstLine="560" w:firstLineChars="0"/>
        <w:rPr>
          <w:rFonts w:ascii="宋体" w:hAnsi="宋体"/>
          <w:szCs w:val="28"/>
        </w:rPr>
      </w:pPr>
      <w:r>
        <w:rPr>
          <w:rFonts w:hint="eastAsia" w:ascii="宋体" w:hAnsi="宋体"/>
          <w:szCs w:val="28"/>
        </w:rPr>
        <w:t>12、项目实际成本超出预算。涉及少云镇原派出所旁停车场改造项目、西河镇撤并场人行道整治项目、维新镇集贸市场提质改造项目、高楼镇公共停车场建设项目</w:t>
      </w:r>
      <w:r>
        <w:rPr>
          <w:rFonts w:hint="eastAsia" w:ascii="宋体" w:hAnsi="宋体"/>
          <w:szCs w:val="28"/>
          <w:lang w:eastAsia="zh-CN"/>
        </w:rPr>
        <w:t>、高</w:t>
      </w:r>
      <w:r>
        <w:rPr>
          <w:rFonts w:hint="eastAsia" w:ascii="宋体" w:hAnsi="宋体"/>
          <w:szCs w:val="28"/>
        </w:rPr>
        <w:t>楼镇场镇补短板龙源社区人居环境整治项目、华兴镇场镇人居环境综合整治项目。</w:t>
      </w:r>
    </w:p>
    <w:p>
      <w:pPr>
        <w:spacing w:line="240" w:lineRule="auto"/>
        <w:ind w:firstLine="560" w:firstLineChars="0"/>
        <w:rPr>
          <w:rFonts w:ascii="宋体" w:hAnsi="宋体"/>
          <w:szCs w:val="28"/>
        </w:rPr>
      </w:pPr>
      <w:r>
        <w:rPr>
          <w:rFonts w:hint="eastAsia" w:ascii="宋体" w:hAnsi="宋体"/>
          <w:szCs w:val="28"/>
        </w:rPr>
        <w:t>建议合理进行工程设计，科学编制预算，以项目预算为指导，严格控制项目成本。</w:t>
      </w:r>
    </w:p>
    <w:p>
      <w:pPr>
        <w:spacing w:line="240" w:lineRule="auto"/>
        <w:ind w:firstLine="560" w:firstLineChars="0"/>
        <w:rPr>
          <w:rFonts w:ascii="宋体" w:hAnsi="宋体"/>
          <w:szCs w:val="28"/>
        </w:rPr>
      </w:pPr>
      <w:r>
        <w:rPr>
          <w:rFonts w:hint="eastAsia" w:ascii="宋体" w:hAnsi="宋体"/>
          <w:szCs w:val="28"/>
        </w:rPr>
        <w:t>13、项目设施未得到良好维护。旧县街道生态停车场建设项目出入口桅杆折断。</w:t>
      </w:r>
    </w:p>
    <w:p>
      <w:pPr>
        <w:spacing w:line="240" w:lineRule="auto"/>
        <w:ind w:firstLine="560" w:firstLineChars="0"/>
        <w:rPr>
          <w:rFonts w:ascii="宋体" w:hAnsi="宋体"/>
          <w:szCs w:val="28"/>
        </w:rPr>
      </w:pPr>
      <w:r>
        <w:rPr>
          <w:rFonts w:hint="eastAsia" w:ascii="宋体" w:hAnsi="宋体"/>
          <w:szCs w:val="28"/>
        </w:rPr>
        <w:t>建议落实项目设施维护责任，加强日常巡查维护，对损坏的设施及时修理，保证其正常运行。</w:t>
      </w:r>
    </w:p>
    <w:p>
      <w:pPr>
        <w:spacing w:line="240" w:lineRule="auto"/>
        <w:ind w:firstLine="560" w:firstLineChars="0"/>
        <w:rPr>
          <w:rFonts w:ascii="宋体" w:hAnsi="宋体"/>
          <w:szCs w:val="28"/>
        </w:rPr>
      </w:pPr>
      <w:r>
        <w:rPr>
          <w:rFonts w:hint="eastAsia" w:ascii="宋体" w:hAnsi="宋体"/>
          <w:szCs w:val="28"/>
        </w:rPr>
        <w:t>14、项目实施效果有待加强。福果镇菜市场建设项目建成后将菜市场承包给其他单位经营，承包方大幅提高了菜市场摊位费，增加了菜农的经营成本，降低菜农进驻菜市场经营的积极性。</w:t>
      </w:r>
    </w:p>
    <w:p>
      <w:pPr>
        <w:spacing w:line="240" w:lineRule="auto"/>
        <w:ind w:firstLine="560" w:firstLineChars="0"/>
        <w:rPr>
          <w:rFonts w:ascii="宋体" w:hAnsi="宋体"/>
          <w:szCs w:val="28"/>
        </w:rPr>
      </w:pPr>
      <w:r>
        <w:rPr>
          <w:rFonts w:hint="eastAsia" w:ascii="宋体" w:hAnsi="宋体"/>
          <w:szCs w:val="28"/>
        </w:rPr>
        <w:t>建议镇政府就菜市场摊位费与承包方进行协商，减轻菜农的经济负担，使本项目更好</w:t>
      </w:r>
      <w:r>
        <w:rPr>
          <w:rFonts w:hint="eastAsia" w:ascii="宋体" w:hAnsi="宋体"/>
          <w:szCs w:val="28"/>
          <w:lang w:eastAsia="zh-CN"/>
        </w:rPr>
        <w:t>地</w:t>
      </w:r>
      <w:r>
        <w:rPr>
          <w:rFonts w:hint="eastAsia" w:ascii="宋体" w:hAnsi="宋体"/>
          <w:szCs w:val="28"/>
        </w:rPr>
        <w:t>发挥惠民作用。</w:t>
      </w:r>
    </w:p>
    <w:p>
      <w:pPr>
        <w:snapToGrid w:val="0"/>
        <w:spacing w:line="560" w:lineRule="exact"/>
        <w:ind w:firstLine="562"/>
        <w:rPr>
          <w:rFonts w:ascii="宋体" w:hAnsi="宋体"/>
          <w:b/>
          <w:bCs/>
          <w:szCs w:val="28"/>
        </w:rPr>
      </w:pPr>
      <w:r>
        <w:rPr>
          <w:rFonts w:hint="eastAsia" w:ascii="宋体" w:hAnsi="宋体"/>
          <w:b/>
          <w:bCs/>
          <w:szCs w:val="28"/>
          <w:lang w:val="en-US" w:eastAsia="zh-CN"/>
        </w:rPr>
        <w:t>六</w:t>
      </w:r>
      <w:r>
        <w:rPr>
          <w:rFonts w:hint="eastAsia" w:ascii="宋体" w:hAnsi="宋体"/>
          <w:b/>
          <w:bCs/>
          <w:szCs w:val="28"/>
        </w:rPr>
        <w:t>、绩效评价报告的使用限制说明</w:t>
      </w:r>
    </w:p>
    <w:p>
      <w:pPr>
        <w:snapToGrid w:val="0"/>
        <w:spacing w:line="560" w:lineRule="exact"/>
        <w:ind w:firstLine="560"/>
        <w:rPr>
          <w:rFonts w:ascii="宋体" w:hAnsi="宋体"/>
          <w:szCs w:val="28"/>
        </w:rPr>
      </w:pPr>
      <w:r>
        <w:rPr>
          <w:rFonts w:hint="eastAsia" w:ascii="宋体" w:hAnsi="宋体"/>
          <w:szCs w:val="28"/>
        </w:rPr>
        <w:t>（一）绩效评价报告只能用于评价报告载明的评价目的；</w:t>
      </w:r>
    </w:p>
    <w:p>
      <w:pPr>
        <w:snapToGrid w:val="0"/>
        <w:spacing w:line="560" w:lineRule="exact"/>
        <w:ind w:firstLine="560"/>
        <w:rPr>
          <w:rFonts w:ascii="宋体" w:hAnsi="宋体"/>
          <w:szCs w:val="28"/>
        </w:rPr>
      </w:pPr>
      <w:r>
        <w:rPr>
          <w:rFonts w:hint="eastAsia" w:ascii="宋体" w:hAnsi="宋体"/>
          <w:szCs w:val="28"/>
        </w:rPr>
        <w:t>（二）绩效评价报告只能由评价报告载明的评价报告使用者使用；</w:t>
      </w:r>
    </w:p>
    <w:p>
      <w:pPr>
        <w:snapToGrid w:val="0"/>
        <w:spacing w:line="560" w:lineRule="exact"/>
        <w:ind w:firstLine="560"/>
        <w:rPr>
          <w:rFonts w:ascii="宋体" w:hAnsi="宋体"/>
          <w:szCs w:val="28"/>
        </w:rPr>
      </w:pPr>
      <w:r>
        <w:rPr>
          <w:rFonts w:hint="eastAsia" w:ascii="宋体" w:hAnsi="宋体"/>
          <w:szCs w:val="28"/>
        </w:rPr>
        <w:t>（三）未征得委托方、相关政府部门或出具绩效评价报告的机构同意，绩效评价报告的内容不得被摘抄、引用或披露于公开媒体，法律、法规规定及相关当事方另有约定的除外。</w:t>
      </w:r>
    </w:p>
    <w:p>
      <w:pPr>
        <w:snapToGrid w:val="0"/>
        <w:spacing w:line="560" w:lineRule="exact"/>
        <w:ind w:firstLine="560"/>
        <w:rPr>
          <w:rFonts w:ascii="宋体" w:hAnsi="宋体"/>
          <w:szCs w:val="28"/>
        </w:rPr>
      </w:pPr>
    </w:p>
    <w:p>
      <w:pPr>
        <w:snapToGrid w:val="0"/>
        <w:spacing w:line="560" w:lineRule="exact"/>
        <w:ind w:firstLine="560"/>
        <w:rPr>
          <w:rFonts w:ascii="宋体" w:hAnsi="宋体"/>
          <w:szCs w:val="28"/>
        </w:rPr>
      </w:pPr>
    </w:p>
    <w:p>
      <w:pPr>
        <w:snapToGrid w:val="0"/>
        <w:spacing w:line="560" w:lineRule="exact"/>
        <w:ind w:firstLine="560"/>
        <w:rPr>
          <w:rFonts w:ascii="宋体" w:hAnsi="宋体"/>
          <w:szCs w:val="28"/>
        </w:rPr>
      </w:pPr>
    </w:p>
    <w:p>
      <w:pPr>
        <w:snapToGrid w:val="0"/>
        <w:spacing w:line="560" w:lineRule="exact"/>
        <w:ind w:firstLine="560"/>
        <w:rPr>
          <w:rFonts w:ascii="宋体" w:hAnsi="宋体"/>
          <w:szCs w:val="28"/>
        </w:rPr>
      </w:pPr>
    </w:p>
    <w:p>
      <w:pPr>
        <w:snapToGrid w:val="0"/>
        <w:spacing w:line="560" w:lineRule="exact"/>
        <w:ind w:firstLine="560"/>
        <w:rPr>
          <w:rFonts w:ascii="宋体" w:hAnsi="宋体"/>
          <w:szCs w:val="28"/>
        </w:rPr>
      </w:pPr>
    </w:p>
    <w:p>
      <w:pPr>
        <w:snapToGrid w:val="0"/>
        <w:spacing w:line="560" w:lineRule="exact"/>
        <w:ind w:firstLine="560"/>
        <w:rPr>
          <w:rFonts w:ascii="宋体" w:hAnsi="宋体"/>
          <w:szCs w:val="28"/>
        </w:rPr>
      </w:pPr>
    </w:p>
    <w:p>
      <w:pPr>
        <w:snapToGrid w:val="0"/>
        <w:spacing w:line="560" w:lineRule="exact"/>
        <w:ind w:firstLine="560"/>
        <w:jc w:val="center"/>
        <w:rPr>
          <w:rFonts w:hint="default" w:ascii="宋体" w:hAnsi="宋体" w:eastAsia="宋体"/>
          <w:b/>
          <w:bCs/>
          <w:szCs w:val="28"/>
          <w:lang w:val="en-US" w:eastAsia="zh-CN"/>
        </w:rPr>
      </w:pPr>
      <w:r>
        <w:rPr>
          <w:rFonts w:hint="eastAsia" w:ascii="宋体" w:hAnsi="宋体"/>
          <w:b/>
          <w:bCs/>
          <w:szCs w:val="28"/>
          <w:lang w:eastAsia="zh-CN"/>
        </w:rPr>
        <w:t>（</w:t>
      </w:r>
      <w:r>
        <w:rPr>
          <w:rFonts w:hint="eastAsia" w:ascii="宋体" w:hAnsi="宋体"/>
          <w:b/>
          <w:bCs/>
          <w:szCs w:val="28"/>
          <w:lang w:val="en-US" w:eastAsia="zh-CN"/>
        </w:rPr>
        <w:t>此页无正文）</w:t>
      </w:r>
    </w:p>
    <w:p>
      <w:pPr>
        <w:spacing w:line="560" w:lineRule="exact"/>
        <w:ind w:firstLine="562"/>
        <w:rPr>
          <w:rFonts w:ascii="仿宋" w:hAnsi="仿宋" w:eastAsia="仿宋" w:cs="仿宋"/>
          <w:b/>
          <w:bCs/>
          <w:szCs w:val="28"/>
        </w:rPr>
      </w:pPr>
    </w:p>
    <w:p>
      <w:pPr>
        <w:snapToGrid w:val="0"/>
        <w:spacing w:line="560" w:lineRule="exact"/>
        <w:ind w:firstLine="560"/>
        <w:rPr>
          <w:rFonts w:hint="eastAsia" w:ascii="宋体" w:hAnsi="宋体"/>
          <w:b/>
          <w:bCs/>
          <w:szCs w:val="28"/>
          <w:lang w:val="en-US" w:eastAsia="zh-CN"/>
        </w:rPr>
      </w:pPr>
      <w:r>
        <w:rPr>
          <w:rFonts w:hint="eastAsia" w:ascii="宋体" w:hAnsi="宋体"/>
          <w:b/>
          <w:bCs/>
          <w:szCs w:val="28"/>
          <w:lang w:val="en-US" w:eastAsia="zh-CN"/>
        </w:rPr>
        <w:t>附件：</w:t>
      </w:r>
    </w:p>
    <w:p>
      <w:pPr>
        <w:snapToGrid w:val="0"/>
        <w:spacing w:line="560" w:lineRule="exact"/>
        <w:ind w:firstLine="560"/>
        <w:rPr>
          <w:rFonts w:hint="default" w:ascii="宋体" w:hAnsi="宋体"/>
          <w:szCs w:val="28"/>
          <w:lang w:val="en-US" w:eastAsia="zh-CN"/>
        </w:rPr>
      </w:pPr>
      <w:r>
        <w:rPr>
          <w:rFonts w:hint="eastAsia" w:ascii="宋体" w:hAnsi="宋体"/>
          <w:szCs w:val="28"/>
          <w:lang w:val="en-US" w:eastAsia="zh-CN"/>
        </w:rPr>
        <w:t>1、重庆市铜梁区场镇基础设施功能补短板建设项目绩效评价指标表；</w:t>
      </w:r>
    </w:p>
    <w:p>
      <w:pPr>
        <w:snapToGrid w:val="0"/>
        <w:spacing w:line="560" w:lineRule="exact"/>
        <w:ind w:firstLine="560"/>
        <w:rPr>
          <w:rFonts w:hint="eastAsia" w:ascii="宋体" w:hAnsi="宋体"/>
          <w:szCs w:val="28"/>
          <w:lang w:val="en-US" w:eastAsia="zh-CN"/>
        </w:rPr>
      </w:pPr>
      <w:r>
        <w:rPr>
          <w:rFonts w:hint="eastAsia" w:ascii="宋体" w:hAnsi="宋体"/>
          <w:szCs w:val="28"/>
          <w:lang w:val="en-US" w:eastAsia="zh-CN"/>
        </w:rPr>
        <w:t>2、重庆市铜梁区场镇基础设施功能补短板建设项目绩效评价得分明细表；</w:t>
      </w:r>
    </w:p>
    <w:p>
      <w:pPr>
        <w:snapToGrid w:val="0"/>
        <w:spacing w:line="560" w:lineRule="exact"/>
        <w:ind w:firstLine="560"/>
        <w:rPr>
          <w:rFonts w:hint="eastAsia" w:ascii="宋体" w:hAnsi="宋体"/>
          <w:szCs w:val="28"/>
        </w:rPr>
      </w:pPr>
      <w:r>
        <w:rPr>
          <w:rFonts w:hint="eastAsia" w:ascii="宋体" w:hAnsi="宋体"/>
          <w:szCs w:val="28"/>
          <w:lang w:val="en-US" w:eastAsia="zh-CN"/>
        </w:rPr>
        <w:t>3、</w:t>
      </w:r>
      <w:r>
        <w:rPr>
          <w:rFonts w:hint="eastAsia" w:ascii="宋体" w:hAnsi="宋体"/>
          <w:szCs w:val="28"/>
        </w:rPr>
        <w:t>重庆凯弘会计师事务所有限公司营业执照复印件；</w:t>
      </w:r>
    </w:p>
    <w:p>
      <w:pPr>
        <w:snapToGrid w:val="0"/>
        <w:spacing w:line="560" w:lineRule="exact"/>
        <w:ind w:firstLine="560"/>
        <w:rPr>
          <w:rFonts w:hint="eastAsia" w:ascii="宋体" w:hAnsi="宋体"/>
          <w:szCs w:val="28"/>
        </w:rPr>
      </w:pPr>
      <w:r>
        <w:rPr>
          <w:rFonts w:hint="eastAsia" w:ascii="宋体" w:hAnsi="宋体"/>
          <w:szCs w:val="28"/>
          <w:lang w:val="en-US" w:eastAsia="zh-CN"/>
        </w:rPr>
        <w:t>4</w:t>
      </w:r>
      <w:r>
        <w:rPr>
          <w:rFonts w:hint="eastAsia" w:ascii="宋体" w:hAnsi="宋体"/>
          <w:szCs w:val="28"/>
        </w:rPr>
        <w:t>、重庆凯弘会计师事务所有限公司执业证书复印件；</w:t>
      </w:r>
    </w:p>
    <w:p>
      <w:pPr>
        <w:snapToGrid w:val="0"/>
        <w:spacing w:line="560" w:lineRule="exact"/>
        <w:ind w:firstLine="560"/>
        <w:rPr>
          <w:rFonts w:hint="eastAsia" w:ascii="宋体" w:hAnsi="宋体"/>
          <w:szCs w:val="28"/>
          <w:lang w:val="en-US" w:eastAsia="zh-CN"/>
        </w:rPr>
      </w:pPr>
      <w:r>
        <w:rPr>
          <w:rFonts w:hint="eastAsia" w:ascii="宋体" w:hAnsi="宋体"/>
          <w:szCs w:val="28"/>
          <w:lang w:val="en-US" w:eastAsia="zh-CN"/>
        </w:rPr>
        <w:t>5</w:t>
      </w:r>
      <w:r>
        <w:rPr>
          <w:rFonts w:hint="eastAsia" w:ascii="宋体" w:hAnsi="宋体"/>
          <w:szCs w:val="28"/>
        </w:rPr>
        <w:t>、执业注册会计师证书复印件。</w:t>
      </w:r>
    </w:p>
    <w:p>
      <w:pPr>
        <w:snapToGrid w:val="0"/>
        <w:spacing w:line="560" w:lineRule="exact"/>
        <w:ind w:firstLine="560"/>
        <w:rPr>
          <w:rFonts w:hint="eastAsia" w:ascii="宋体" w:hAnsi="宋体"/>
          <w:szCs w:val="28"/>
        </w:rPr>
      </w:pPr>
    </w:p>
    <w:p>
      <w:pPr>
        <w:spacing w:line="560" w:lineRule="exact"/>
        <w:ind w:firstLine="562"/>
        <w:rPr>
          <w:rFonts w:hint="default" w:ascii="仿宋" w:hAnsi="仿宋" w:eastAsia="仿宋" w:cs="仿宋"/>
          <w:b/>
          <w:bCs/>
          <w:szCs w:val="28"/>
          <w:lang w:val="en-US" w:eastAsia="zh-CN"/>
        </w:rPr>
      </w:pPr>
    </w:p>
    <w:p>
      <w:pPr>
        <w:spacing w:line="560" w:lineRule="exact"/>
        <w:ind w:firstLine="562" w:firstLineChars="200"/>
        <w:jc w:val="left"/>
        <w:rPr>
          <w:rFonts w:cs="仿宋" w:asciiTheme="majorEastAsia" w:hAnsiTheme="majorEastAsia" w:eastAsiaTheme="majorEastAsia"/>
          <w:b/>
          <w:bCs/>
          <w:szCs w:val="28"/>
        </w:rPr>
      </w:pPr>
      <w:r>
        <w:rPr>
          <w:rFonts w:hint="eastAsia" w:cs="仿宋" w:asciiTheme="majorEastAsia" w:hAnsiTheme="majorEastAsia" w:eastAsiaTheme="majorEastAsia"/>
          <w:b/>
          <w:bCs/>
          <w:szCs w:val="28"/>
        </w:rPr>
        <w:t>重庆凯弘会计师事务所有限公司           中国注册会计师：</w:t>
      </w:r>
    </w:p>
    <w:p>
      <w:pPr>
        <w:spacing w:line="560" w:lineRule="exact"/>
        <w:ind w:firstLine="562"/>
        <w:rPr>
          <w:rFonts w:cs="仿宋" w:asciiTheme="majorEastAsia" w:hAnsiTheme="majorEastAsia" w:eastAsiaTheme="majorEastAsia"/>
          <w:b/>
          <w:bCs/>
          <w:szCs w:val="28"/>
        </w:rPr>
      </w:pPr>
    </w:p>
    <w:p>
      <w:pPr>
        <w:spacing w:line="560" w:lineRule="exact"/>
        <w:ind w:firstLine="562"/>
        <w:rPr>
          <w:rFonts w:cs="仿宋" w:asciiTheme="majorEastAsia" w:hAnsiTheme="majorEastAsia" w:eastAsiaTheme="majorEastAsia"/>
          <w:b/>
          <w:bCs/>
          <w:szCs w:val="28"/>
        </w:rPr>
      </w:pPr>
      <w:r>
        <w:rPr>
          <w:rFonts w:hint="eastAsia" w:cs="仿宋" w:asciiTheme="majorEastAsia" w:hAnsiTheme="majorEastAsia" w:eastAsiaTheme="majorEastAsia"/>
          <w:b/>
          <w:bCs/>
          <w:szCs w:val="28"/>
        </w:rPr>
        <w:t xml:space="preserve">     </w:t>
      </w:r>
      <w:r>
        <w:rPr>
          <w:rFonts w:hint="eastAsia" w:cs="仿宋" w:asciiTheme="majorEastAsia" w:hAnsiTheme="majorEastAsia" w:eastAsiaTheme="majorEastAsia"/>
          <w:b/>
          <w:bCs/>
          <w:szCs w:val="28"/>
          <w:lang w:val="en-US" w:eastAsia="zh-CN"/>
        </w:rPr>
        <w:t xml:space="preserve">    </w:t>
      </w:r>
      <w:r>
        <w:rPr>
          <w:rFonts w:hint="eastAsia" w:cs="仿宋" w:asciiTheme="majorEastAsia" w:hAnsiTheme="majorEastAsia" w:eastAsiaTheme="majorEastAsia"/>
          <w:b/>
          <w:bCs/>
          <w:szCs w:val="28"/>
        </w:rPr>
        <w:t>中国*重庆                     中国注册会计师：</w:t>
      </w:r>
    </w:p>
    <w:p>
      <w:pPr>
        <w:snapToGrid w:val="0"/>
        <w:spacing w:line="560" w:lineRule="exact"/>
        <w:ind w:firstLine="560"/>
        <w:rPr>
          <w:rFonts w:asciiTheme="majorEastAsia" w:hAnsiTheme="majorEastAsia" w:eastAsiaTheme="majorEastAsia"/>
          <w:szCs w:val="28"/>
        </w:rPr>
      </w:pPr>
    </w:p>
    <w:p>
      <w:pPr>
        <w:snapToGrid w:val="0"/>
        <w:spacing w:line="560" w:lineRule="exact"/>
        <w:ind w:firstLine="562"/>
        <w:jc w:val="right"/>
        <w:rPr>
          <w:rFonts w:ascii="宋体" w:hAnsi="宋体"/>
          <w:szCs w:val="28"/>
        </w:rPr>
      </w:pPr>
      <w:r>
        <w:rPr>
          <w:rFonts w:hint="eastAsia" w:ascii="宋体" w:hAnsi="宋体"/>
          <w:b/>
          <w:bCs/>
          <w:szCs w:val="28"/>
        </w:rPr>
        <w:t>二○二四年</w:t>
      </w:r>
      <w:r>
        <w:rPr>
          <w:rFonts w:hint="eastAsia" w:ascii="宋体" w:hAnsi="宋体"/>
          <w:b/>
          <w:bCs/>
          <w:szCs w:val="28"/>
          <w:lang w:val="en-US" w:eastAsia="zh-CN"/>
        </w:rPr>
        <w:t>八</w:t>
      </w:r>
      <w:r>
        <w:rPr>
          <w:rFonts w:hint="eastAsia" w:ascii="宋体" w:hAnsi="宋体"/>
          <w:b/>
          <w:bCs/>
          <w:szCs w:val="28"/>
        </w:rPr>
        <w:t>月</w:t>
      </w:r>
      <w:r>
        <w:rPr>
          <w:rFonts w:hint="eastAsia" w:ascii="宋体" w:hAnsi="宋体"/>
          <w:b/>
          <w:bCs/>
          <w:szCs w:val="28"/>
          <w:lang w:val="en-US" w:eastAsia="zh-CN"/>
        </w:rPr>
        <w:t>十九</w:t>
      </w:r>
      <w:r>
        <w:rPr>
          <w:rFonts w:hint="eastAsia" w:ascii="宋体" w:hAnsi="宋体"/>
          <w:b/>
          <w:bCs/>
          <w:szCs w:val="28"/>
        </w:rPr>
        <w:t>日</w:t>
      </w:r>
    </w:p>
    <w:p>
      <w:pPr>
        <w:spacing w:line="20" w:lineRule="exact"/>
        <w:ind w:right="1123" w:firstLine="0" w:firstLineChars="0"/>
        <w:rPr>
          <w:rFonts w:ascii="宋体" w:hAnsi="宋体"/>
          <w:szCs w:val="28"/>
        </w:rPr>
      </w:pPr>
    </w:p>
    <w:sectPr>
      <w:headerReference r:id="rId11" w:type="default"/>
      <w:type w:val="continuous"/>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Math">
    <w:panose1 w:val="02040503050406030204"/>
    <w:charset w:val="00"/>
    <w:family w:val="roman"/>
    <w:pitch w:val="default"/>
    <w:sig w:usb0="E00006FF" w:usb1="420024FF" w:usb2="02000000" w:usb3="00000000" w:csb0="2000019F" w:csb1="00000000"/>
  </w:font>
  <w:font w:name="方正仿宋_GBK">
    <w:panose1 w:val="03000509000000000000"/>
    <w:charset w:val="86"/>
    <w:family w:val="auto"/>
    <w:pitch w:val="default"/>
    <w:sig w:usb0="00000001" w:usb1="080E0000" w:usb2="0000000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楷体_GB2312">
    <w:altName w:val="楷体"/>
    <w:panose1 w:val="02010609030101010101"/>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ind w:firstLine="360"/>
      <w:rPr>
        <w:rStyle w:val="22"/>
      </w:rPr>
    </w:pPr>
    <w:r>
      <w:fldChar w:fldCharType="begin"/>
    </w:r>
    <w:r>
      <w:rPr>
        <w:rStyle w:val="22"/>
      </w:rPr>
      <w:instrText xml:space="preserve">PAGE  </w:instrText>
    </w:r>
    <w:r>
      <w:fldChar w:fldCharType="separate"/>
    </w:r>
    <w:r>
      <w:rPr>
        <w:rStyle w:val="22"/>
      </w:rPr>
      <w:t>2</w:t>
    </w:r>
    <w:r>
      <w:fldChar w:fldCharType="end"/>
    </w:r>
  </w:p>
  <w:p>
    <w:pPr>
      <w:pStyle w:val="1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pPr>
          <w:pStyle w:val="12"/>
          <w:ind w:firstLine="360"/>
          <w:jc w:val="center"/>
        </w:pPr>
        <w:r>
          <w:fldChar w:fldCharType="begin"/>
        </w:r>
        <w:r>
          <w:instrText xml:space="preserve">PAGE   \* MERGEFORMAT</w:instrText>
        </w:r>
        <w:r>
          <w:fldChar w:fldCharType="separate"/>
        </w:r>
        <w:r>
          <w:rPr>
            <w:lang w:val="zh-CN"/>
          </w:rPr>
          <w:t>19</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560" w:firstLine="0" w:firstLineChars="0"/>
    </w:pP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0" w:firstLineChars="0"/>
      <w:rPr>
        <w:rFonts w:eastAsia="楷体_GB2312"/>
        <w:b/>
        <w:bCs/>
        <w:sz w:val="84"/>
      </w:rPr>
    </w:pPr>
    <w:r>
      <w:rPr>
        <w:rFonts w:hint="eastAsia" w:eastAsia="楷体_GB2312"/>
        <w:b/>
        <w:bCs/>
        <w:spacing w:val="1"/>
        <w:w w:val="71"/>
        <w:kern w:val="0"/>
        <w:sz w:val="84"/>
        <w:fitText w:val="8465" w:id="-1129615104"/>
      </w:rPr>
      <w:t>重庆凯弘会计师事务所有限公</w:t>
    </w:r>
    <w:r>
      <w:rPr>
        <w:rFonts w:hint="eastAsia" w:eastAsia="楷体_GB2312"/>
        <w:b/>
        <w:bCs/>
        <w:spacing w:val="22"/>
        <w:w w:val="71"/>
        <w:kern w:val="0"/>
        <w:sz w:val="84"/>
        <w:fitText w:val="8465" w:id="-1129615104"/>
      </w:rPr>
      <w:t>司</w:t>
    </w:r>
  </w:p>
  <w:p>
    <w:pPr>
      <w:pStyle w:val="3"/>
      <w:numPr>
        <w:ilvl w:val="0"/>
        <w:numId w:val="0"/>
      </w:numPr>
      <w:pBdr>
        <w:top w:val="none" w:color="auto" w:sz="0" w:space="1"/>
        <w:left w:val="none" w:color="auto" w:sz="0" w:space="4"/>
        <w:bottom w:val="single" w:color="000000" w:sz="4" w:space="0"/>
        <w:right w:val="none" w:color="auto" w:sz="0" w:space="4"/>
      </w:pBdr>
      <w:jc w:val="both"/>
      <w:rPr>
        <w:kern w:val="0"/>
        <w:sz w:val="32"/>
      </w:rPr>
    </w:pPr>
    <w:r>
      <w:rPr>
        <w:rFonts w:hint="eastAsia"/>
        <w:spacing w:val="0"/>
        <w:w w:val="99"/>
        <w:kern w:val="0"/>
        <w:sz w:val="32"/>
        <w:fitText w:val="8512" w:id="-1129615103"/>
      </w:rPr>
      <w:t xml:space="preserve">CHONGQING </w:t>
    </w:r>
    <w:r>
      <w:rPr>
        <w:spacing w:val="0"/>
        <w:w w:val="99"/>
        <w:kern w:val="0"/>
        <w:sz w:val="32"/>
        <w:fitText w:val="8512" w:id="-1129615103"/>
      </w:rPr>
      <w:t>KAIHONG</w:t>
    </w:r>
    <w:r>
      <w:rPr>
        <w:rFonts w:hint="eastAsia"/>
        <w:spacing w:val="0"/>
        <w:w w:val="99"/>
        <w:kern w:val="0"/>
        <w:sz w:val="32"/>
        <w:fitText w:val="8512" w:id="-1129615103"/>
      </w:rPr>
      <w:t xml:space="preserve"> CERTIFIED PUBLIC ACCOUNTANTS CO.,LTD</w:t>
    </w:r>
    <w:r>
      <w:rPr>
        <w:rFonts w:hint="eastAsia"/>
        <w:spacing w:val="19"/>
        <w:w w:val="99"/>
        <w:kern w:val="0"/>
        <w:sz w:val="32"/>
        <w:fitText w:val="8512" w:id="-1129615103"/>
      </w:rPr>
      <w:t>.</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rFonts w:hint="eastAsia"/>
      </w:rPr>
      <w:t xml:space="preserve">重庆市铜梁区场镇基础设施功能补短板建设项目                                     </w:t>
    </w:r>
    <w:r>
      <w:rPr>
        <w:rFonts w:hint="eastAsia"/>
        <w:lang w:val="en-US" w:eastAsia="zh-CN"/>
      </w:rPr>
      <w:t xml:space="preserve"> </w:t>
    </w:r>
    <w:r>
      <w:rPr>
        <w:rFonts w:hint="eastAsia"/>
      </w:rPr>
      <w:t xml:space="preserve">绩效评价报告                                           </w:t>
    </w:r>
    <w:r>
      <w:t xml:space="preserve">  </w:t>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75A2B"/>
    <w:multiLevelType w:val="multilevel"/>
    <w:tmpl w:val="0AF75A2B"/>
    <w:lvl w:ilvl="0" w:tentative="0">
      <w:start w:val="1"/>
      <w:numFmt w:val="japaneseCounting"/>
      <w:lvlText w:val="%1、"/>
      <w:lvlJc w:val="left"/>
      <w:pPr>
        <w:ind w:left="1280" w:hanging="720"/>
      </w:pPr>
      <w:rPr>
        <w:rFonts w:hint="default"/>
      </w:rPr>
    </w:lvl>
    <w:lvl w:ilvl="1" w:tentative="0">
      <w:start w:val="1"/>
      <w:numFmt w:val="lowerLetter"/>
      <w:lvlText w:val="%2)"/>
      <w:lvlJc w:val="left"/>
      <w:pPr>
        <w:ind w:left="1440" w:hanging="440"/>
      </w:pPr>
    </w:lvl>
    <w:lvl w:ilvl="2" w:tentative="0">
      <w:start w:val="1"/>
      <w:numFmt w:val="lowerRoman"/>
      <w:lvlText w:val="%3."/>
      <w:lvlJc w:val="right"/>
      <w:pPr>
        <w:ind w:left="1880" w:hanging="440"/>
      </w:pPr>
    </w:lvl>
    <w:lvl w:ilvl="3" w:tentative="0">
      <w:start w:val="1"/>
      <w:numFmt w:val="decimal"/>
      <w:lvlText w:val="%4."/>
      <w:lvlJc w:val="left"/>
      <w:pPr>
        <w:ind w:left="2320" w:hanging="440"/>
      </w:pPr>
    </w:lvl>
    <w:lvl w:ilvl="4" w:tentative="0">
      <w:start w:val="1"/>
      <w:numFmt w:val="lowerLetter"/>
      <w:lvlText w:val="%5)"/>
      <w:lvlJc w:val="left"/>
      <w:pPr>
        <w:ind w:left="2760" w:hanging="440"/>
      </w:pPr>
    </w:lvl>
    <w:lvl w:ilvl="5" w:tentative="0">
      <w:start w:val="1"/>
      <w:numFmt w:val="lowerRoman"/>
      <w:lvlText w:val="%6."/>
      <w:lvlJc w:val="right"/>
      <w:pPr>
        <w:ind w:left="3200" w:hanging="440"/>
      </w:pPr>
    </w:lvl>
    <w:lvl w:ilvl="6" w:tentative="0">
      <w:start w:val="1"/>
      <w:numFmt w:val="decimal"/>
      <w:lvlText w:val="%7."/>
      <w:lvlJc w:val="left"/>
      <w:pPr>
        <w:ind w:left="3640" w:hanging="440"/>
      </w:pPr>
    </w:lvl>
    <w:lvl w:ilvl="7" w:tentative="0">
      <w:start w:val="1"/>
      <w:numFmt w:val="lowerLetter"/>
      <w:lvlText w:val="%8)"/>
      <w:lvlJc w:val="left"/>
      <w:pPr>
        <w:ind w:left="4080" w:hanging="440"/>
      </w:pPr>
    </w:lvl>
    <w:lvl w:ilvl="8" w:tentative="0">
      <w:start w:val="1"/>
      <w:numFmt w:val="lowerRoman"/>
      <w:lvlText w:val="%9."/>
      <w:lvlJc w:val="right"/>
      <w:pPr>
        <w:ind w:left="4520" w:hanging="440"/>
      </w:pPr>
    </w:lvl>
  </w:abstractNum>
  <w:abstractNum w:abstractNumId="1">
    <w:nsid w:val="11BA52B8"/>
    <w:multiLevelType w:val="multilevel"/>
    <w:tmpl w:val="11BA52B8"/>
    <w:lvl w:ilvl="0" w:tentative="0">
      <w:start w:val="1"/>
      <w:numFmt w:val="chineseCountingThousand"/>
      <w:pStyle w:val="3"/>
      <w:lvlText w:val="(%1)"/>
      <w:lvlJc w:val="left"/>
      <w:pPr>
        <w:ind w:left="5826" w:hanging="440"/>
      </w:pPr>
      <w:rPr>
        <w:rFonts w:hint="eastAsia"/>
      </w:rPr>
    </w:lvl>
    <w:lvl w:ilvl="1" w:tentative="0">
      <w:start w:val="1"/>
      <w:numFmt w:val="lowerLetter"/>
      <w:lvlText w:val="%2)"/>
      <w:lvlJc w:val="left"/>
      <w:pPr>
        <w:ind w:left="1080" w:hanging="440"/>
      </w:pPr>
      <w:rPr>
        <w:rFonts w:hint="eastAsia"/>
      </w:rPr>
    </w:lvl>
    <w:lvl w:ilvl="2" w:tentative="0">
      <w:start w:val="1"/>
      <w:numFmt w:val="lowerRoman"/>
      <w:lvlText w:val="%3."/>
      <w:lvlJc w:val="right"/>
      <w:pPr>
        <w:ind w:left="1520" w:hanging="440"/>
      </w:pPr>
      <w:rPr>
        <w:rFonts w:hint="eastAsia"/>
      </w:rPr>
    </w:lvl>
    <w:lvl w:ilvl="3" w:tentative="0">
      <w:start w:val="1"/>
      <w:numFmt w:val="decimal"/>
      <w:lvlText w:val="%4."/>
      <w:lvlJc w:val="left"/>
      <w:pPr>
        <w:ind w:left="1960" w:hanging="440"/>
      </w:pPr>
      <w:rPr>
        <w:rFonts w:hint="eastAsia"/>
      </w:rPr>
    </w:lvl>
    <w:lvl w:ilvl="4" w:tentative="0">
      <w:start w:val="1"/>
      <w:numFmt w:val="lowerLetter"/>
      <w:lvlText w:val="%5)"/>
      <w:lvlJc w:val="left"/>
      <w:pPr>
        <w:ind w:left="2400" w:hanging="440"/>
      </w:pPr>
      <w:rPr>
        <w:rFonts w:hint="eastAsia"/>
      </w:rPr>
    </w:lvl>
    <w:lvl w:ilvl="5" w:tentative="0">
      <w:start w:val="1"/>
      <w:numFmt w:val="lowerRoman"/>
      <w:lvlText w:val="%6."/>
      <w:lvlJc w:val="right"/>
      <w:pPr>
        <w:ind w:left="2840" w:hanging="440"/>
      </w:pPr>
      <w:rPr>
        <w:rFonts w:hint="eastAsia"/>
      </w:rPr>
    </w:lvl>
    <w:lvl w:ilvl="6" w:tentative="0">
      <w:start w:val="1"/>
      <w:numFmt w:val="decimal"/>
      <w:lvlText w:val="%7."/>
      <w:lvlJc w:val="left"/>
      <w:pPr>
        <w:ind w:left="3280" w:hanging="440"/>
      </w:pPr>
      <w:rPr>
        <w:rFonts w:hint="eastAsia"/>
      </w:rPr>
    </w:lvl>
    <w:lvl w:ilvl="7" w:tentative="0">
      <w:start w:val="1"/>
      <w:numFmt w:val="lowerLetter"/>
      <w:lvlText w:val="%8)"/>
      <w:lvlJc w:val="left"/>
      <w:pPr>
        <w:ind w:left="3720" w:hanging="440"/>
      </w:pPr>
      <w:rPr>
        <w:rFonts w:hint="eastAsia"/>
      </w:rPr>
    </w:lvl>
    <w:lvl w:ilvl="8" w:tentative="0">
      <w:start w:val="1"/>
      <w:numFmt w:val="lowerRoman"/>
      <w:lvlText w:val="%9."/>
      <w:lvlJc w:val="right"/>
      <w:pPr>
        <w:ind w:left="4160" w:hanging="440"/>
      </w:pPr>
      <w:rPr>
        <w:rFonts w:hint="eastAsia"/>
      </w:rPr>
    </w:lvl>
  </w:abstractNum>
  <w:abstractNum w:abstractNumId="2">
    <w:nsid w:val="342D66D4"/>
    <w:multiLevelType w:val="multilevel"/>
    <w:tmpl w:val="342D66D4"/>
    <w:lvl w:ilvl="0" w:tentative="0">
      <w:start w:val="1"/>
      <w:numFmt w:val="decimal"/>
      <w:pStyle w:val="15"/>
      <w:lvlText w:val="（%1）"/>
      <w:lvlJc w:val="left"/>
      <w:pPr>
        <w:ind w:left="640" w:hanging="440"/>
      </w:pPr>
      <w:rPr>
        <w:rFonts w:hint="eastAsia"/>
      </w:rPr>
    </w:lvl>
    <w:lvl w:ilvl="1" w:tentative="0">
      <w:start w:val="1"/>
      <w:numFmt w:val="lowerLetter"/>
      <w:lvlText w:val="%2)"/>
      <w:lvlJc w:val="left"/>
      <w:pPr>
        <w:ind w:left="1080" w:hanging="440"/>
      </w:pPr>
    </w:lvl>
    <w:lvl w:ilvl="2" w:tentative="0">
      <w:start w:val="1"/>
      <w:numFmt w:val="lowerRoman"/>
      <w:lvlText w:val="%3."/>
      <w:lvlJc w:val="right"/>
      <w:pPr>
        <w:ind w:left="1520" w:hanging="440"/>
      </w:pPr>
    </w:lvl>
    <w:lvl w:ilvl="3" w:tentative="0">
      <w:start w:val="1"/>
      <w:numFmt w:val="decimal"/>
      <w:lvlText w:val="%4."/>
      <w:lvlJc w:val="left"/>
      <w:pPr>
        <w:ind w:left="1960" w:hanging="440"/>
      </w:pPr>
    </w:lvl>
    <w:lvl w:ilvl="4" w:tentative="0">
      <w:start w:val="1"/>
      <w:numFmt w:val="lowerLetter"/>
      <w:lvlText w:val="%5)"/>
      <w:lvlJc w:val="left"/>
      <w:pPr>
        <w:ind w:left="2400" w:hanging="440"/>
      </w:pPr>
    </w:lvl>
    <w:lvl w:ilvl="5" w:tentative="0">
      <w:start w:val="1"/>
      <w:numFmt w:val="lowerRoman"/>
      <w:lvlText w:val="%6."/>
      <w:lvlJc w:val="right"/>
      <w:pPr>
        <w:ind w:left="2840" w:hanging="440"/>
      </w:pPr>
    </w:lvl>
    <w:lvl w:ilvl="6" w:tentative="0">
      <w:start w:val="1"/>
      <w:numFmt w:val="decimal"/>
      <w:lvlText w:val="%7."/>
      <w:lvlJc w:val="left"/>
      <w:pPr>
        <w:ind w:left="3280" w:hanging="440"/>
      </w:pPr>
    </w:lvl>
    <w:lvl w:ilvl="7" w:tentative="0">
      <w:start w:val="1"/>
      <w:numFmt w:val="lowerLetter"/>
      <w:lvlText w:val="%8)"/>
      <w:lvlJc w:val="left"/>
      <w:pPr>
        <w:ind w:left="3720" w:hanging="440"/>
      </w:pPr>
    </w:lvl>
    <w:lvl w:ilvl="8" w:tentative="0">
      <w:start w:val="1"/>
      <w:numFmt w:val="lowerRoman"/>
      <w:lvlText w:val="%9."/>
      <w:lvlJc w:val="right"/>
      <w:pPr>
        <w:ind w:left="4160" w:hanging="440"/>
      </w:pPr>
    </w:lvl>
  </w:abstractNum>
  <w:abstractNum w:abstractNumId="3">
    <w:nsid w:val="54D24375"/>
    <w:multiLevelType w:val="multilevel"/>
    <w:tmpl w:val="54D24375"/>
    <w:lvl w:ilvl="0" w:tentative="0">
      <w:start w:val="1"/>
      <w:numFmt w:val="decimal"/>
      <w:pStyle w:val="4"/>
      <w:lvlText w:val="%1."/>
      <w:lvlJc w:val="left"/>
      <w:pPr>
        <w:ind w:left="567" w:firstLine="1"/>
      </w:pPr>
      <w:rPr>
        <w:rFonts w:hint="eastAsia"/>
      </w:rPr>
    </w:lvl>
    <w:lvl w:ilvl="1" w:tentative="0">
      <w:start w:val="1"/>
      <w:numFmt w:val="lowerLetter"/>
      <w:lvlText w:val="%2)"/>
      <w:lvlJc w:val="left"/>
      <w:pPr>
        <w:ind w:left="1441" w:hanging="440"/>
      </w:pPr>
      <w:rPr>
        <w:rFonts w:hint="eastAsia"/>
      </w:rPr>
    </w:lvl>
    <w:lvl w:ilvl="2" w:tentative="0">
      <w:start w:val="1"/>
      <w:numFmt w:val="lowerRoman"/>
      <w:lvlText w:val="%3."/>
      <w:lvlJc w:val="right"/>
      <w:pPr>
        <w:ind w:left="1881" w:hanging="440"/>
      </w:pPr>
      <w:rPr>
        <w:rFonts w:hint="eastAsia"/>
      </w:rPr>
    </w:lvl>
    <w:lvl w:ilvl="3" w:tentative="0">
      <w:start w:val="1"/>
      <w:numFmt w:val="decimal"/>
      <w:lvlText w:val="%4."/>
      <w:lvlJc w:val="left"/>
      <w:pPr>
        <w:ind w:left="2321" w:hanging="440"/>
      </w:pPr>
      <w:rPr>
        <w:rFonts w:hint="eastAsia"/>
      </w:rPr>
    </w:lvl>
    <w:lvl w:ilvl="4" w:tentative="0">
      <w:start w:val="1"/>
      <w:numFmt w:val="lowerLetter"/>
      <w:lvlText w:val="%5)"/>
      <w:lvlJc w:val="left"/>
      <w:pPr>
        <w:ind w:left="2761" w:hanging="440"/>
      </w:pPr>
      <w:rPr>
        <w:rFonts w:hint="eastAsia"/>
      </w:rPr>
    </w:lvl>
    <w:lvl w:ilvl="5" w:tentative="0">
      <w:start w:val="1"/>
      <w:numFmt w:val="lowerRoman"/>
      <w:lvlText w:val="%6."/>
      <w:lvlJc w:val="right"/>
      <w:pPr>
        <w:ind w:left="3201" w:hanging="440"/>
      </w:pPr>
      <w:rPr>
        <w:rFonts w:hint="eastAsia"/>
      </w:rPr>
    </w:lvl>
    <w:lvl w:ilvl="6" w:tentative="0">
      <w:start w:val="1"/>
      <w:numFmt w:val="decimal"/>
      <w:lvlText w:val="%7."/>
      <w:lvlJc w:val="left"/>
      <w:pPr>
        <w:ind w:left="3641" w:hanging="440"/>
      </w:pPr>
      <w:rPr>
        <w:rFonts w:hint="eastAsia"/>
      </w:rPr>
    </w:lvl>
    <w:lvl w:ilvl="7" w:tentative="0">
      <w:start w:val="1"/>
      <w:numFmt w:val="lowerLetter"/>
      <w:lvlText w:val="%8)"/>
      <w:lvlJc w:val="left"/>
      <w:pPr>
        <w:ind w:left="4081" w:hanging="440"/>
      </w:pPr>
      <w:rPr>
        <w:rFonts w:hint="eastAsia"/>
      </w:rPr>
    </w:lvl>
    <w:lvl w:ilvl="8" w:tentative="0">
      <w:start w:val="1"/>
      <w:numFmt w:val="lowerRoman"/>
      <w:lvlText w:val="%9."/>
      <w:lvlJc w:val="right"/>
      <w:pPr>
        <w:ind w:left="4521" w:hanging="440"/>
      </w:pPr>
      <w:rPr>
        <w:rFonts w:hint="eastAsia"/>
      </w:rPr>
    </w:lvl>
  </w:abstractNum>
  <w:abstractNum w:abstractNumId="4">
    <w:nsid w:val="76C70969"/>
    <w:multiLevelType w:val="multilevel"/>
    <w:tmpl w:val="76C70969"/>
    <w:lvl w:ilvl="0" w:tentative="0">
      <w:start w:val="1"/>
      <w:numFmt w:val="chineseCountingThousand"/>
      <w:pStyle w:val="2"/>
      <w:lvlText w:val="%1、"/>
      <w:lvlJc w:val="left"/>
      <w:pPr>
        <w:ind w:left="1008" w:hanging="440"/>
      </w:pPr>
    </w:lvl>
    <w:lvl w:ilvl="1" w:tentative="0">
      <w:start w:val="1"/>
      <w:numFmt w:val="lowerLetter"/>
      <w:lvlText w:val="%2)"/>
      <w:lvlJc w:val="left"/>
      <w:pPr>
        <w:ind w:left="1441" w:hanging="440"/>
      </w:pPr>
    </w:lvl>
    <w:lvl w:ilvl="2" w:tentative="0">
      <w:start w:val="1"/>
      <w:numFmt w:val="lowerRoman"/>
      <w:lvlText w:val="%3."/>
      <w:lvlJc w:val="right"/>
      <w:pPr>
        <w:ind w:left="1881" w:hanging="440"/>
      </w:pPr>
    </w:lvl>
    <w:lvl w:ilvl="3" w:tentative="0">
      <w:start w:val="1"/>
      <w:numFmt w:val="decimal"/>
      <w:lvlText w:val="%4."/>
      <w:lvlJc w:val="left"/>
      <w:pPr>
        <w:ind w:left="2321" w:hanging="440"/>
      </w:pPr>
    </w:lvl>
    <w:lvl w:ilvl="4" w:tentative="0">
      <w:start w:val="1"/>
      <w:numFmt w:val="lowerLetter"/>
      <w:lvlText w:val="%5)"/>
      <w:lvlJc w:val="left"/>
      <w:pPr>
        <w:ind w:left="2761" w:hanging="440"/>
      </w:pPr>
    </w:lvl>
    <w:lvl w:ilvl="5" w:tentative="0">
      <w:start w:val="1"/>
      <w:numFmt w:val="lowerRoman"/>
      <w:lvlText w:val="%6."/>
      <w:lvlJc w:val="right"/>
      <w:pPr>
        <w:ind w:left="3201" w:hanging="440"/>
      </w:pPr>
    </w:lvl>
    <w:lvl w:ilvl="6" w:tentative="0">
      <w:start w:val="1"/>
      <w:numFmt w:val="decimal"/>
      <w:lvlText w:val="%7."/>
      <w:lvlJc w:val="left"/>
      <w:pPr>
        <w:ind w:left="3641" w:hanging="440"/>
      </w:pPr>
    </w:lvl>
    <w:lvl w:ilvl="7" w:tentative="0">
      <w:start w:val="1"/>
      <w:numFmt w:val="lowerLetter"/>
      <w:lvlText w:val="%8)"/>
      <w:lvlJc w:val="left"/>
      <w:pPr>
        <w:ind w:left="4081" w:hanging="440"/>
      </w:pPr>
    </w:lvl>
    <w:lvl w:ilvl="8" w:tentative="0">
      <w:start w:val="1"/>
      <w:numFmt w:val="lowerRoman"/>
      <w:lvlText w:val="%9."/>
      <w:lvlJc w:val="right"/>
      <w:pPr>
        <w:ind w:left="4521" w:hanging="440"/>
      </w:p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FkMWJkNzdkODFiMjE3ZDcyMTYzYTBjYzkxNGY2MTkifQ=="/>
  </w:docVars>
  <w:rsids>
    <w:rsidRoot w:val="72422AE2"/>
    <w:rsid w:val="00000A34"/>
    <w:rsid w:val="0000184C"/>
    <w:rsid w:val="0000631C"/>
    <w:rsid w:val="00006A3F"/>
    <w:rsid w:val="00006B00"/>
    <w:rsid w:val="00007179"/>
    <w:rsid w:val="0000763F"/>
    <w:rsid w:val="00010010"/>
    <w:rsid w:val="00010422"/>
    <w:rsid w:val="000108FD"/>
    <w:rsid w:val="00011646"/>
    <w:rsid w:val="00014034"/>
    <w:rsid w:val="00014FE8"/>
    <w:rsid w:val="0001519C"/>
    <w:rsid w:val="00015E2F"/>
    <w:rsid w:val="000169FC"/>
    <w:rsid w:val="00017D46"/>
    <w:rsid w:val="000221B3"/>
    <w:rsid w:val="000229FB"/>
    <w:rsid w:val="00023D85"/>
    <w:rsid w:val="000247B6"/>
    <w:rsid w:val="00024955"/>
    <w:rsid w:val="00030862"/>
    <w:rsid w:val="00032A55"/>
    <w:rsid w:val="00036260"/>
    <w:rsid w:val="000411ED"/>
    <w:rsid w:val="00041B1E"/>
    <w:rsid w:val="00042AB9"/>
    <w:rsid w:val="000439AC"/>
    <w:rsid w:val="00050797"/>
    <w:rsid w:val="000519FA"/>
    <w:rsid w:val="00052244"/>
    <w:rsid w:val="00053307"/>
    <w:rsid w:val="00053594"/>
    <w:rsid w:val="00053921"/>
    <w:rsid w:val="00054192"/>
    <w:rsid w:val="00055857"/>
    <w:rsid w:val="00055DED"/>
    <w:rsid w:val="00060D8A"/>
    <w:rsid w:val="0006244D"/>
    <w:rsid w:val="0006378A"/>
    <w:rsid w:val="00063973"/>
    <w:rsid w:val="00063BE9"/>
    <w:rsid w:val="00064043"/>
    <w:rsid w:val="000641FD"/>
    <w:rsid w:val="0006507C"/>
    <w:rsid w:val="000655E7"/>
    <w:rsid w:val="0006739D"/>
    <w:rsid w:val="000674C0"/>
    <w:rsid w:val="000679ED"/>
    <w:rsid w:val="000708F7"/>
    <w:rsid w:val="00070E63"/>
    <w:rsid w:val="00071FE6"/>
    <w:rsid w:val="0007249D"/>
    <w:rsid w:val="00073A84"/>
    <w:rsid w:val="00074FEC"/>
    <w:rsid w:val="0007594E"/>
    <w:rsid w:val="000767C4"/>
    <w:rsid w:val="000772F3"/>
    <w:rsid w:val="00077647"/>
    <w:rsid w:val="00080E51"/>
    <w:rsid w:val="000810AE"/>
    <w:rsid w:val="00081D5F"/>
    <w:rsid w:val="00083306"/>
    <w:rsid w:val="000849E7"/>
    <w:rsid w:val="00087DFF"/>
    <w:rsid w:val="00090224"/>
    <w:rsid w:val="00090FCF"/>
    <w:rsid w:val="00090FFB"/>
    <w:rsid w:val="00093626"/>
    <w:rsid w:val="00094104"/>
    <w:rsid w:val="00094FD0"/>
    <w:rsid w:val="0009634C"/>
    <w:rsid w:val="00096664"/>
    <w:rsid w:val="000A0F31"/>
    <w:rsid w:val="000A1AFE"/>
    <w:rsid w:val="000A2995"/>
    <w:rsid w:val="000A3693"/>
    <w:rsid w:val="000A4100"/>
    <w:rsid w:val="000A6973"/>
    <w:rsid w:val="000A6E89"/>
    <w:rsid w:val="000A7055"/>
    <w:rsid w:val="000A7289"/>
    <w:rsid w:val="000B0BCB"/>
    <w:rsid w:val="000B1055"/>
    <w:rsid w:val="000B20E3"/>
    <w:rsid w:val="000B3072"/>
    <w:rsid w:val="000B72D5"/>
    <w:rsid w:val="000C04DE"/>
    <w:rsid w:val="000C29DC"/>
    <w:rsid w:val="000C3D3D"/>
    <w:rsid w:val="000C4DCB"/>
    <w:rsid w:val="000C563A"/>
    <w:rsid w:val="000D2887"/>
    <w:rsid w:val="000D3013"/>
    <w:rsid w:val="000D3CBC"/>
    <w:rsid w:val="000D3E05"/>
    <w:rsid w:val="000D42F3"/>
    <w:rsid w:val="000D6284"/>
    <w:rsid w:val="000D691A"/>
    <w:rsid w:val="000D7B6F"/>
    <w:rsid w:val="000E730D"/>
    <w:rsid w:val="000F5D20"/>
    <w:rsid w:val="000F7E0E"/>
    <w:rsid w:val="00101854"/>
    <w:rsid w:val="0010298A"/>
    <w:rsid w:val="00104394"/>
    <w:rsid w:val="00105C22"/>
    <w:rsid w:val="0010697D"/>
    <w:rsid w:val="001113D6"/>
    <w:rsid w:val="00111BF5"/>
    <w:rsid w:val="0011305C"/>
    <w:rsid w:val="001134D8"/>
    <w:rsid w:val="001143B9"/>
    <w:rsid w:val="001151B7"/>
    <w:rsid w:val="0011526E"/>
    <w:rsid w:val="00115951"/>
    <w:rsid w:val="00116356"/>
    <w:rsid w:val="00117886"/>
    <w:rsid w:val="00120D0B"/>
    <w:rsid w:val="00121C5F"/>
    <w:rsid w:val="00123DDC"/>
    <w:rsid w:val="0012463A"/>
    <w:rsid w:val="00124D4C"/>
    <w:rsid w:val="0012644E"/>
    <w:rsid w:val="00127031"/>
    <w:rsid w:val="00127CE3"/>
    <w:rsid w:val="00130F2F"/>
    <w:rsid w:val="0013216A"/>
    <w:rsid w:val="0013312B"/>
    <w:rsid w:val="00134176"/>
    <w:rsid w:val="00134D23"/>
    <w:rsid w:val="001363CA"/>
    <w:rsid w:val="00136BBC"/>
    <w:rsid w:val="00136F33"/>
    <w:rsid w:val="00137DA1"/>
    <w:rsid w:val="0014048F"/>
    <w:rsid w:val="00141A95"/>
    <w:rsid w:val="00142069"/>
    <w:rsid w:val="00142EC3"/>
    <w:rsid w:val="0014324A"/>
    <w:rsid w:val="00143417"/>
    <w:rsid w:val="001439FD"/>
    <w:rsid w:val="001471E9"/>
    <w:rsid w:val="00147F7F"/>
    <w:rsid w:val="0015032E"/>
    <w:rsid w:val="00152C2F"/>
    <w:rsid w:val="00153164"/>
    <w:rsid w:val="00155C1F"/>
    <w:rsid w:val="00156736"/>
    <w:rsid w:val="00156C69"/>
    <w:rsid w:val="00160D20"/>
    <w:rsid w:val="00160D51"/>
    <w:rsid w:val="001619F6"/>
    <w:rsid w:val="00164413"/>
    <w:rsid w:val="00166637"/>
    <w:rsid w:val="00171A4F"/>
    <w:rsid w:val="00171A57"/>
    <w:rsid w:val="00171BA7"/>
    <w:rsid w:val="00172290"/>
    <w:rsid w:val="001728F4"/>
    <w:rsid w:val="00173086"/>
    <w:rsid w:val="00173AB1"/>
    <w:rsid w:val="00173DAC"/>
    <w:rsid w:val="001741FC"/>
    <w:rsid w:val="00174C43"/>
    <w:rsid w:val="001760F7"/>
    <w:rsid w:val="00177BA1"/>
    <w:rsid w:val="00181FDF"/>
    <w:rsid w:val="001841D8"/>
    <w:rsid w:val="00184502"/>
    <w:rsid w:val="00184811"/>
    <w:rsid w:val="00184DC1"/>
    <w:rsid w:val="00186805"/>
    <w:rsid w:val="0018761D"/>
    <w:rsid w:val="00187F71"/>
    <w:rsid w:val="00190035"/>
    <w:rsid w:val="001924CE"/>
    <w:rsid w:val="00193794"/>
    <w:rsid w:val="00193A73"/>
    <w:rsid w:val="0019575D"/>
    <w:rsid w:val="0019723A"/>
    <w:rsid w:val="001972AA"/>
    <w:rsid w:val="001A01DF"/>
    <w:rsid w:val="001A1110"/>
    <w:rsid w:val="001A1252"/>
    <w:rsid w:val="001A51B6"/>
    <w:rsid w:val="001A5825"/>
    <w:rsid w:val="001A5C39"/>
    <w:rsid w:val="001A5FB9"/>
    <w:rsid w:val="001A65DB"/>
    <w:rsid w:val="001A787A"/>
    <w:rsid w:val="001A7C67"/>
    <w:rsid w:val="001A7D8F"/>
    <w:rsid w:val="001B1045"/>
    <w:rsid w:val="001B43D4"/>
    <w:rsid w:val="001B535D"/>
    <w:rsid w:val="001B60C6"/>
    <w:rsid w:val="001C0EC8"/>
    <w:rsid w:val="001C1BEC"/>
    <w:rsid w:val="001C2383"/>
    <w:rsid w:val="001C323E"/>
    <w:rsid w:val="001C4E9F"/>
    <w:rsid w:val="001C4F09"/>
    <w:rsid w:val="001C56A7"/>
    <w:rsid w:val="001C5C13"/>
    <w:rsid w:val="001C6EAE"/>
    <w:rsid w:val="001C6FEF"/>
    <w:rsid w:val="001D0D08"/>
    <w:rsid w:val="001D1741"/>
    <w:rsid w:val="001D5C79"/>
    <w:rsid w:val="001D651E"/>
    <w:rsid w:val="001D6EF4"/>
    <w:rsid w:val="001D7100"/>
    <w:rsid w:val="001E052D"/>
    <w:rsid w:val="001E05D0"/>
    <w:rsid w:val="001E2904"/>
    <w:rsid w:val="001E3B54"/>
    <w:rsid w:val="001E44F9"/>
    <w:rsid w:val="001E7B80"/>
    <w:rsid w:val="001F0105"/>
    <w:rsid w:val="001F3A90"/>
    <w:rsid w:val="001F4085"/>
    <w:rsid w:val="001F5B92"/>
    <w:rsid w:val="001F679C"/>
    <w:rsid w:val="001F7AF6"/>
    <w:rsid w:val="001F7F9B"/>
    <w:rsid w:val="00201924"/>
    <w:rsid w:val="00203B13"/>
    <w:rsid w:val="0020436B"/>
    <w:rsid w:val="002046E7"/>
    <w:rsid w:val="00206312"/>
    <w:rsid w:val="0020691B"/>
    <w:rsid w:val="00207815"/>
    <w:rsid w:val="002110F6"/>
    <w:rsid w:val="002118A7"/>
    <w:rsid w:val="00212A3E"/>
    <w:rsid w:val="00214B63"/>
    <w:rsid w:val="002220A7"/>
    <w:rsid w:val="00222C1C"/>
    <w:rsid w:val="00223CBB"/>
    <w:rsid w:val="002244FF"/>
    <w:rsid w:val="00224C80"/>
    <w:rsid w:val="00224D14"/>
    <w:rsid w:val="00225625"/>
    <w:rsid w:val="0022655F"/>
    <w:rsid w:val="002272E7"/>
    <w:rsid w:val="00230756"/>
    <w:rsid w:val="00231EB1"/>
    <w:rsid w:val="0023229C"/>
    <w:rsid w:val="00233691"/>
    <w:rsid w:val="00233DDD"/>
    <w:rsid w:val="00234601"/>
    <w:rsid w:val="002351D4"/>
    <w:rsid w:val="0023530B"/>
    <w:rsid w:val="002360E1"/>
    <w:rsid w:val="002363D4"/>
    <w:rsid w:val="00236E32"/>
    <w:rsid w:val="002415BD"/>
    <w:rsid w:val="00243295"/>
    <w:rsid w:val="0024338F"/>
    <w:rsid w:val="00247412"/>
    <w:rsid w:val="00250A46"/>
    <w:rsid w:val="00253048"/>
    <w:rsid w:val="00253AA0"/>
    <w:rsid w:val="0025426D"/>
    <w:rsid w:val="00255D07"/>
    <w:rsid w:val="00256777"/>
    <w:rsid w:val="002604D9"/>
    <w:rsid w:val="00261444"/>
    <w:rsid w:val="00261508"/>
    <w:rsid w:val="0026249C"/>
    <w:rsid w:val="00262933"/>
    <w:rsid w:val="002643DD"/>
    <w:rsid w:val="00266A32"/>
    <w:rsid w:val="00266AFE"/>
    <w:rsid w:val="00270091"/>
    <w:rsid w:val="002735D3"/>
    <w:rsid w:val="002753F6"/>
    <w:rsid w:val="00275436"/>
    <w:rsid w:val="0027656C"/>
    <w:rsid w:val="00277622"/>
    <w:rsid w:val="00280F6D"/>
    <w:rsid w:val="0028144A"/>
    <w:rsid w:val="00286562"/>
    <w:rsid w:val="002906FB"/>
    <w:rsid w:val="00290E75"/>
    <w:rsid w:val="0029149A"/>
    <w:rsid w:val="002916D3"/>
    <w:rsid w:val="002958AF"/>
    <w:rsid w:val="002974DE"/>
    <w:rsid w:val="00297C64"/>
    <w:rsid w:val="002A0FCB"/>
    <w:rsid w:val="002A2AB2"/>
    <w:rsid w:val="002A46DA"/>
    <w:rsid w:val="002A5A74"/>
    <w:rsid w:val="002A5EF2"/>
    <w:rsid w:val="002A676C"/>
    <w:rsid w:val="002A7326"/>
    <w:rsid w:val="002A7CD3"/>
    <w:rsid w:val="002A7E0E"/>
    <w:rsid w:val="002B0E66"/>
    <w:rsid w:val="002B2245"/>
    <w:rsid w:val="002B29D2"/>
    <w:rsid w:val="002B4E8F"/>
    <w:rsid w:val="002B5146"/>
    <w:rsid w:val="002C0199"/>
    <w:rsid w:val="002C096E"/>
    <w:rsid w:val="002C1C19"/>
    <w:rsid w:val="002C1E13"/>
    <w:rsid w:val="002C406E"/>
    <w:rsid w:val="002C4C7A"/>
    <w:rsid w:val="002C4F3C"/>
    <w:rsid w:val="002C4FA8"/>
    <w:rsid w:val="002C5068"/>
    <w:rsid w:val="002C5D20"/>
    <w:rsid w:val="002C725C"/>
    <w:rsid w:val="002D001F"/>
    <w:rsid w:val="002D03A5"/>
    <w:rsid w:val="002D1C5F"/>
    <w:rsid w:val="002D30EC"/>
    <w:rsid w:val="002D3429"/>
    <w:rsid w:val="002D7429"/>
    <w:rsid w:val="002D7AC1"/>
    <w:rsid w:val="002E0E7B"/>
    <w:rsid w:val="002E2794"/>
    <w:rsid w:val="002E61B8"/>
    <w:rsid w:val="002E6AC0"/>
    <w:rsid w:val="002E7298"/>
    <w:rsid w:val="002F3264"/>
    <w:rsid w:val="002F3DEC"/>
    <w:rsid w:val="002F6593"/>
    <w:rsid w:val="003005E2"/>
    <w:rsid w:val="0030077A"/>
    <w:rsid w:val="003013B2"/>
    <w:rsid w:val="003030A7"/>
    <w:rsid w:val="00304F7D"/>
    <w:rsid w:val="00306202"/>
    <w:rsid w:val="00310BAA"/>
    <w:rsid w:val="00310F1B"/>
    <w:rsid w:val="00311F3E"/>
    <w:rsid w:val="00312145"/>
    <w:rsid w:val="00312184"/>
    <w:rsid w:val="003131CA"/>
    <w:rsid w:val="0031389C"/>
    <w:rsid w:val="0031637D"/>
    <w:rsid w:val="00317851"/>
    <w:rsid w:val="0031793C"/>
    <w:rsid w:val="00317BC0"/>
    <w:rsid w:val="003208C8"/>
    <w:rsid w:val="003219FE"/>
    <w:rsid w:val="00321A39"/>
    <w:rsid w:val="003234EB"/>
    <w:rsid w:val="00324308"/>
    <w:rsid w:val="00324BD7"/>
    <w:rsid w:val="00326A1E"/>
    <w:rsid w:val="003349F3"/>
    <w:rsid w:val="00334C38"/>
    <w:rsid w:val="003355E3"/>
    <w:rsid w:val="003410D3"/>
    <w:rsid w:val="00343090"/>
    <w:rsid w:val="0034668C"/>
    <w:rsid w:val="00346737"/>
    <w:rsid w:val="0034784D"/>
    <w:rsid w:val="00347A00"/>
    <w:rsid w:val="0035147E"/>
    <w:rsid w:val="00351826"/>
    <w:rsid w:val="00351913"/>
    <w:rsid w:val="003519FE"/>
    <w:rsid w:val="00351B6F"/>
    <w:rsid w:val="00355081"/>
    <w:rsid w:val="00355436"/>
    <w:rsid w:val="00357086"/>
    <w:rsid w:val="003577CD"/>
    <w:rsid w:val="003579B0"/>
    <w:rsid w:val="00360F31"/>
    <w:rsid w:val="00360FDF"/>
    <w:rsid w:val="00361B12"/>
    <w:rsid w:val="0036389B"/>
    <w:rsid w:val="00363ABA"/>
    <w:rsid w:val="00363EEB"/>
    <w:rsid w:val="00363F3E"/>
    <w:rsid w:val="00365602"/>
    <w:rsid w:val="00365645"/>
    <w:rsid w:val="00365E84"/>
    <w:rsid w:val="00366252"/>
    <w:rsid w:val="003663C4"/>
    <w:rsid w:val="00367A2E"/>
    <w:rsid w:val="0037001C"/>
    <w:rsid w:val="00370411"/>
    <w:rsid w:val="00370B8C"/>
    <w:rsid w:val="003711CA"/>
    <w:rsid w:val="00373221"/>
    <w:rsid w:val="00375CEE"/>
    <w:rsid w:val="0037682F"/>
    <w:rsid w:val="00377440"/>
    <w:rsid w:val="00377D4A"/>
    <w:rsid w:val="00377E25"/>
    <w:rsid w:val="00380016"/>
    <w:rsid w:val="003811D9"/>
    <w:rsid w:val="00381C59"/>
    <w:rsid w:val="00381D07"/>
    <w:rsid w:val="0038257A"/>
    <w:rsid w:val="00384881"/>
    <w:rsid w:val="00384E91"/>
    <w:rsid w:val="0038739E"/>
    <w:rsid w:val="0038788C"/>
    <w:rsid w:val="00391696"/>
    <w:rsid w:val="00391769"/>
    <w:rsid w:val="003924E3"/>
    <w:rsid w:val="0039593B"/>
    <w:rsid w:val="00395A43"/>
    <w:rsid w:val="00395AE6"/>
    <w:rsid w:val="003961A7"/>
    <w:rsid w:val="003A0998"/>
    <w:rsid w:val="003A1936"/>
    <w:rsid w:val="003A19D1"/>
    <w:rsid w:val="003A1A0D"/>
    <w:rsid w:val="003A206A"/>
    <w:rsid w:val="003A2602"/>
    <w:rsid w:val="003A2E5A"/>
    <w:rsid w:val="003A2FCC"/>
    <w:rsid w:val="003A4730"/>
    <w:rsid w:val="003A73EC"/>
    <w:rsid w:val="003A7789"/>
    <w:rsid w:val="003B00F5"/>
    <w:rsid w:val="003B14CC"/>
    <w:rsid w:val="003B173D"/>
    <w:rsid w:val="003B537B"/>
    <w:rsid w:val="003B59EC"/>
    <w:rsid w:val="003B790A"/>
    <w:rsid w:val="003C0CF0"/>
    <w:rsid w:val="003C211D"/>
    <w:rsid w:val="003C3353"/>
    <w:rsid w:val="003C696D"/>
    <w:rsid w:val="003C72A9"/>
    <w:rsid w:val="003C75A0"/>
    <w:rsid w:val="003D0D0E"/>
    <w:rsid w:val="003D0F64"/>
    <w:rsid w:val="003D3240"/>
    <w:rsid w:val="003D3F54"/>
    <w:rsid w:val="003E0136"/>
    <w:rsid w:val="003E0D1E"/>
    <w:rsid w:val="003E2424"/>
    <w:rsid w:val="003E267C"/>
    <w:rsid w:val="003E2FCE"/>
    <w:rsid w:val="003E378E"/>
    <w:rsid w:val="003E3B11"/>
    <w:rsid w:val="003E5215"/>
    <w:rsid w:val="003E74A7"/>
    <w:rsid w:val="003E7FD7"/>
    <w:rsid w:val="003F27B1"/>
    <w:rsid w:val="003F4BE0"/>
    <w:rsid w:val="003F58CB"/>
    <w:rsid w:val="003F697F"/>
    <w:rsid w:val="003F69B2"/>
    <w:rsid w:val="004030B5"/>
    <w:rsid w:val="00403870"/>
    <w:rsid w:val="004039DD"/>
    <w:rsid w:val="004040BB"/>
    <w:rsid w:val="004045B1"/>
    <w:rsid w:val="00404C6D"/>
    <w:rsid w:val="0040526B"/>
    <w:rsid w:val="00405797"/>
    <w:rsid w:val="00406B58"/>
    <w:rsid w:val="00412E34"/>
    <w:rsid w:val="0041311F"/>
    <w:rsid w:val="00413672"/>
    <w:rsid w:val="00413D40"/>
    <w:rsid w:val="00414631"/>
    <w:rsid w:val="004156B8"/>
    <w:rsid w:val="00417574"/>
    <w:rsid w:val="0041759A"/>
    <w:rsid w:val="004177AE"/>
    <w:rsid w:val="00420019"/>
    <w:rsid w:val="004209AE"/>
    <w:rsid w:val="00422299"/>
    <w:rsid w:val="004235BA"/>
    <w:rsid w:val="004249F7"/>
    <w:rsid w:val="00425061"/>
    <w:rsid w:val="00426DFA"/>
    <w:rsid w:val="00426F22"/>
    <w:rsid w:val="00430420"/>
    <w:rsid w:val="00430D2E"/>
    <w:rsid w:val="00430D37"/>
    <w:rsid w:val="0043165E"/>
    <w:rsid w:val="00432262"/>
    <w:rsid w:val="004328DB"/>
    <w:rsid w:val="0043383F"/>
    <w:rsid w:val="004338BD"/>
    <w:rsid w:val="00434809"/>
    <w:rsid w:val="00437276"/>
    <w:rsid w:val="00441621"/>
    <w:rsid w:val="00443950"/>
    <w:rsid w:val="004448F7"/>
    <w:rsid w:val="004462F3"/>
    <w:rsid w:val="00452344"/>
    <w:rsid w:val="00452E4A"/>
    <w:rsid w:val="00454DB4"/>
    <w:rsid w:val="00456616"/>
    <w:rsid w:val="00460F0D"/>
    <w:rsid w:val="00462E9E"/>
    <w:rsid w:val="00463685"/>
    <w:rsid w:val="00463DEA"/>
    <w:rsid w:val="004655A0"/>
    <w:rsid w:val="00465B03"/>
    <w:rsid w:val="00465B15"/>
    <w:rsid w:val="00465BAD"/>
    <w:rsid w:val="004660FF"/>
    <w:rsid w:val="0046734B"/>
    <w:rsid w:val="00467B42"/>
    <w:rsid w:val="00470699"/>
    <w:rsid w:val="004710AA"/>
    <w:rsid w:val="004710FD"/>
    <w:rsid w:val="004719D5"/>
    <w:rsid w:val="00473436"/>
    <w:rsid w:val="0047359A"/>
    <w:rsid w:val="004746CD"/>
    <w:rsid w:val="00474AC7"/>
    <w:rsid w:val="00474D5A"/>
    <w:rsid w:val="00474D81"/>
    <w:rsid w:val="004753FE"/>
    <w:rsid w:val="004755DD"/>
    <w:rsid w:val="00475938"/>
    <w:rsid w:val="00476B01"/>
    <w:rsid w:val="00476E0B"/>
    <w:rsid w:val="0048047A"/>
    <w:rsid w:val="004816C4"/>
    <w:rsid w:val="004847D6"/>
    <w:rsid w:val="00485B94"/>
    <w:rsid w:val="00486503"/>
    <w:rsid w:val="00486D9C"/>
    <w:rsid w:val="004912E0"/>
    <w:rsid w:val="0049383C"/>
    <w:rsid w:val="00495119"/>
    <w:rsid w:val="00495B40"/>
    <w:rsid w:val="00496AE1"/>
    <w:rsid w:val="00496B82"/>
    <w:rsid w:val="00496BC4"/>
    <w:rsid w:val="004A00E1"/>
    <w:rsid w:val="004A0744"/>
    <w:rsid w:val="004A1C0F"/>
    <w:rsid w:val="004A233C"/>
    <w:rsid w:val="004A261C"/>
    <w:rsid w:val="004A2894"/>
    <w:rsid w:val="004A3434"/>
    <w:rsid w:val="004A419C"/>
    <w:rsid w:val="004A6A3B"/>
    <w:rsid w:val="004A6B8D"/>
    <w:rsid w:val="004A796A"/>
    <w:rsid w:val="004A7DE3"/>
    <w:rsid w:val="004B2A32"/>
    <w:rsid w:val="004B2BD9"/>
    <w:rsid w:val="004B2C0B"/>
    <w:rsid w:val="004B2D72"/>
    <w:rsid w:val="004B4558"/>
    <w:rsid w:val="004B46FB"/>
    <w:rsid w:val="004B5201"/>
    <w:rsid w:val="004B5E9D"/>
    <w:rsid w:val="004B652D"/>
    <w:rsid w:val="004B73F9"/>
    <w:rsid w:val="004B7F7D"/>
    <w:rsid w:val="004C03FB"/>
    <w:rsid w:val="004C0932"/>
    <w:rsid w:val="004C3E1E"/>
    <w:rsid w:val="004C63FA"/>
    <w:rsid w:val="004C6F26"/>
    <w:rsid w:val="004D0ADE"/>
    <w:rsid w:val="004D0E87"/>
    <w:rsid w:val="004D178D"/>
    <w:rsid w:val="004D2492"/>
    <w:rsid w:val="004D2887"/>
    <w:rsid w:val="004D48CA"/>
    <w:rsid w:val="004D59CA"/>
    <w:rsid w:val="004D5DFD"/>
    <w:rsid w:val="004D78B4"/>
    <w:rsid w:val="004D7D1C"/>
    <w:rsid w:val="004D7E8F"/>
    <w:rsid w:val="004E13D2"/>
    <w:rsid w:val="004E2CD9"/>
    <w:rsid w:val="004E3519"/>
    <w:rsid w:val="004E3D3A"/>
    <w:rsid w:val="004E3F23"/>
    <w:rsid w:val="004E52DB"/>
    <w:rsid w:val="004F05AF"/>
    <w:rsid w:val="004F0E3C"/>
    <w:rsid w:val="004F2F89"/>
    <w:rsid w:val="004F415F"/>
    <w:rsid w:val="004F5B6A"/>
    <w:rsid w:val="005000F2"/>
    <w:rsid w:val="005018F5"/>
    <w:rsid w:val="00503A26"/>
    <w:rsid w:val="00504DD5"/>
    <w:rsid w:val="005056D4"/>
    <w:rsid w:val="005062D8"/>
    <w:rsid w:val="005110C2"/>
    <w:rsid w:val="00511D7E"/>
    <w:rsid w:val="00513DE2"/>
    <w:rsid w:val="0051446D"/>
    <w:rsid w:val="00514B0B"/>
    <w:rsid w:val="00514D77"/>
    <w:rsid w:val="00516B91"/>
    <w:rsid w:val="00516C9C"/>
    <w:rsid w:val="005221E8"/>
    <w:rsid w:val="00531338"/>
    <w:rsid w:val="00532953"/>
    <w:rsid w:val="00533E0E"/>
    <w:rsid w:val="0053611C"/>
    <w:rsid w:val="00537799"/>
    <w:rsid w:val="00541457"/>
    <w:rsid w:val="00543CFA"/>
    <w:rsid w:val="00546903"/>
    <w:rsid w:val="00551567"/>
    <w:rsid w:val="00551AC4"/>
    <w:rsid w:val="00552AB7"/>
    <w:rsid w:val="00552ED5"/>
    <w:rsid w:val="00553166"/>
    <w:rsid w:val="005546C1"/>
    <w:rsid w:val="00554781"/>
    <w:rsid w:val="0055687F"/>
    <w:rsid w:val="00560604"/>
    <w:rsid w:val="005628BA"/>
    <w:rsid w:val="00562FFD"/>
    <w:rsid w:val="005642C6"/>
    <w:rsid w:val="00565002"/>
    <w:rsid w:val="005666DE"/>
    <w:rsid w:val="00566B02"/>
    <w:rsid w:val="00570056"/>
    <w:rsid w:val="00572166"/>
    <w:rsid w:val="0057335C"/>
    <w:rsid w:val="00574EA3"/>
    <w:rsid w:val="00577376"/>
    <w:rsid w:val="00581837"/>
    <w:rsid w:val="0058604D"/>
    <w:rsid w:val="005860D0"/>
    <w:rsid w:val="0058656A"/>
    <w:rsid w:val="00586834"/>
    <w:rsid w:val="00587491"/>
    <w:rsid w:val="00590CF3"/>
    <w:rsid w:val="00592318"/>
    <w:rsid w:val="00592ED5"/>
    <w:rsid w:val="005963F4"/>
    <w:rsid w:val="00597D0A"/>
    <w:rsid w:val="005A42E8"/>
    <w:rsid w:val="005A5985"/>
    <w:rsid w:val="005A6638"/>
    <w:rsid w:val="005A7538"/>
    <w:rsid w:val="005A765A"/>
    <w:rsid w:val="005B1250"/>
    <w:rsid w:val="005B1A77"/>
    <w:rsid w:val="005B1A7A"/>
    <w:rsid w:val="005B20E8"/>
    <w:rsid w:val="005B29BA"/>
    <w:rsid w:val="005B2D23"/>
    <w:rsid w:val="005B41C3"/>
    <w:rsid w:val="005B4E3B"/>
    <w:rsid w:val="005B5BAF"/>
    <w:rsid w:val="005B5F59"/>
    <w:rsid w:val="005B70FF"/>
    <w:rsid w:val="005C0C3A"/>
    <w:rsid w:val="005C255B"/>
    <w:rsid w:val="005C2FC1"/>
    <w:rsid w:val="005C4D42"/>
    <w:rsid w:val="005C51E7"/>
    <w:rsid w:val="005C578A"/>
    <w:rsid w:val="005C5B4F"/>
    <w:rsid w:val="005C6CAD"/>
    <w:rsid w:val="005C6FE5"/>
    <w:rsid w:val="005D08F3"/>
    <w:rsid w:val="005D0E22"/>
    <w:rsid w:val="005D1C69"/>
    <w:rsid w:val="005D2180"/>
    <w:rsid w:val="005D604A"/>
    <w:rsid w:val="005D6746"/>
    <w:rsid w:val="005E038D"/>
    <w:rsid w:val="005E0DE9"/>
    <w:rsid w:val="005E14AD"/>
    <w:rsid w:val="005E154C"/>
    <w:rsid w:val="005E17B0"/>
    <w:rsid w:val="005E2FDE"/>
    <w:rsid w:val="005E479F"/>
    <w:rsid w:val="005E5A2E"/>
    <w:rsid w:val="005E7AC0"/>
    <w:rsid w:val="005F216C"/>
    <w:rsid w:val="005F279F"/>
    <w:rsid w:val="005F28BD"/>
    <w:rsid w:val="005F28EE"/>
    <w:rsid w:val="005F29F5"/>
    <w:rsid w:val="005F3610"/>
    <w:rsid w:val="005F49D6"/>
    <w:rsid w:val="005F4D96"/>
    <w:rsid w:val="005F7FC7"/>
    <w:rsid w:val="0060040B"/>
    <w:rsid w:val="00600990"/>
    <w:rsid w:val="00605885"/>
    <w:rsid w:val="0060592E"/>
    <w:rsid w:val="006112F7"/>
    <w:rsid w:val="0061197E"/>
    <w:rsid w:val="00613943"/>
    <w:rsid w:val="0061622C"/>
    <w:rsid w:val="0061629F"/>
    <w:rsid w:val="00616682"/>
    <w:rsid w:val="0061780B"/>
    <w:rsid w:val="00621505"/>
    <w:rsid w:val="00621DBC"/>
    <w:rsid w:val="00622B00"/>
    <w:rsid w:val="00623494"/>
    <w:rsid w:val="006243E3"/>
    <w:rsid w:val="0062792E"/>
    <w:rsid w:val="00630C81"/>
    <w:rsid w:val="0063153B"/>
    <w:rsid w:val="00632590"/>
    <w:rsid w:val="0063290E"/>
    <w:rsid w:val="00633103"/>
    <w:rsid w:val="0063365A"/>
    <w:rsid w:val="0063403C"/>
    <w:rsid w:val="006367B3"/>
    <w:rsid w:val="006369F9"/>
    <w:rsid w:val="00637C4C"/>
    <w:rsid w:val="00641069"/>
    <w:rsid w:val="00641423"/>
    <w:rsid w:val="00646424"/>
    <w:rsid w:val="006467D2"/>
    <w:rsid w:val="00646D19"/>
    <w:rsid w:val="00650746"/>
    <w:rsid w:val="0065164E"/>
    <w:rsid w:val="006519AE"/>
    <w:rsid w:val="006529AB"/>
    <w:rsid w:val="006541E9"/>
    <w:rsid w:val="0065428F"/>
    <w:rsid w:val="00654361"/>
    <w:rsid w:val="006545B3"/>
    <w:rsid w:val="00655432"/>
    <w:rsid w:val="0065595F"/>
    <w:rsid w:val="00655B9B"/>
    <w:rsid w:val="00655ECB"/>
    <w:rsid w:val="00655F1A"/>
    <w:rsid w:val="006577A9"/>
    <w:rsid w:val="0066047D"/>
    <w:rsid w:val="00661D20"/>
    <w:rsid w:val="006635CA"/>
    <w:rsid w:val="00663794"/>
    <w:rsid w:val="0066549E"/>
    <w:rsid w:val="00670064"/>
    <w:rsid w:val="00671AA4"/>
    <w:rsid w:val="00672C74"/>
    <w:rsid w:val="006731BF"/>
    <w:rsid w:val="00673FEF"/>
    <w:rsid w:val="00674796"/>
    <w:rsid w:val="00674DD5"/>
    <w:rsid w:val="00675B57"/>
    <w:rsid w:val="006806D9"/>
    <w:rsid w:val="006818D1"/>
    <w:rsid w:val="006842EE"/>
    <w:rsid w:val="006844DD"/>
    <w:rsid w:val="00685883"/>
    <w:rsid w:val="00690C5D"/>
    <w:rsid w:val="00690FC9"/>
    <w:rsid w:val="00692733"/>
    <w:rsid w:val="00694834"/>
    <w:rsid w:val="006960DD"/>
    <w:rsid w:val="006973F2"/>
    <w:rsid w:val="00697CFC"/>
    <w:rsid w:val="006A0077"/>
    <w:rsid w:val="006A13EF"/>
    <w:rsid w:val="006A279D"/>
    <w:rsid w:val="006A372B"/>
    <w:rsid w:val="006A5E32"/>
    <w:rsid w:val="006A7042"/>
    <w:rsid w:val="006B014F"/>
    <w:rsid w:val="006B04AD"/>
    <w:rsid w:val="006B1120"/>
    <w:rsid w:val="006B20C7"/>
    <w:rsid w:val="006B2B34"/>
    <w:rsid w:val="006B36FD"/>
    <w:rsid w:val="006B4C25"/>
    <w:rsid w:val="006B51EA"/>
    <w:rsid w:val="006B55B7"/>
    <w:rsid w:val="006C08CA"/>
    <w:rsid w:val="006C2025"/>
    <w:rsid w:val="006C4B7C"/>
    <w:rsid w:val="006C6AA1"/>
    <w:rsid w:val="006C77A9"/>
    <w:rsid w:val="006D15A2"/>
    <w:rsid w:val="006D1B43"/>
    <w:rsid w:val="006D36FC"/>
    <w:rsid w:val="006D39D2"/>
    <w:rsid w:val="006D573E"/>
    <w:rsid w:val="006E0854"/>
    <w:rsid w:val="006E0B4A"/>
    <w:rsid w:val="006E24AD"/>
    <w:rsid w:val="006E295E"/>
    <w:rsid w:val="006E3D9E"/>
    <w:rsid w:val="006E5A53"/>
    <w:rsid w:val="006E5CF7"/>
    <w:rsid w:val="006E66CD"/>
    <w:rsid w:val="006E6D45"/>
    <w:rsid w:val="006F2553"/>
    <w:rsid w:val="006F2D0F"/>
    <w:rsid w:val="006F3B94"/>
    <w:rsid w:val="006F3FEA"/>
    <w:rsid w:val="006F4AD1"/>
    <w:rsid w:val="006F4F87"/>
    <w:rsid w:val="006F7915"/>
    <w:rsid w:val="007024A9"/>
    <w:rsid w:val="00703413"/>
    <w:rsid w:val="00705352"/>
    <w:rsid w:val="00705A13"/>
    <w:rsid w:val="00712B70"/>
    <w:rsid w:val="00712BDF"/>
    <w:rsid w:val="007131BB"/>
    <w:rsid w:val="00713A39"/>
    <w:rsid w:val="00714BD0"/>
    <w:rsid w:val="007154DF"/>
    <w:rsid w:val="00715B9A"/>
    <w:rsid w:val="00715E9D"/>
    <w:rsid w:val="00716394"/>
    <w:rsid w:val="00717A13"/>
    <w:rsid w:val="007209BF"/>
    <w:rsid w:val="00720AD9"/>
    <w:rsid w:val="00722759"/>
    <w:rsid w:val="007228D4"/>
    <w:rsid w:val="00723899"/>
    <w:rsid w:val="00723FCB"/>
    <w:rsid w:val="007255C2"/>
    <w:rsid w:val="0073037A"/>
    <w:rsid w:val="00730517"/>
    <w:rsid w:val="00732119"/>
    <w:rsid w:val="00736803"/>
    <w:rsid w:val="00737DE9"/>
    <w:rsid w:val="0074040E"/>
    <w:rsid w:val="007419B1"/>
    <w:rsid w:val="0074254B"/>
    <w:rsid w:val="0074724F"/>
    <w:rsid w:val="00751C0F"/>
    <w:rsid w:val="0075368D"/>
    <w:rsid w:val="007537DE"/>
    <w:rsid w:val="0075514B"/>
    <w:rsid w:val="00762CA4"/>
    <w:rsid w:val="00764D4A"/>
    <w:rsid w:val="0076722C"/>
    <w:rsid w:val="00772012"/>
    <w:rsid w:val="00772090"/>
    <w:rsid w:val="00773AEE"/>
    <w:rsid w:val="00773F9C"/>
    <w:rsid w:val="00774FC7"/>
    <w:rsid w:val="0077535C"/>
    <w:rsid w:val="00776713"/>
    <w:rsid w:val="007808EE"/>
    <w:rsid w:val="00781C4A"/>
    <w:rsid w:val="007838EC"/>
    <w:rsid w:val="007838FF"/>
    <w:rsid w:val="00784B7C"/>
    <w:rsid w:val="00784D2D"/>
    <w:rsid w:val="007879B4"/>
    <w:rsid w:val="00790A1A"/>
    <w:rsid w:val="007940B2"/>
    <w:rsid w:val="0079467E"/>
    <w:rsid w:val="00794BC6"/>
    <w:rsid w:val="007950B6"/>
    <w:rsid w:val="007952FB"/>
    <w:rsid w:val="007956D3"/>
    <w:rsid w:val="00795BAB"/>
    <w:rsid w:val="0079789E"/>
    <w:rsid w:val="007A0695"/>
    <w:rsid w:val="007A16EF"/>
    <w:rsid w:val="007A3CF6"/>
    <w:rsid w:val="007A58A1"/>
    <w:rsid w:val="007A5BF7"/>
    <w:rsid w:val="007B17CC"/>
    <w:rsid w:val="007B1CD9"/>
    <w:rsid w:val="007B251E"/>
    <w:rsid w:val="007B38B7"/>
    <w:rsid w:val="007B41CE"/>
    <w:rsid w:val="007B44BA"/>
    <w:rsid w:val="007B491D"/>
    <w:rsid w:val="007B5191"/>
    <w:rsid w:val="007B544E"/>
    <w:rsid w:val="007B5E57"/>
    <w:rsid w:val="007B6408"/>
    <w:rsid w:val="007B66C3"/>
    <w:rsid w:val="007B685F"/>
    <w:rsid w:val="007B6A6A"/>
    <w:rsid w:val="007B7386"/>
    <w:rsid w:val="007B7FCE"/>
    <w:rsid w:val="007C0551"/>
    <w:rsid w:val="007C13C5"/>
    <w:rsid w:val="007C165C"/>
    <w:rsid w:val="007C16EF"/>
    <w:rsid w:val="007C1E0D"/>
    <w:rsid w:val="007C20BA"/>
    <w:rsid w:val="007C324E"/>
    <w:rsid w:val="007C5F77"/>
    <w:rsid w:val="007C6029"/>
    <w:rsid w:val="007C695C"/>
    <w:rsid w:val="007C782F"/>
    <w:rsid w:val="007C7F7F"/>
    <w:rsid w:val="007D16FC"/>
    <w:rsid w:val="007D42D0"/>
    <w:rsid w:val="007D4CB3"/>
    <w:rsid w:val="007D558E"/>
    <w:rsid w:val="007D58E4"/>
    <w:rsid w:val="007D7C69"/>
    <w:rsid w:val="007E1336"/>
    <w:rsid w:val="007E15E9"/>
    <w:rsid w:val="007E1D10"/>
    <w:rsid w:val="007E1E4A"/>
    <w:rsid w:val="007E2D9F"/>
    <w:rsid w:val="007E4E9B"/>
    <w:rsid w:val="007E5840"/>
    <w:rsid w:val="007E6465"/>
    <w:rsid w:val="007E6A39"/>
    <w:rsid w:val="007E6BD6"/>
    <w:rsid w:val="007E71CA"/>
    <w:rsid w:val="007F06A5"/>
    <w:rsid w:val="007F098B"/>
    <w:rsid w:val="007F2CEC"/>
    <w:rsid w:val="007F3259"/>
    <w:rsid w:val="007F3785"/>
    <w:rsid w:val="007F52F0"/>
    <w:rsid w:val="007F5D17"/>
    <w:rsid w:val="007F5D9D"/>
    <w:rsid w:val="007F5DAB"/>
    <w:rsid w:val="007F6E04"/>
    <w:rsid w:val="007F77A7"/>
    <w:rsid w:val="008008CA"/>
    <w:rsid w:val="00801539"/>
    <w:rsid w:val="0080214F"/>
    <w:rsid w:val="00802674"/>
    <w:rsid w:val="00804727"/>
    <w:rsid w:val="00805CC0"/>
    <w:rsid w:val="00806B0A"/>
    <w:rsid w:val="008118F6"/>
    <w:rsid w:val="008119DF"/>
    <w:rsid w:val="00812826"/>
    <w:rsid w:val="00814767"/>
    <w:rsid w:val="008153B8"/>
    <w:rsid w:val="0081588A"/>
    <w:rsid w:val="008166E6"/>
    <w:rsid w:val="00816E68"/>
    <w:rsid w:val="00817AC6"/>
    <w:rsid w:val="00817D8F"/>
    <w:rsid w:val="00820E83"/>
    <w:rsid w:val="00822355"/>
    <w:rsid w:val="00822A76"/>
    <w:rsid w:val="0082387A"/>
    <w:rsid w:val="008238A5"/>
    <w:rsid w:val="00824980"/>
    <w:rsid w:val="008271F4"/>
    <w:rsid w:val="00827C66"/>
    <w:rsid w:val="00831005"/>
    <w:rsid w:val="00831BCB"/>
    <w:rsid w:val="008335A4"/>
    <w:rsid w:val="00833680"/>
    <w:rsid w:val="0083415D"/>
    <w:rsid w:val="0083480E"/>
    <w:rsid w:val="00834D08"/>
    <w:rsid w:val="00835236"/>
    <w:rsid w:val="008364F1"/>
    <w:rsid w:val="008367A9"/>
    <w:rsid w:val="00842DBC"/>
    <w:rsid w:val="0084356F"/>
    <w:rsid w:val="008439D1"/>
    <w:rsid w:val="0084414F"/>
    <w:rsid w:val="00846494"/>
    <w:rsid w:val="00852F9D"/>
    <w:rsid w:val="00854129"/>
    <w:rsid w:val="00860AE9"/>
    <w:rsid w:val="00862123"/>
    <w:rsid w:val="00863F07"/>
    <w:rsid w:val="00864255"/>
    <w:rsid w:val="00864299"/>
    <w:rsid w:val="008650B5"/>
    <w:rsid w:val="00865592"/>
    <w:rsid w:val="0086575A"/>
    <w:rsid w:val="00865B0B"/>
    <w:rsid w:val="00867491"/>
    <w:rsid w:val="00872F6F"/>
    <w:rsid w:val="008747F1"/>
    <w:rsid w:val="00874B2C"/>
    <w:rsid w:val="008751C1"/>
    <w:rsid w:val="00881445"/>
    <w:rsid w:val="00882192"/>
    <w:rsid w:val="0088298E"/>
    <w:rsid w:val="00882E9D"/>
    <w:rsid w:val="0088352A"/>
    <w:rsid w:val="00884D5B"/>
    <w:rsid w:val="0088553B"/>
    <w:rsid w:val="00885B59"/>
    <w:rsid w:val="00886011"/>
    <w:rsid w:val="00886B38"/>
    <w:rsid w:val="00890549"/>
    <w:rsid w:val="00892835"/>
    <w:rsid w:val="008932C1"/>
    <w:rsid w:val="00893432"/>
    <w:rsid w:val="00893788"/>
    <w:rsid w:val="00894447"/>
    <w:rsid w:val="00894A4A"/>
    <w:rsid w:val="00894D02"/>
    <w:rsid w:val="00896FF5"/>
    <w:rsid w:val="008A28E0"/>
    <w:rsid w:val="008A2CA0"/>
    <w:rsid w:val="008A3290"/>
    <w:rsid w:val="008A3E34"/>
    <w:rsid w:val="008A5B68"/>
    <w:rsid w:val="008B191E"/>
    <w:rsid w:val="008B25A6"/>
    <w:rsid w:val="008B68EA"/>
    <w:rsid w:val="008B6A27"/>
    <w:rsid w:val="008B7B40"/>
    <w:rsid w:val="008C0A0F"/>
    <w:rsid w:val="008C2FE1"/>
    <w:rsid w:val="008C4E43"/>
    <w:rsid w:val="008C4FA6"/>
    <w:rsid w:val="008C549E"/>
    <w:rsid w:val="008C6B8D"/>
    <w:rsid w:val="008C766B"/>
    <w:rsid w:val="008D078F"/>
    <w:rsid w:val="008D1324"/>
    <w:rsid w:val="008D618E"/>
    <w:rsid w:val="008D73F9"/>
    <w:rsid w:val="008D7722"/>
    <w:rsid w:val="008E5A06"/>
    <w:rsid w:val="008E5A27"/>
    <w:rsid w:val="008E64C5"/>
    <w:rsid w:val="008E679A"/>
    <w:rsid w:val="008F23E9"/>
    <w:rsid w:val="008F2F4A"/>
    <w:rsid w:val="008F4330"/>
    <w:rsid w:val="008F4A42"/>
    <w:rsid w:val="00900E58"/>
    <w:rsid w:val="0090199F"/>
    <w:rsid w:val="00902589"/>
    <w:rsid w:val="0090299D"/>
    <w:rsid w:val="00902E85"/>
    <w:rsid w:val="0090475E"/>
    <w:rsid w:val="00905034"/>
    <w:rsid w:val="009074DF"/>
    <w:rsid w:val="009107D8"/>
    <w:rsid w:val="009119CA"/>
    <w:rsid w:val="00911B0A"/>
    <w:rsid w:val="00917AE6"/>
    <w:rsid w:val="00922AA6"/>
    <w:rsid w:val="009237C2"/>
    <w:rsid w:val="00924CC6"/>
    <w:rsid w:val="00927506"/>
    <w:rsid w:val="00927735"/>
    <w:rsid w:val="0093291E"/>
    <w:rsid w:val="00934EDF"/>
    <w:rsid w:val="009358B2"/>
    <w:rsid w:val="009379B3"/>
    <w:rsid w:val="0094027E"/>
    <w:rsid w:val="00941C0D"/>
    <w:rsid w:val="009426AB"/>
    <w:rsid w:val="009462C3"/>
    <w:rsid w:val="00952FA5"/>
    <w:rsid w:val="009537FB"/>
    <w:rsid w:val="00954CE7"/>
    <w:rsid w:val="009560D3"/>
    <w:rsid w:val="009577B9"/>
    <w:rsid w:val="00957C76"/>
    <w:rsid w:val="0096067D"/>
    <w:rsid w:val="009607E6"/>
    <w:rsid w:val="00961412"/>
    <w:rsid w:val="00961464"/>
    <w:rsid w:val="00962998"/>
    <w:rsid w:val="00962ABE"/>
    <w:rsid w:val="009638F2"/>
    <w:rsid w:val="00963AF7"/>
    <w:rsid w:val="00963CB4"/>
    <w:rsid w:val="00963DE5"/>
    <w:rsid w:val="00966F73"/>
    <w:rsid w:val="00967157"/>
    <w:rsid w:val="0096747D"/>
    <w:rsid w:val="00970588"/>
    <w:rsid w:val="009707F2"/>
    <w:rsid w:val="00971A89"/>
    <w:rsid w:val="009740D2"/>
    <w:rsid w:val="0097431C"/>
    <w:rsid w:val="00975C8E"/>
    <w:rsid w:val="00977A5A"/>
    <w:rsid w:val="00980C9C"/>
    <w:rsid w:val="00980E7A"/>
    <w:rsid w:val="00981E2C"/>
    <w:rsid w:val="0098429E"/>
    <w:rsid w:val="00985CDE"/>
    <w:rsid w:val="00991FC1"/>
    <w:rsid w:val="00992C5E"/>
    <w:rsid w:val="00992FE8"/>
    <w:rsid w:val="009953E0"/>
    <w:rsid w:val="00995D2D"/>
    <w:rsid w:val="00995D56"/>
    <w:rsid w:val="0099612C"/>
    <w:rsid w:val="00996EF7"/>
    <w:rsid w:val="0099722C"/>
    <w:rsid w:val="009A1A1F"/>
    <w:rsid w:val="009A22EF"/>
    <w:rsid w:val="009A2FE7"/>
    <w:rsid w:val="009A5C31"/>
    <w:rsid w:val="009A62A2"/>
    <w:rsid w:val="009B49F2"/>
    <w:rsid w:val="009B5049"/>
    <w:rsid w:val="009B580D"/>
    <w:rsid w:val="009B5A07"/>
    <w:rsid w:val="009B66A1"/>
    <w:rsid w:val="009B719E"/>
    <w:rsid w:val="009C05D5"/>
    <w:rsid w:val="009C0CB6"/>
    <w:rsid w:val="009C1DD8"/>
    <w:rsid w:val="009C225E"/>
    <w:rsid w:val="009C228F"/>
    <w:rsid w:val="009C3D40"/>
    <w:rsid w:val="009C4544"/>
    <w:rsid w:val="009D09EC"/>
    <w:rsid w:val="009D1E03"/>
    <w:rsid w:val="009D27E0"/>
    <w:rsid w:val="009D397D"/>
    <w:rsid w:val="009D4FF1"/>
    <w:rsid w:val="009D78D0"/>
    <w:rsid w:val="009E0529"/>
    <w:rsid w:val="009E0F10"/>
    <w:rsid w:val="009E3212"/>
    <w:rsid w:val="009E6BDA"/>
    <w:rsid w:val="009E78FC"/>
    <w:rsid w:val="009F110A"/>
    <w:rsid w:val="009F163B"/>
    <w:rsid w:val="009F1AF9"/>
    <w:rsid w:val="009F2FA4"/>
    <w:rsid w:val="009F30AA"/>
    <w:rsid w:val="009F4FBE"/>
    <w:rsid w:val="009F5356"/>
    <w:rsid w:val="009F5BAC"/>
    <w:rsid w:val="009F5C14"/>
    <w:rsid w:val="009F7AB6"/>
    <w:rsid w:val="00A0102C"/>
    <w:rsid w:val="00A0311C"/>
    <w:rsid w:val="00A04DD1"/>
    <w:rsid w:val="00A05A24"/>
    <w:rsid w:val="00A0650D"/>
    <w:rsid w:val="00A0653F"/>
    <w:rsid w:val="00A06D5F"/>
    <w:rsid w:val="00A10919"/>
    <w:rsid w:val="00A13D37"/>
    <w:rsid w:val="00A15AFB"/>
    <w:rsid w:val="00A1734F"/>
    <w:rsid w:val="00A23051"/>
    <w:rsid w:val="00A24F48"/>
    <w:rsid w:val="00A256EF"/>
    <w:rsid w:val="00A25918"/>
    <w:rsid w:val="00A26A7F"/>
    <w:rsid w:val="00A274DA"/>
    <w:rsid w:val="00A274FC"/>
    <w:rsid w:val="00A278AF"/>
    <w:rsid w:val="00A3169E"/>
    <w:rsid w:val="00A337E9"/>
    <w:rsid w:val="00A341EB"/>
    <w:rsid w:val="00A35CD9"/>
    <w:rsid w:val="00A40C8C"/>
    <w:rsid w:val="00A40D7F"/>
    <w:rsid w:val="00A44F87"/>
    <w:rsid w:val="00A453C3"/>
    <w:rsid w:val="00A479E3"/>
    <w:rsid w:val="00A47C78"/>
    <w:rsid w:val="00A5076B"/>
    <w:rsid w:val="00A50AC5"/>
    <w:rsid w:val="00A5109C"/>
    <w:rsid w:val="00A5122C"/>
    <w:rsid w:val="00A51D97"/>
    <w:rsid w:val="00A537D9"/>
    <w:rsid w:val="00A5456B"/>
    <w:rsid w:val="00A55538"/>
    <w:rsid w:val="00A55B33"/>
    <w:rsid w:val="00A561C2"/>
    <w:rsid w:val="00A573E4"/>
    <w:rsid w:val="00A5778C"/>
    <w:rsid w:val="00A60B97"/>
    <w:rsid w:val="00A61E8C"/>
    <w:rsid w:val="00A62CA7"/>
    <w:rsid w:val="00A6365F"/>
    <w:rsid w:val="00A646F7"/>
    <w:rsid w:val="00A65FFE"/>
    <w:rsid w:val="00A70A73"/>
    <w:rsid w:val="00A70EC8"/>
    <w:rsid w:val="00A71769"/>
    <w:rsid w:val="00A71A7A"/>
    <w:rsid w:val="00A72845"/>
    <w:rsid w:val="00A73E50"/>
    <w:rsid w:val="00A748B1"/>
    <w:rsid w:val="00A80CDD"/>
    <w:rsid w:val="00A80F01"/>
    <w:rsid w:val="00A818F2"/>
    <w:rsid w:val="00A81940"/>
    <w:rsid w:val="00A831A9"/>
    <w:rsid w:val="00A841B1"/>
    <w:rsid w:val="00A85829"/>
    <w:rsid w:val="00A873EC"/>
    <w:rsid w:val="00A906E9"/>
    <w:rsid w:val="00A91489"/>
    <w:rsid w:val="00A9198D"/>
    <w:rsid w:val="00A94F72"/>
    <w:rsid w:val="00A95C39"/>
    <w:rsid w:val="00A95FA8"/>
    <w:rsid w:val="00A97025"/>
    <w:rsid w:val="00A971B9"/>
    <w:rsid w:val="00A97282"/>
    <w:rsid w:val="00AA01B0"/>
    <w:rsid w:val="00AA07FA"/>
    <w:rsid w:val="00AA08C0"/>
    <w:rsid w:val="00AA2CA8"/>
    <w:rsid w:val="00AA2F8B"/>
    <w:rsid w:val="00AA4451"/>
    <w:rsid w:val="00AA5DE0"/>
    <w:rsid w:val="00AA5FF9"/>
    <w:rsid w:val="00AB15A2"/>
    <w:rsid w:val="00AB1634"/>
    <w:rsid w:val="00AB1650"/>
    <w:rsid w:val="00AB3444"/>
    <w:rsid w:val="00AB4608"/>
    <w:rsid w:val="00AB699B"/>
    <w:rsid w:val="00AB6EFB"/>
    <w:rsid w:val="00AC00DC"/>
    <w:rsid w:val="00AC0439"/>
    <w:rsid w:val="00AC13CF"/>
    <w:rsid w:val="00AC36CF"/>
    <w:rsid w:val="00AC4383"/>
    <w:rsid w:val="00AD1017"/>
    <w:rsid w:val="00AD3EE4"/>
    <w:rsid w:val="00AD4381"/>
    <w:rsid w:val="00AD4D18"/>
    <w:rsid w:val="00AD5ECB"/>
    <w:rsid w:val="00AD64DF"/>
    <w:rsid w:val="00AD6D85"/>
    <w:rsid w:val="00AD7094"/>
    <w:rsid w:val="00AE0A5E"/>
    <w:rsid w:val="00AE0C05"/>
    <w:rsid w:val="00AE0CCE"/>
    <w:rsid w:val="00AE10E0"/>
    <w:rsid w:val="00AE2211"/>
    <w:rsid w:val="00AE2335"/>
    <w:rsid w:val="00AE351E"/>
    <w:rsid w:val="00AE3660"/>
    <w:rsid w:val="00AE5317"/>
    <w:rsid w:val="00AE5F04"/>
    <w:rsid w:val="00AE60C9"/>
    <w:rsid w:val="00AE6C1C"/>
    <w:rsid w:val="00AE73AC"/>
    <w:rsid w:val="00AE7DDF"/>
    <w:rsid w:val="00AF1C3E"/>
    <w:rsid w:val="00AF24E7"/>
    <w:rsid w:val="00AF26C1"/>
    <w:rsid w:val="00AF29F8"/>
    <w:rsid w:val="00AF424A"/>
    <w:rsid w:val="00AF4325"/>
    <w:rsid w:val="00AF51FF"/>
    <w:rsid w:val="00AF5374"/>
    <w:rsid w:val="00AF5411"/>
    <w:rsid w:val="00AF5A8E"/>
    <w:rsid w:val="00AF6E72"/>
    <w:rsid w:val="00B00B7D"/>
    <w:rsid w:val="00B00DC0"/>
    <w:rsid w:val="00B05144"/>
    <w:rsid w:val="00B10D3F"/>
    <w:rsid w:val="00B12756"/>
    <w:rsid w:val="00B12930"/>
    <w:rsid w:val="00B1655B"/>
    <w:rsid w:val="00B26D11"/>
    <w:rsid w:val="00B27F33"/>
    <w:rsid w:val="00B30907"/>
    <w:rsid w:val="00B30A4E"/>
    <w:rsid w:val="00B33887"/>
    <w:rsid w:val="00B35314"/>
    <w:rsid w:val="00B35543"/>
    <w:rsid w:val="00B360E5"/>
    <w:rsid w:val="00B361C1"/>
    <w:rsid w:val="00B37B71"/>
    <w:rsid w:val="00B4006C"/>
    <w:rsid w:val="00B4149B"/>
    <w:rsid w:val="00B426F4"/>
    <w:rsid w:val="00B43883"/>
    <w:rsid w:val="00B44871"/>
    <w:rsid w:val="00B462B5"/>
    <w:rsid w:val="00B46E90"/>
    <w:rsid w:val="00B46E95"/>
    <w:rsid w:val="00B528C1"/>
    <w:rsid w:val="00B5290E"/>
    <w:rsid w:val="00B53E7E"/>
    <w:rsid w:val="00B5407E"/>
    <w:rsid w:val="00B54BFC"/>
    <w:rsid w:val="00B5595F"/>
    <w:rsid w:val="00B559C9"/>
    <w:rsid w:val="00B57849"/>
    <w:rsid w:val="00B57BF5"/>
    <w:rsid w:val="00B62533"/>
    <w:rsid w:val="00B63B60"/>
    <w:rsid w:val="00B64374"/>
    <w:rsid w:val="00B700B7"/>
    <w:rsid w:val="00B71F21"/>
    <w:rsid w:val="00B72FD3"/>
    <w:rsid w:val="00B73171"/>
    <w:rsid w:val="00B7385A"/>
    <w:rsid w:val="00B74457"/>
    <w:rsid w:val="00B76583"/>
    <w:rsid w:val="00B77640"/>
    <w:rsid w:val="00B825D5"/>
    <w:rsid w:val="00B82963"/>
    <w:rsid w:val="00B83490"/>
    <w:rsid w:val="00B83DEA"/>
    <w:rsid w:val="00B85858"/>
    <w:rsid w:val="00B861FF"/>
    <w:rsid w:val="00B862AF"/>
    <w:rsid w:val="00B87A1B"/>
    <w:rsid w:val="00B902CB"/>
    <w:rsid w:val="00B90835"/>
    <w:rsid w:val="00B910A4"/>
    <w:rsid w:val="00B92505"/>
    <w:rsid w:val="00B92743"/>
    <w:rsid w:val="00B9291F"/>
    <w:rsid w:val="00B9387C"/>
    <w:rsid w:val="00B94FE1"/>
    <w:rsid w:val="00B956D9"/>
    <w:rsid w:val="00B9585B"/>
    <w:rsid w:val="00B97783"/>
    <w:rsid w:val="00B97B71"/>
    <w:rsid w:val="00BA0CED"/>
    <w:rsid w:val="00BA2FA5"/>
    <w:rsid w:val="00BA3467"/>
    <w:rsid w:val="00BA482F"/>
    <w:rsid w:val="00BA59E3"/>
    <w:rsid w:val="00BA5DCB"/>
    <w:rsid w:val="00BA669A"/>
    <w:rsid w:val="00BA6B36"/>
    <w:rsid w:val="00BA7154"/>
    <w:rsid w:val="00BB043B"/>
    <w:rsid w:val="00BB0445"/>
    <w:rsid w:val="00BB2473"/>
    <w:rsid w:val="00BB2B2F"/>
    <w:rsid w:val="00BB7E60"/>
    <w:rsid w:val="00BC2393"/>
    <w:rsid w:val="00BC27ED"/>
    <w:rsid w:val="00BC353D"/>
    <w:rsid w:val="00BC3D36"/>
    <w:rsid w:val="00BD05B7"/>
    <w:rsid w:val="00BD16BD"/>
    <w:rsid w:val="00BD220B"/>
    <w:rsid w:val="00BD2956"/>
    <w:rsid w:val="00BD2E4A"/>
    <w:rsid w:val="00BD2FB3"/>
    <w:rsid w:val="00BD30BF"/>
    <w:rsid w:val="00BD4331"/>
    <w:rsid w:val="00BD458B"/>
    <w:rsid w:val="00BD6D3E"/>
    <w:rsid w:val="00BD732F"/>
    <w:rsid w:val="00BD79CB"/>
    <w:rsid w:val="00BE43BF"/>
    <w:rsid w:val="00BE4B65"/>
    <w:rsid w:val="00BF01B9"/>
    <w:rsid w:val="00BF057C"/>
    <w:rsid w:val="00BF08D3"/>
    <w:rsid w:val="00BF120B"/>
    <w:rsid w:val="00BF17AD"/>
    <w:rsid w:val="00BF3D30"/>
    <w:rsid w:val="00BF4871"/>
    <w:rsid w:val="00BF56DB"/>
    <w:rsid w:val="00BF6950"/>
    <w:rsid w:val="00C002DC"/>
    <w:rsid w:val="00C0217A"/>
    <w:rsid w:val="00C03BF1"/>
    <w:rsid w:val="00C04395"/>
    <w:rsid w:val="00C056DA"/>
    <w:rsid w:val="00C057FE"/>
    <w:rsid w:val="00C06EDD"/>
    <w:rsid w:val="00C07C58"/>
    <w:rsid w:val="00C10029"/>
    <w:rsid w:val="00C103A0"/>
    <w:rsid w:val="00C11B92"/>
    <w:rsid w:val="00C11F5C"/>
    <w:rsid w:val="00C12380"/>
    <w:rsid w:val="00C135E4"/>
    <w:rsid w:val="00C13752"/>
    <w:rsid w:val="00C14345"/>
    <w:rsid w:val="00C209AE"/>
    <w:rsid w:val="00C209CE"/>
    <w:rsid w:val="00C2191D"/>
    <w:rsid w:val="00C21C89"/>
    <w:rsid w:val="00C226A5"/>
    <w:rsid w:val="00C22F66"/>
    <w:rsid w:val="00C2334C"/>
    <w:rsid w:val="00C248AF"/>
    <w:rsid w:val="00C24A42"/>
    <w:rsid w:val="00C265E3"/>
    <w:rsid w:val="00C27F30"/>
    <w:rsid w:val="00C33061"/>
    <w:rsid w:val="00C3312C"/>
    <w:rsid w:val="00C33313"/>
    <w:rsid w:val="00C34252"/>
    <w:rsid w:val="00C34963"/>
    <w:rsid w:val="00C3505D"/>
    <w:rsid w:val="00C35D8E"/>
    <w:rsid w:val="00C36919"/>
    <w:rsid w:val="00C36A42"/>
    <w:rsid w:val="00C37938"/>
    <w:rsid w:val="00C407F9"/>
    <w:rsid w:val="00C424B4"/>
    <w:rsid w:val="00C42F6F"/>
    <w:rsid w:val="00C4304C"/>
    <w:rsid w:val="00C47926"/>
    <w:rsid w:val="00C4797D"/>
    <w:rsid w:val="00C50048"/>
    <w:rsid w:val="00C50E3E"/>
    <w:rsid w:val="00C53F8E"/>
    <w:rsid w:val="00C56288"/>
    <w:rsid w:val="00C577B4"/>
    <w:rsid w:val="00C579B8"/>
    <w:rsid w:val="00C60237"/>
    <w:rsid w:val="00C61203"/>
    <w:rsid w:val="00C652F9"/>
    <w:rsid w:val="00C66159"/>
    <w:rsid w:val="00C67CD0"/>
    <w:rsid w:val="00C70C1D"/>
    <w:rsid w:val="00C73F20"/>
    <w:rsid w:val="00C740B3"/>
    <w:rsid w:val="00C74D09"/>
    <w:rsid w:val="00C74F74"/>
    <w:rsid w:val="00C760E6"/>
    <w:rsid w:val="00C77662"/>
    <w:rsid w:val="00C779C0"/>
    <w:rsid w:val="00C80AAF"/>
    <w:rsid w:val="00C80D81"/>
    <w:rsid w:val="00C834A0"/>
    <w:rsid w:val="00C8436A"/>
    <w:rsid w:val="00C84BCD"/>
    <w:rsid w:val="00C86731"/>
    <w:rsid w:val="00C87C5D"/>
    <w:rsid w:val="00C90B4F"/>
    <w:rsid w:val="00C90DF7"/>
    <w:rsid w:val="00C948F2"/>
    <w:rsid w:val="00C95210"/>
    <w:rsid w:val="00C96110"/>
    <w:rsid w:val="00CA2D74"/>
    <w:rsid w:val="00CA40F0"/>
    <w:rsid w:val="00CA4325"/>
    <w:rsid w:val="00CA555F"/>
    <w:rsid w:val="00CA66FE"/>
    <w:rsid w:val="00CA7337"/>
    <w:rsid w:val="00CB057D"/>
    <w:rsid w:val="00CB23D8"/>
    <w:rsid w:val="00CB2E4E"/>
    <w:rsid w:val="00CB347B"/>
    <w:rsid w:val="00CB57FB"/>
    <w:rsid w:val="00CB5BFA"/>
    <w:rsid w:val="00CB6801"/>
    <w:rsid w:val="00CB7489"/>
    <w:rsid w:val="00CC00D2"/>
    <w:rsid w:val="00CC0FE2"/>
    <w:rsid w:val="00CC2CD8"/>
    <w:rsid w:val="00CC3120"/>
    <w:rsid w:val="00CC4596"/>
    <w:rsid w:val="00CC5571"/>
    <w:rsid w:val="00CC66B8"/>
    <w:rsid w:val="00CC686E"/>
    <w:rsid w:val="00CC6DCB"/>
    <w:rsid w:val="00CD0A8A"/>
    <w:rsid w:val="00CD344D"/>
    <w:rsid w:val="00CD34B7"/>
    <w:rsid w:val="00CD49FB"/>
    <w:rsid w:val="00CD4FE6"/>
    <w:rsid w:val="00CD59FB"/>
    <w:rsid w:val="00CD5E08"/>
    <w:rsid w:val="00CD62A8"/>
    <w:rsid w:val="00CD6CAC"/>
    <w:rsid w:val="00CD7B38"/>
    <w:rsid w:val="00CD7C78"/>
    <w:rsid w:val="00CE1402"/>
    <w:rsid w:val="00CE301E"/>
    <w:rsid w:val="00CE32C2"/>
    <w:rsid w:val="00CE34AC"/>
    <w:rsid w:val="00CE38F0"/>
    <w:rsid w:val="00CE4944"/>
    <w:rsid w:val="00CE6562"/>
    <w:rsid w:val="00CE675D"/>
    <w:rsid w:val="00CE6AA7"/>
    <w:rsid w:val="00CF025E"/>
    <w:rsid w:val="00CF1CCF"/>
    <w:rsid w:val="00CF1F56"/>
    <w:rsid w:val="00CF4B61"/>
    <w:rsid w:val="00CF4FDF"/>
    <w:rsid w:val="00D00A41"/>
    <w:rsid w:val="00D01F35"/>
    <w:rsid w:val="00D02068"/>
    <w:rsid w:val="00D04AD4"/>
    <w:rsid w:val="00D07D6E"/>
    <w:rsid w:val="00D10528"/>
    <w:rsid w:val="00D12DEC"/>
    <w:rsid w:val="00D14D92"/>
    <w:rsid w:val="00D16670"/>
    <w:rsid w:val="00D167F3"/>
    <w:rsid w:val="00D16FFC"/>
    <w:rsid w:val="00D171F2"/>
    <w:rsid w:val="00D2036C"/>
    <w:rsid w:val="00D238B1"/>
    <w:rsid w:val="00D253D3"/>
    <w:rsid w:val="00D255FE"/>
    <w:rsid w:val="00D266DB"/>
    <w:rsid w:val="00D26C06"/>
    <w:rsid w:val="00D2718C"/>
    <w:rsid w:val="00D2790D"/>
    <w:rsid w:val="00D303D5"/>
    <w:rsid w:val="00D34F42"/>
    <w:rsid w:val="00D36A3B"/>
    <w:rsid w:val="00D37337"/>
    <w:rsid w:val="00D434D3"/>
    <w:rsid w:val="00D4466C"/>
    <w:rsid w:val="00D45EA8"/>
    <w:rsid w:val="00D46E67"/>
    <w:rsid w:val="00D520E3"/>
    <w:rsid w:val="00D52695"/>
    <w:rsid w:val="00D54BCC"/>
    <w:rsid w:val="00D56DB1"/>
    <w:rsid w:val="00D62BD9"/>
    <w:rsid w:val="00D6596D"/>
    <w:rsid w:val="00D6629D"/>
    <w:rsid w:val="00D67F12"/>
    <w:rsid w:val="00D706A4"/>
    <w:rsid w:val="00D70D98"/>
    <w:rsid w:val="00D73487"/>
    <w:rsid w:val="00D73726"/>
    <w:rsid w:val="00D73B35"/>
    <w:rsid w:val="00D762F2"/>
    <w:rsid w:val="00D76CFE"/>
    <w:rsid w:val="00D76F68"/>
    <w:rsid w:val="00D774EA"/>
    <w:rsid w:val="00D81AF5"/>
    <w:rsid w:val="00D8217B"/>
    <w:rsid w:val="00D82C88"/>
    <w:rsid w:val="00D8557D"/>
    <w:rsid w:val="00D86CC4"/>
    <w:rsid w:val="00D8713E"/>
    <w:rsid w:val="00D90117"/>
    <w:rsid w:val="00D92BCD"/>
    <w:rsid w:val="00D94DEF"/>
    <w:rsid w:val="00D95477"/>
    <w:rsid w:val="00DA06C7"/>
    <w:rsid w:val="00DA35FD"/>
    <w:rsid w:val="00DA3F19"/>
    <w:rsid w:val="00DA550F"/>
    <w:rsid w:val="00DA5D9B"/>
    <w:rsid w:val="00DA66B7"/>
    <w:rsid w:val="00DA6E82"/>
    <w:rsid w:val="00DA777B"/>
    <w:rsid w:val="00DA77E1"/>
    <w:rsid w:val="00DB08C3"/>
    <w:rsid w:val="00DB2A54"/>
    <w:rsid w:val="00DB4601"/>
    <w:rsid w:val="00DB4D1C"/>
    <w:rsid w:val="00DB5A06"/>
    <w:rsid w:val="00DB5C80"/>
    <w:rsid w:val="00DB62BB"/>
    <w:rsid w:val="00DB650B"/>
    <w:rsid w:val="00DB747D"/>
    <w:rsid w:val="00DC0565"/>
    <w:rsid w:val="00DC196E"/>
    <w:rsid w:val="00DC2FE4"/>
    <w:rsid w:val="00DC3F0E"/>
    <w:rsid w:val="00DC4CB8"/>
    <w:rsid w:val="00DC4F78"/>
    <w:rsid w:val="00DD00D1"/>
    <w:rsid w:val="00DD1C5A"/>
    <w:rsid w:val="00DD2B6D"/>
    <w:rsid w:val="00DD326D"/>
    <w:rsid w:val="00DD7D45"/>
    <w:rsid w:val="00DE0891"/>
    <w:rsid w:val="00DE1149"/>
    <w:rsid w:val="00DE159E"/>
    <w:rsid w:val="00DE333E"/>
    <w:rsid w:val="00DE454A"/>
    <w:rsid w:val="00DE5278"/>
    <w:rsid w:val="00DE6D16"/>
    <w:rsid w:val="00DE7486"/>
    <w:rsid w:val="00DE7610"/>
    <w:rsid w:val="00DF2051"/>
    <w:rsid w:val="00DF52D7"/>
    <w:rsid w:val="00DF6465"/>
    <w:rsid w:val="00E011BD"/>
    <w:rsid w:val="00E0135E"/>
    <w:rsid w:val="00E04B3D"/>
    <w:rsid w:val="00E07F28"/>
    <w:rsid w:val="00E1078B"/>
    <w:rsid w:val="00E11970"/>
    <w:rsid w:val="00E1284E"/>
    <w:rsid w:val="00E12854"/>
    <w:rsid w:val="00E12C20"/>
    <w:rsid w:val="00E13757"/>
    <w:rsid w:val="00E137B5"/>
    <w:rsid w:val="00E160B9"/>
    <w:rsid w:val="00E1776D"/>
    <w:rsid w:val="00E2063E"/>
    <w:rsid w:val="00E20743"/>
    <w:rsid w:val="00E220D1"/>
    <w:rsid w:val="00E22A9B"/>
    <w:rsid w:val="00E23825"/>
    <w:rsid w:val="00E24A1A"/>
    <w:rsid w:val="00E25FB2"/>
    <w:rsid w:val="00E260F3"/>
    <w:rsid w:val="00E273CD"/>
    <w:rsid w:val="00E27C93"/>
    <w:rsid w:val="00E30126"/>
    <w:rsid w:val="00E311E3"/>
    <w:rsid w:val="00E32607"/>
    <w:rsid w:val="00E330ED"/>
    <w:rsid w:val="00E336D9"/>
    <w:rsid w:val="00E33826"/>
    <w:rsid w:val="00E33A28"/>
    <w:rsid w:val="00E3410B"/>
    <w:rsid w:val="00E34181"/>
    <w:rsid w:val="00E34E06"/>
    <w:rsid w:val="00E35D8C"/>
    <w:rsid w:val="00E370CA"/>
    <w:rsid w:val="00E37435"/>
    <w:rsid w:val="00E409FC"/>
    <w:rsid w:val="00E40CAC"/>
    <w:rsid w:val="00E42859"/>
    <w:rsid w:val="00E432E9"/>
    <w:rsid w:val="00E46213"/>
    <w:rsid w:val="00E46560"/>
    <w:rsid w:val="00E4775D"/>
    <w:rsid w:val="00E50378"/>
    <w:rsid w:val="00E52794"/>
    <w:rsid w:val="00E53434"/>
    <w:rsid w:val="00E542B2"/>
    <w:rsid w:val="00E55D80"/>
    <w:rsid w:val="00E577B3"/>
    <w:rsid w:val="00E6439B"/>
    <w:rsid w:val="00E649CE"/>
    <w:rsid w:val="00E654F3"/>
    <w:rsid w:val="00E65792"/>
    <w:rsid w:val="00E65D7E"/>
    <w:rsid w:val="00E67F5A"/>
    <w:rsid w:val="00E70E0E"/>
    <w:rsid w:val="00E71786"/>
    <w:rsid w:val="00E72319"/>
    <w:rsid w:val="00E7366C"/>
    <w:rsid w:val="00E74BAE"/>
    <w:rsid w:val="00E76BA2"/>
    <w:rsid w:val="00E81312"/>
    <w:rsid w:val="00E8215C"/>
    <w:rsid w:val="00E8273D"/>
    <w:rsid w:val="00E82CB0"/>
    <w:rsid w:val="00E833F9"/>
    <w:rsid w:val="00E83E90"/>
    <w:rsid w:val="00E84566"/>
    <w:rsid w:val="00E8541C"/>
    <w:rsid w:val="00E90F08"/>
    <w:rsid w:val="00E91CB5"/>
    <w:rsid w:val="00E936C9"/>
    <w:rsid w:val="00E93927"/>
    <w:rsid w:val="00E9558B"/>
    <w:rsid w:val="00E957B2"/>
    <w:rsid w:val="00E95DFC"/>
    <w:rsid w:val="00E969A8"/>
    <w:rsid w:val="00EA0E4A"/>
    <w:rsid w:val="00EA11B0"/>
    <w:rsid w:val="00EA1F23"/>
    <w:rsid w:val="00EA4763"/>
    <w:rsid w:val="00EA581B"/>
    <w:rsid w:val="00EA6177"/>
    <w:rsid w:val="00EA689C"/>
    <w:rsid w:val="00EA6ED0"/>
    <w:rsid w:val="00EA7CE3"/>
    <w:rsid w:val="00EA7D9C"/>
    <w:rsid w:val="00EB0A20"/>
    <w:rsid w:val="00EB0B47"/>
    <w:rsid w:val="00EB279E"/>
    <w:rsid w:val="00EB335B"/>
    <w:rsid w:val="00EB36C7"/>
    <w:rsid w:val="00EB3D19"/>
    <w:rsid w:val="00EB53AA"/>
    <w:rsid w:val="00EB730E"/>
    <w:rsid w:val="00EC1D89"/>
    <w:rsid w:val="00EC3916"/>
    <w:rsid w:val="00EC6824"/>
    <w:rsid w:val="00EC687C"/>
    <w:rsid w:val="00ED0F2E"/>
    <w:rsid w:val="00ED1439"/>
    <w:rsid w:val="00ED14C4"/>
    <w:rsid w:val="00ED14FE"/>
    <w:rsid w:val="00ED20FD"/>
    <w:rsid w:val="00ED243A"/>
    <w:rsid w:val="00ED2D33"/>
    <w:rsid w:val="00ED4F8B"/>
    <w:rsid w:val="00ED5BC6"/>
    <w:rsid w:val="00ED5EE9"/>
    <w:rsid w:val="00ED6961"/>
    <w:rsid w:val="00ED7B80"/>
    <w:rsid w:val="00EE0B26"/>
    <w:rsid w:val="00EE0B9D"/>
    <w:rsid w:val="00EE0E44"/>
    <w:rsid w:val="00EE3836"/>
    <w:rsid w:val="00EE5477"/>
    <w:rsid w:val="00EE54E0"/>
    <w:rsid w:val="00EE57DA"/>
    <w:rsid w:val="00EE611C"/>
    <w:rsid w:val="00EE657E"/>
    <w:rsid w:val="00EF03BA"/>
    <w:rsid w:val="00EF32A4"/>
    <w:rsid w:val="00EF77C3"/>
    <w:rsid w:val="00F0167F"/>
    <w:rsid w:val="00F058F4"/>
    <w:rsid w:val="00F07654"/>
    <w:rsid w:val="00F07810"/>
    <w:rsid w:val="00F1024B"/>
    <w:rsid w:val="00F10B56"/>
    <w:rsid w:val="00F11C4D"/>
    <w:rsid w:val="00F11E06"/>
    <w:rsid w:val="00F12CD5"/>
    <w:rsid w:val="00F131A3"/>
    <w:rsid w:val="00F1325D"/>
    <w:rsid w:val="00F13B04"/>
    <w:rsid w:val="00F13CF6"/>
    <w:rsid w:val="00F13D59"/>
    <w:rsid w:val="00F141BE"/>
    <w:rsid w:val="00F14C5B"/>
    <w:rsid w:val="00F14F25"/>
    <w:rsid w:val="00F16C06"/>
    <w:rsid w:val="00F17BB5"/>
    <w:rsid w:val="00F17CEE"/>
    <w:rsid w:val="00F20C1F"/>
    <w:rsid w:val="00F21EEB"/>
    <w:rsid w:val="00F22D72"/>
    <w:rsid w:val="00F23D23"/>
    <w:rsid w:val="00F240D8"/>
    <w:rsid w:val="00F26008"/>
    <w:rsid w:val="00F26BD0"/>
    <w:rsid w:val="00F26E12"/>
    <w:rsid w:val="00F27FC6"/>
    <w:rsid w:val="00F31A25"/>
    <w:rsid w:val="00F31DDC"/>
    <w:rsid w:val="00F32A19"/>
    <w:rsid w:val="00F32E64"/>
    <w:rsid w:val="00F350D7"/>
    <w:rsid w:val="00F3595E"/>
    <w:rsid w:val="00F35AB3"/>
    <w:rsid w:val="00F369C8"/>
    <w:rsid w:val="00F36B80"/>
    <w:rsid w:val="00F36C2E"/>
    <w:rsid w:val="00F40767"/>
    <w:rsid w:val="00F42114"/>
    <w:rsid w:val="00F43F98"/>
    <w:rsid w:val="00F44526"/>
    <w:rsid w:val="00F45D82"/>
    <w:rsid w:val="00F46104"/>
    <w:rsid w:val="00F47A46"/>
    <w:rsid w:val="00F502EC"/>
    <w:rsid w:val="00F503FA"/>
    <w:rsid w:val="00F52CC3"/>
    <w:rsid w:val="00F5566F"/>
    <w:rsid w:val="00F56770"/>
    <w:rsid w:val="00F605EB"/>
    <w:rsid w:val="00F60A3F"/>
    <w:rsid w:val="00F6351D"/>
    <w:rsid w:val="00F64B75"/>
    <w:rsid w:val="00F70480"/>
    <w:rsid w:val="00F713BA"/>
    <w:rsid w:val="00F71EB0"/>
    <w:rsid w:val="00F72741"/>
    <w:rsid w:val="00F72A34"/>
    <w:rsid w:val="00F730B8"/>
    <w:rsid w:val="00F73CDE"/>
    <w:rsid w:val="00F7536E"/>
    <w:rsid w:val="00F7663B"/>
    <w:rsid w:val="00F77558"/>
    <w:rsid w:val="00F829A2"/>
    <w:rsid w:val="00F838C7"/>
    <w:rsid w:val="00F841C0"/>
    <w:rsid w:val="00F85DF3"/>
    <w:rsid w:val="00F8771E"/>
    <w:rsid w:val="00F87EE5"/>
    <w:rsid w:val="00F901CE"/>
    <w:rsid w:val="00F91363"/>
    <w:rsid w:val="00F914E6"/>
    <w:rsid w:val="00F924A9"/>
    <w:rsid w:val="00F934B6"/>
    <w:rsid w:val="00FA0CCE"/>
    <w:rsid w:val="00FA0E3C"/>
    <w:rsid w:val="00FA20EA"/>
    <w:rsid w:val="00FA307F"/>
    <w:rsid w:val="00FA5402"/>
    <w:rsid w:val="00FA54AE"/>
    <w:rsid w:val="00FA7E71"/>
    <w:rsid w:val="00FB1244"/>
    <w:rsid w:val="00FB21C8"/>
    <w:rsid w:val="00FB2AD2"/>
    <w:rsid w:val="00FB2FC3"/>
    <w:rsid w:val="00FB4D5D"/>
    <w:rsid w:val="00FB5430"/>
    <w:rsid w:val="00FB64A1"/>
    <w:rsid w:val="00FB75A6"/>
    <w:rsid w:val="00FC12D4"/>
    <w:rsid w:val="00FC198A"/>
    <w:rsid w:val="00FC2750"/>
    <w:rsid w:val="00FC6CE3"/>
    <w:rsid w:val="00FC6ECF"/>
    <w:rsid w:val="00FC713E"/>
    <w:rsid w:val="00FC7DFA"/>
    <w:rsid w:val="00FD11DD"/>
    <w:rsid w:val="00FD220B"/>
    <w:rsid w:val="00FD3A14"/>
    <w:rsid w:val="00FD3DF0"/>
    <w:rsid w:val="00FD4673"/>
    <w:rsid w:val="00FD4B9E"/>
    <w:rsid w:val="00FD4F53"/>
    <w:rsid w:val="00FD789A"/>
    <w:rsid w:val="00FD7A39"/>
    <w:rsid w:val="00FE067D"/>
    <w:rsid w:val="00FE14EC"/>
    <w:rsid w:val="00FE2AC1"/>
    <w:rsid w:val="00FE2DAE"/>
    <w:rsid w:val="00FE5A00"/>
    <w:rsid w:val="00FE7F94"/>
    <w:rsid w:val="00FF0CC0"/>
    <w:rsid w:val="00FF1227"/>
    <w:rsid w:val="00FF2649"/>
    <w:rsid w:val="00FF4308"/>
    <w:rsid w:val="00FF4818"/>
    <w:rsid w:val="01CC1A40"/>
    <w:rsid w:val="025039E1"/>
    <w:rsid w:val="03595555"/>
    <w:rsid w:val="04081968"/>
    <w:rsid w:val="05054C8B"/>
    <w:rsid w:val="051E77F4"/>
    <w:rsid w:val="06F947E6"/>
    <w:rsid w:val="07117762"/>
    <w:rsid w:val="094E18C4"/>
    <w:rsid w:val="09B4115B"/>
    <w:rsid w:val="09F65A96"/>
    <w:rsid w:val="0ABD1CA4"/>
    <w:rsid w:val="0C2506CA"/>
    <w:rsid w:val="0EB140DD"/>
    <w:rsid w:val="0FBF585C"/>
    <w:rsid w:val="10D75E44"/>
    <w:rsid w:val="11B67681"/>
    <w:rsid w:val="12117246"/>
    <w:rsid w:val="12E0359D"/>
    <w:rsid w:val="168876C4"/>
    <w:rsid w:val="16A83361"/>
    <w:rsid w:val="178B3958"/>
    <w:rsid w:val="19AE476B"/>
    <w:rsid w:val="19F82AFF"/>
    <w:rsid w:val="1A5C7852"/>
    <w:rsid w:val="1AB77B50"/>
    <w:rsid w:val="1B5D6EDB"/>
    <w:rsid w:val="1C7479D2"/>
    <w:rsid w:val="1C9D46DC"/>
    <w:rsid w:val="1CF806C3"/>
    <w:rsid w:val="1F1F7F88"/>
    <w:rsid w:val="1F7142BB"/>
    <w:rsid w:val="201E5F05"/>
    <w:rsid w:val="20D714C9"/>
    <w:rsid w:val="20EF0E4F"/>
    <w:rsid w:val="213056EF"/>
    <w:rsid w:val="23472730"/>
    <w:rsid w:val="23B440F0"/>
    <w:rsid w:val="254758A3"/>
    <w:rsid w:val="25D34863"/>
    <w:rsid w:val="265A320F"/>
    <w:rsid w:val="26EF7B95"/>
    <w:rsid w:val="27C85860"/>
    <w:rsid w:val="28BE2E43"/>
    <w:rsid w:val="29D364EB"/>
    <w:rsid w:val="2AAF1D7B"/>
    <w:rsid w:val="2AC65B3D"/>
    <w:rsid w:val="2C8D33D4"/>
    <w:rsid w:val="2CDF621C"/>
    <w:rsid w:val="2DA07C26"/>
    <w:rsid w:val="2E59323B"/>
    <w:rsid w:val="2FA63B62"/>
    <w:rsid w:val="2FCF4DFD"/>
    <w:rsid w:val="319A4B1E"/>
    <w:rsid w:val="320E59EA"/>
    <w:rsid w:val="34684C5B"/>
    <w:rsid w:val="34781F59"/>
    <w:rsid w:val="34D47D54"/>
    <w:rsid w:val="350C7DCA"/>
    <w:rsid w:val="35BD0B88"/>
    <w:rsid w:val="362853ED"/>
    <w:rsid w:val="375630CB"/>
    <w:rsid w:val="38D676C9"/>
    <w:rsid w:val="39A607ED"/>
    <w:rsid w:val="39E862DD"/>
    <w:rsid w:val="3A6479D5"/>
    <w:rsid w:val="3B295B82"/>
    <w:rsid w:val="3C8368C4"/>
    <w:rsid w:val="3E472DE6"/>
    <w:rsid w:val="3E664BC9"/>
    <w:rsid w:val="3E8C50D4"/>
    <w:rsid w:val="3EF44A8C"/>
    <w:rsid w:val="428A31E3"/>
    <w:rsid w:val="436808C1"/>
    <w:rsid w:val="43E02B4D"/>
    <w:rsid w:val="44A20857"/>
    <w:rsid w:val="460355F1"/>
    <w:rsid w:val="496525E3"/>
    <w:rsid w:val="4B321EE0"/>
    <w:rsid w:val="4B7614FD"/>
    <w:rsid w:val="4B810673"/>
    <w:rsid w:val="4BE63515"/>
    <w:rsid w:val="4C6C1422"/>
    <w:rsid w:val="4C96649F"/>
    <w:rsid w:val="4D2B34E9"/>
    <w:rsid w:val="4E6A2BDB"/>
    <w:rsid w:val="4E6A7BE3"/>
    <w:rsid w:val="4FA1148B"/>
    <w:rsid w:val="512B1A49"/>
    <w:rsid w:val="520605DB"/>
    <w:rsid w:val="521612A2"/>
    <w:rsid w:val="570515DE"/>
    <w:rsid w:val="58555E2B"/>
    <w:rsid w:val="58AF078D"/>
    <w:rsid w:val="5AA224B3"/>
    <w:rsid w:val="5C2956DB"/>
    <w:rsid w:val="5CFD10CB"/>
    <w:rsid w:val="5F294F51"/>
    <w:rsid w:val="614D518B"/>
    <w:rsid w:val="61E12853"/>
    <w:rsid w:val="62FD40BD"/>
    <w:rsid w:val="63593AA3"/>
    <w:rsid w:val="649E25E0"/>
    <w:rsid w:val="668352A7"/>
    <w:rsid w:val="668B51BE"/>
    <w:rsid w:val="67FC4F5C"/>
    <w:rsid w:val="68620580"/>
    <w:rsid w:val="6A07014E"/>
    <w:rsid w:val="6A2A361C"/>
    <w:rsid w:val="6C5F0204"/>
    <w:rsid w:val="6D8B3589"/>
    <w:rsid w:val="6E3F02ED"/>
    <w:rsid w:val="6E6813FF"/>
    <w:rsid w:val="6EF72976"/>
    <w:rsid w:val="6F9438C6"/>
    <w:rsid w:val="6FE436CB"/>
    <w:rsid w:val="70A65C1C"/>
    <w:rsid w:val="71451292"/>
    <w:rsid w:val="722A4E10"/>
    <w:rsid w:val="72422AE2"/>
    <w:rsid w:val="72DC1889"/>
    <w:rsid w:val="72DF026D"/>
    <w:rsid w:val="730C76FE"/>
    <w:rsid w:val="73644BD8"/>
    <w:rsid w:val="75D349E1"/>
    <w:rsid w:val="76BD2199"/>
    <w:rsid w:val="778139C7"/>
    <w:rsid w:val="79D816A4"/>
    <w:rsid w:val="7A1775D3"/>
    <w:rsid w:val="7A5F5873"/>
    <w:rsid w:val="7ECF2FC7"/>
    <w:rsid w:val="DF8BC5B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宋体" w:cs="Times New Roman"/>
      <w:kern w:val="2"/>
      <w:sz w:val="28"/>
      <w:lang w:val="en-US" w:eastAsia="zh-CN" w:bidi="ar-SA"/>
    </w:rPr>
  </w:style>
  <w:style w:type="paragraph" w:styleId="2">
    <w:name w:val="heading 1"/>
    <w:basedOn w:val="1"/>
    <w:next w:val="1"/>
    <w:link w:val="28"/>
    <w:qFormat/>
    <w:uiPriority w:val="0"/>
    <w:pPr>
      <w:keepNext/>
      <w:keepLines/>
      <w:numPr>
        <w:ilvl w:val="0"/>
        <w:numId w:val="1"/>
      </w:numPr>
      <w:spacing w:before="100" w:beforeLines="100"/>
      <w:ind w:firstLine="0" w:firstLineChars="0"/>
      <w:outlineLvl w:val="0"/>
    </w:pPr>
    <w:rPr>
      <w:b/>
      <w:bCs/>
      <w:kern w:val="44"/>
      <w:szCs w:val="44"/>
    </w:rPr>
  </w:style>
  <w:style w:type="paragraph" w:styleId="3">
    <w:name w:val="heading 2"/>
    <w:basedOn w:val="1"/>
    <w:next w:val="1"/>
    <w:link w:val="29"/>
    <w:unhideWhenUsed/>
    <w:qFormat/>
    <w:uiPriority w:val="0"/>
    <w:pPr>
      <w:keepNext/>
      <w:keepLines/>
      <w:numPr>
        <w:ilvl w:val="0"/>
        <w:numId w:val="2"/>
      </w:numPr>
      <w:ind w:firstLine="0" w:firstLineChars="0"/>
      <w:jc w:val="left"/>
      <w:outlineLvl w:val="1"/>
    </w:pPr>
    <w:rPr>
      <w:rFonts w:asciiTheme="majorHAnsi" w:hAnsiTheme="majorHAnsi" w:cstheme="majorBidi"/>
      <w:b/>
      <w:bCs/>
      <w:szCs w:val="32"/>
    </w:rPr>
  </w:style>
  <w:style w:type="paragraph" w:styleId="4">
    <w:name w:val="heading 3"/>
    <w:basedOn w:val="1"/>
    <w:next w:val="1"/>
    <w:link w:val="30"/>
    <w:unhideWhenUsed/>
    <w:qFormat/>
    <w:uiPriority w:val="0"/>
    <w:pPr>
      <w:keepNext/>
      <w:keepLines/>
      <w:numPr>
        <w:ilvl w:val="0"/>
        <w:numId w:val="3"/>
      </w:numPr>
      <w:spacing w:line="240" w:lineRule="auto"/>
      <w:ind w:firstLine="0" w:firstLineChars="0"/>
      <w:outlineLvl w:val="2"/>
    </w:pPr>
    <w:rPr>
      <w:b/>
      <w:bCs/>
      <w:szCs w:val="32"/>
    </w:rPr>
  </w:style>
  <w:style w:type="paragraph" w:styleId="5">
    <w:name w:val="heading 4"/>
    <w:basedOn w:val="1"/>
    <w:next w:val="1"/>
    <w:link w:val="32"/>
    <w:semiHidden/>
    <w:unhideWhenUsed/>
    <w:qFormat/>
    <w:uiPriority w:val="0"/>
    <w:pPr>
      <w:keepNext/>
      <w:keepLines/>
      <w:spacing w:before="280" w:after="290" w:line="376" w:lineRule="auto"/>
      <w:outlineLvl w:val="3"/>
    </w:pPr>
    <w:rPr>
      <w:rFonts w:asciiTheme="majorHAnsi" w:hAnsiTheme="majorHAnsi" w:eastAsiaTheme="majorEastAsia" w:cstheme="majorBidi"/>
      <w:b/>
      <w:bCs/>
      <w:szCs w:val="28"/>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Layout w:type="fixed"/>
      <w:tblCellMar>
        <w:top w:w="0" w:type="dxa"/>
        <w:left w:w="108" w:type="dxa"/>
        <w:bottom w:w="0" w:type="dxa"/>
        <w:right w:w="108" w:type="dxa"/>
      </w:tblCellMar>
    </w:tblPr>
  </w:style>
  <w:style w:type="paragraph" w:styleId="6">
    <w:name w:val="annotation text"/>
    <w:basedOn w:val="1"/>
    <w:link w:val="26"/>
    <w:qFormat/>
    <w:uiPriority w:val="0"/>
    <w:pPr>
      <w:jc w:val="left"/>
    </w:pPr>
  </w:style>
  <w:style w:type="paragraph" w:styleId="7">
    <w:name w:val="Body Text"/>
    <w:basedOn w:val="1"/>
    <w:unhideWhenUsed/>
    <w:qFormat/>
    <w:uiPriority w:val="0"/>
    <w:pPr>
      <w:spacing w:after="120"/>
    </w:pPr>
  </w:style>
  <w:style w:type="paragraph" w:styleId="8">
    <w:name w:val="Body Text Indent"/>
    <w:basedOn w:val="1"/>
    <w:link w:val="42"/>
    <w:qFormat/>
    <w:uiPriority w:val="0"/>
    <w:pPr>
      <w:spacing w:after="120"/>
      <w:ind w:left="420" w:leftChars="200"/>
    </w:pPr>
  </w:style>
  <w:style w:type="paragraph" w:styleId="9">
    <w:name w:val="Plain Text"/>
    <w:basedOn w:val="1"/>
    <w:qFormat/>
    <w:uiPriority w:val="0"/>
    <w:rPr>
      <w:rFonts w:ascii="宋体" w:hAnsi="Courier New"/>
    </w:rPr>
  </w:style>
  <w:style w:type="paragraph" w:styleId="10">
    <w:name w:val="endnote text"/>
    <w:basedOn w:val="1"/>
    <w:link w:val="33"/>
    <w:qFormat/>
    <w:uiPriority w:val="0"/>
    <w:pPr>
      <w:snapToGrid w:val="0"/>
      <w:jc w:val="left"/>
    </w:pPr>
  </w:style>
  <w:style w:type="paragraph" w:styleId="11">
    <w:name w:val="Balloon Text"/>
    <w:basedOn w:val="1"/>
    <w:link w:val="41"/>
    <w:qFormat/>
    <w:uiPriority w:val="0"/>
    <w:pPr>
      <w:spacing w:line="240" w:lineRule="auto"/>
    </w:pPr>
    <w:rPr>
      <w:sz w:val="18"/>
      <w:szCs w:val="18"/>
    </w:rPr>
  </w:style>
  <w:style w:type="paragraph" w:styleId="12">
    <w:name w:val="footer"/>
    <w:basedOn w:val="1"/>
    <w:link w:val="40"/>
    <w:qFormat/>
    <w:uiPriority w:val="99"/>
    <w:pPr>
      <w:tabs>
        <w:tab w:val="center" w:pos="4153"/>
        <w:tab w:val="right" w:pos="8306"/>
      </w:tabs>
      <w:snapToGrid w:val="0"/>
      <w:jc w:val="left"/>
    </w:pPr>
    <w:rPr>
      <w:sz w:val="18"/>
      <w:szCs w:val="18"/>
    </w:rPr>
  </w:style>
  <w:style w:type="paragraph" w:styleId="13">
    <w:name w:val="header"/>
    <w:basedOn w:val="1"/>
    <w:link w:val="34"/>
    <w:qFormat/>
    <w:uiPriority w:val="99"/>
    <w:pPr>
      <w:pBdr>
        <w:bottom w:val="single" w:color="auto" w:sz="6" w:space="1"/>
      </w:pBdr>
      <w:tabs>
        <w:tab w:val="center" w:pos="4153"/>
        <w:tab w:val="right" w:pos="8306"/>
      </w:tabs>
      <w:snapToGrid w:val="0"/>
      <w:ind w:firstLine="0" w:firstLineChars="0"/>
      <w:jc w:val="left"/>
    </w:pPr>
    <w:rPr>
      <w:rFonts w:ascii="仿宋" w:hAnsi="仿宋" w:eastAsia="仿宋"/>
      <w:i/>
      <w:iCs/>
      <w:sz w:val="18"/>
      <w:szCs w:val="18"/>
      <w:shd w:val="clear" w:color="auto" w:fill="D9D9D9"/>
    </w:rPr>
  </w:style>
  <w:style w:type="paragraph" w:styleId="14">
    <w:name w:val="Normal (Web)"/>
    <w:basedOn w:val="1"/>
    <w:unhideWhenUsed/>
    <w:qFormat/>
    <w:uiPriority w:val="99"/>
    <w:pPr>
      <w:widowControl/>
      <w:spacing w:before="100" w:beforeAutospacing="1" w:after="100" w:afterAutospacing="1" w:line="240" w:lineRule="auto"/>
      <w:ind w:firstLine="0" w:firstLineChars="0"/>
      <w:jc w:val="left"/>
    </w:pPr>
    <w:rPr>
      <w:rFonts w:ascii="宋体" w:hAnsi="宋体" w:cs="宋体"/>
      <w:kern w:val="0"/>
      <w:sz w:val="24"/>
      <w:szCs w:val="24"/>
    </w:rPr>
  </w:style>
  <w:style w:type="paragraph" w:styleId="15">
    <w:name w:val="Title"/>
    <w:basedOn w:val="1"/>
    <w:next w:val="1"/>
    <w:link w:val="31"/>
    <w:qFormat/>
    <w:uiPriority w:val="0"/>
    <w:pPr>
      <w:numPr>
        <w:ilvl w:val="0"/>
        <w:numId w:val="4"/>
      </w:numPr>
      <w:spacing w:line="240" w:lineRule="auto"/>
      <w:ind w:firstLine="0" w:firstLineChars="0"/>
      <w:outlineLvl w:val="3"/>
    </w:pPr>
    <w:rPr>
      <w:rFonts w:asciiTheme="majorHAnsi" w:hAnsiTheme="majorHAnsi" w:cstheme="majorBidi"/>
      <w:bCs/>
      <w:szCs w:val="32"/>
    </w:rPr>
  </w:style>
  <w:style w:type="paragraph" w:styleId="16">
    <w:name w:val="annotation subject"/>
    <w:basedOn w:val="6"/>
    <w:next w:val="6"/>
    <w:link w:val="27"/>
    <w:qFormat/>
    <w:uiPriority w:val="0"/>
    <w:rPr>
      <w:b/>
      <w:bCs/>
    </w:rPr>
  </w:style>
  <w:style w:type="paragraph" w:styleId="17">
    <w:name w:val="Body Text First Indent 2"/>
    <w:basedOn w:val="8"/>
    <w:link w:val="43"/>
    <w:qFormat/>
    <w:uiPriority w:val="0"/>
    <w:pPr>
      <w:ind w:firstLine="420"/>
    </w:pPr>
  </w:style>
  <w:style w:type="table" w:styleId="19">
    <w:name w:val="Table Grid"/>
    <w:basedOn w:val="18"/>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21">
    <w:name w:val="endnote reference"/>
    <w:basedOn w:val="20"/>
    <w:qFormat/>
    <w:uiPriority w:val="0"/>
    <w:rPr>
      <w:vertAlign w:val="superscript"/>
    </w:rPr>
  </w:style>
  <w:style w:type="character" w:styleId="22">
    <w:name w:val="page number"/>
    <w:qFormat/>
    <w:uiPriority w:val="0"/>
  </w:style>
  <w:style w:type="character" w:styleId="23">
    <w:name w:val="Hyperlink"/>
    <w:basedOn w:val="20"/>
    <w:unhideWhenUsed/>
    <w:qFormat/>
    <w:uiPriority w:val="0"/>
    <w:rPr>
      <w:color w:val="0000FF"/>
      <w:u w:val="single"/>
    </w:rPr>
  </w:style>
  <w:style w:type="character" w:styleId="24">
    <w:name w:val="annotation reference"/>
    <w:basedOn w:val="20"/>
    <w:qFormat/>
    <w:uiPriority w:val="0"/>
    <w:rPr>
      <w:sz w:val="21"/>
      <w:szCs w:val="21"/>
    </w:rPr>
  </w:style>
  <w:style w:type="paragraph" w:styleId="25">
    <w:name w:val="List Paragraph"/>
    <w:basedOn w:val="1"/>
    <w:qFormat/>
    <w:uiPriority w:val="34"/>
    <w:pPr>
      <w:ind w:firstLine="420"/>
    </w:pPr>
  </w:style>
  <w:style w:type="character" w:customStyle="1" w:styleId="26">
    <w:name w:val="批注文字 字符"/>
    <w:basedOn w:val="20"/>
    <w:link w:val="6"/>
    <w:qFormat/>
    <w:uiPriority w:val="0"/>
    <w:rPr>
      <w:kern w:val="2"/>
      <w:sz w:val="21"/>
    </w:rPr>
  </w:style>
  <w:style w:type="character" w:customStyle="1" w:styleId="27">
    <w:name w:val="批注主题 字符"/>
    <w:basedOn w:val="26"/>
    <w:link w:val="16"/>
    <w:qFormat/>
    <w:uiPriority w:val="0"/>
    <w:rPr>
      <w:b/>
      <w:bCs/>
      <w:kern w:val="2"/>
      <w:sz w:val="21"/>
    </w:rPr>
  </w:style>
  <w:style w:type="character" w:customStyle="1" w:styleId="28">
    <w:name w:val="标题 1 字符"/>
    <w:basedOn w:val="20"/>
    <w:link w:val="2"/>
    <w:qFormat/>
    <w:uiPriority w:val="0"/>
    <w:rPr>
      <w:b/>
      <w:bCs/>
      <w:kern w:val="44"/>
      <w:sz w:val="28"/>
      <w:szCs w:val="44"/>
    </w:rPr>
  </w:style>
  <w:style w:type="character" w:customStyle="1" w:styleId="29">
    <w:name w:val="标题 2 字符"/>
    <w:basedOn w:val="20"/>
    <w:link w:val="3"/>
    <w:qFormat/>
    <w:uiPriority w:val="0"/>
    <w:rPr>
      <w:rFonts w:asciiTheme="majorHAnsi" w:hAnsiTheme="majorHAnsi" w:cstheme="majorBidi"/>
      <w:b/>
      <w:bCs/>
      <w:kern w:val="2"/>
      <w:sz w:val="28"/>
      <w:szCs w:val="32"/>
    </w:rPr>
  </w:style>
  <w:style w:type="character" w:customStyle="1" w:styleId="30">
    <w:name w:val="标题 3 字符"/>
    <w:basedOn w:val="20"/>
    <w:link w:val="4"/>
    <w:qFormat/>
    <w:uiPriority w:val="0"/>
    <w:rPr>
      <w:b/>
      <w:bCs/>
      <w:kern w:val="2"/>
      <w:sz w:val="28"/>
      <w:szCs w:val="32"/>
    </w:rPr>
  </w:style>
  <w:style w:type="character" w:customStyle="1" w:styleId="31">
    <w:name w:val="标题 字符"/>
    <w:basedOn w:val="20"/>
    <w:link w:val="15"/>
    <w:qFormat/>
    <w:uiPriority w:val="0"/>
    <w:rPr>
      <w:rFonts w:asciiTheme="majorHAnsi" w:hAnsiTheme="majorHAnsi" w:cstheme="majorBidi"/>
      <w:bCs/>
      <w:kern w:val="2"/>
      <w:sz w:val="28"/>
      <w:szCs w:val="32"/>
    </w:rPr>
  </w:style>
  <w:style w:type="character" w:customStyle="1" w:styleId="32">
    <w:name w:val="标题 4 字符"/>
    <w:basedOn w:val="20"/>
    <w:link w:val="5"/>
    <w:semiHidden/>
    <w:qFormat/>
    <w:uiPriority w:val="0"/>
    <w:rPr>
      <w:rFonts w:asciiTheme="majorHAnsi" w:hAnsiTheme="majorHAnsi" w:eastAsiaTheme="majorEastAsia" w:cstheme="majorBidi"/>
      <w:b/>
      <w:bCs/>
      <w:kern w:val="2"/>
      <w:sz w:val="28"/>
      <w:szCs w:val="28"/>
    </w:rPr>
  </w:style>
  <w:style w:type="character" w:customStyle="1" w:styleId="33">
    <w:name w:val="尾注文本 字符"/>
    <w:basedOn w:val="20"/>
    <w:link w:val="10"/>
    <w:qFormat/>
    <w:uiPriority w:val="0"/>
    <w:rPr>
      <w:kern w:val="2"/>
      <w:sz w:val="28"/>
    </w:rPr>
  </w:style>
  <w:style w:type="character" w:customStyle="1" w:styleId="34">
    <w:name w:val="页眉 字符"/>
    <w:basedOn w:val="20"/>
    <w:link w:val="13"/>
    <w:qFormat/>
    <w:uiPriority w:val="99"/>
    <w:rPr>
      <w:rFonts w:ascii="仿宋" w:hAnsi="仿宋" w:eastAsia="仿宋"/>
      <w:i/>
      <w:iCs/>
      <w:kern w:val="2"/>
      <w:sz w:val="18"/>
      <w:szCs w:val="18"/>
    </w:rPr>
  </w:style>
  <w:style w:type="character" w:customStyle="1" w:styleId="35">
    <w:name w:val="16"/>
    <w:basedOn w:val="20"/>
    <w:qFormat/>
    <w:uiPriority w:val="0"/>
    <w:rPr>
      <w:rFonts w:hint="default" w:ascii="Arial" w:hAnsi="Arial" w:cs="Arial"/>
    </w:rPr>
  </w:style>
  <w:style w:type="paragraph" w:customStyle="1" w:styleId="36">
    <w:name w:val="修订1"/>
    <w:hidden/>
    <w:semiHidden/>
    <w:qFormat/>
    <w:uiPriority w:val="99"/>
    <w:rPr>
      <w:rFonts w:ascii="Times New Roman" w:hAnsi="Times New Roman" w:eastAsia="宋体" w:cs="Times New Roman"/>
      <w:kern w:val="2"/>
      <w:sz w:val="28"/>
      <w:lang w:val="en-US" w:eastAsia="zh-CN" w:bidi="ar-SA"/>
    </w:rPr>
  </w:style>
  <w:style w:type="paragraph" w:customStyle="1" w:styleId="37">
    <w:name w:val="列表段落1"/>
    <w:basedOn w:val="1"/>
    <w:qFormat/>
    <w:uiPriority w:val="0"/>
    <w:pPr>
      <w:spacing w:line="240" w:lineRule="auto"/>
      <w:ind w:firstLine="420"/>
    </w:pPr>
    <w:rPr>
      <w:rFonts w:ascii="Calibri" w:hAnsi="Calibri" w:cs="宋体"/>
      <w:sz w:val="21"/>
      <w:szCs w:val="21"/>
    </w:rPr>
  </w:style>
  <w:style w:type="paragraph" w:customStyle="1" w:styleId="38">
    <w:name w:val="列出段落1"/>
    <w:basedOn w:val="1"/>
    <w:qFormat/>
    <w:uiPriority w:val="0"/>
    <w:pPr>
      <w:widowControl/>
      <w:spacing w:line="240" w:lineRule="auto"/>
      <w:ind w:firstLine="420"/>
      <w:jc w:val="left"/>
    </w:pPr>
    <w:rPr>
      <w:sz w:val="21"/>
      <w:szCs w:val="21"/>
    </w:rPr>
  </w:style>
  <w:style w:type="paragraph" w:customStyle="1" w:styleId="39">
    <w:name w:val="修订2"/>
    <w:hidden/>
    <w:semiHidden/>
    <w:qFormat/>
    <w:uiPriority w:val="99"/>
    <w:rPr>
      <w:rFonts w:ascii="Times New Roman" w:hAnsi="Times New Roman" w:eastAsia="宋体" w:cs="Times New Roman"/>
      <w:kern w:val="2"/>
      <w:sz w:val="28"/>
      <w:lang w:val="en-US" w:eastAsia="zh-CN" w:bidi="ar-SA"/>
    </w:rPr>
  </w:style>
  <w:style w:type="character" w:customStyle="1" w:styleId="40">
    <w:name w:val="页脚 字符"/>
    <w:basedOn w:val="20"/>
    <w:link w:val="12"/>
    <w:qFormat/>
    <w:uiPriority w:val="99"/>
    <w:rPr>
      <w:kern w:val="2"/>
      <w:sz w:val="18"/>
      <w:szCs w:val="18"/>
    </w:rPr>
  </w:style>
  <w:style w:type="character" w:customStyle="1" w:styleId="41">
    <w:name w:val="批注框文本 字符"/>
    <w:basedOn w:val="20"/>
    <w:link w:val="11"/>
    <w:qFormat/>
    <w:uiPriority w:val="0"/>
    <w:rPr>
      <w:kern w:val="2"/>
      <w:sz w:val="18"/>
      <w:szCs w:val="18"/>
    </w:rPr>
  </w:style>
  <w:style w:type="character" w:customStyle="1" w:styleId="42">
    <w:name w:val="正文文本缩进 字符"/>
    <w:basedOn w:val="20"/>
    <w:link w:val="8"/>
    <w:qFormat/>
    <w:uiPriority w:val="0"/>
    <w:rPr>
      <w:kern w:val="2"/>
      <w:sz w:val="28"/>
    </w:rPr>
  </w:style>
  <w:style w:type="character" w:customStyle="1" w:styleId="43">
    <w:name w:val="正文文本首行缩进 2 字符"/>
    <w:basedOn w:val="42"/>
    <w:link w:val="17"/>
    <w:qFormat/>
    <w:uiPriority w:val="0"/>
    <w:rPr>
      <w:kern w:val="2"/>
      <w:sz w:val="28"/>
    </w:rPr>
  </w:style>
  <w:style w:type="paragraph" w:customStyle="1" w:styleId="44">
    <w:name w:val="修订3"/>
    <w:hidden/>
    <w:unhideWhenUsed/>
    <w:qFormat/>
    <w:uiPriority w:val="99"/>
    <w:rPr>
      <w:rFonts w:ascii="Times New Roman" w:hAnsi="Times New Roman" w:eastAsia="宋体" w:cs="Times New Roman"/>
      <w:kern w:val="2"/>
      <w:sz w:val="28"/>
      <w:lang w:val="en-US" w:eastAsia="zh-CN" w:bidi="ar-SA"/>
    </w:rPr>
  </w:style>
  <w:style w:type="character" w:customStyle="1" w:styleId="45">
    <w:name w:val="font11"/>
    <w:basedOn w:val="20"/>
    <w:qFormat/>
    <w:uiPriority w:val="0"/>
    <w:rPr>
      <w:rFonts w:hint="eastAsia" w:ascii="宋体" w:hAnsi="宋体" w:eastAsia="宋体"/>
      <w:color w:val="000000"/>
      <w:sz w:val="21"/>
      <w:szCs w:val="21"/>
      <w:u w:val="none"/>
    </w:rPr>
  </w:style>
  <w:style w:type="paragraph" w:customStyle="1" w:styleId="46">
    <w:name w:val="修订4"/>
    <w:hidden/>
    <w:unhideWhenUsed/>
    <w:qFormat/>
    <w:uiPriority w:val="99"/>
    <w:rPr>
      <w:rFonts w:ascii="Times New Roman" w:hAnsi="Times New Roman" w:eastAsia="宋体" w:cs="Times New Roman"/>
      <w:kern w:val="2"/>
      <w:sz w:val="28"/>
      <w:lang w:val="en-US" w:eastAsia="zh-CN" w:bidi="ar-SA"/>
    </w:rPr>
  </w:style>
  <w:style w:type="paragraph" w:customStyle="1" w:styleId="47">
    <w:name w:val="修订5"/>
    <w:hidden/>
    <w:unhideWhenUsed/>
    <w:qFormat/>
    <w:uiPriority w:val="99"/>
    <w:rPr>
      <w:rFonts w:ascii="Times New Roman" w:hAnsi="Times New Roman" w:eastAsia="宋体" w:cs="Times New Roman"/>
      <w:kern w:val="2"/>
      <w:sz w:val="28"/>
      <w:lang w:val="en-US" w:eastAsia="zh-CN" w:bidi="ar-SA"/>
    </w:rPr>
  </w:style>
  <w:style w:type="character" w:customStyle="1" w:styleId="48">
    <w:name w:val="font61"/>
    <w:basedOn w:val="20"/>
    <w:qFormat/>
    <w:uiPriority w:val="0"/>
    <w:rPr>
      <w:rFonts w:hint="default" w:ascii="Cambria Math" w:hAnsi="Cambria Math"/>
      <w:color w:val="000000"/>
      <w:sz w:val="18"/>
      <w:szCs w:val="18"/>
      <w:u w:val="none"/>
    </w:rPr>
  </w:style>
  <w:style w:type="character" w:customStyle="1" w:styleId="49">
    <w:name w:val="font21"/>
    <w:basedOn w:val="20"/>
    <w:qFormat/>
    <w:uiPriority w:val="0"/>
    <w:rPr>
      <w:rFonts w:hint="eastAsia" w:ascii="方正仿宋_GBK" w:eastAsia="方正仿宋_GBK"/>
      <w:color w:val="000000"/>
      <w:sz w:val="18"/>
      <w:szCs w:val="18"/>
      <w:u w:val="none"/>
    </w:rPr>
  </w:style>
  <w:style w:type="character" w:customStyle="1" w:styleId="50">
    <w:name w:val="font51"/>
    <w:basedOn w:val="20"/>
    <w:qFormat/>
    <w:uiPriority w:val="0"/>
    <w:rPr>
      <w:rFonts w:hint="default" w:ascii="Cambria Math" w:hAnsi="Cambria Math"/>
      <w:color w:val="000000"/>
      <w:sz w:val="18"/>
      <w:szCs w:val="18"/>
      <w:u w:val="none"/>
    </w:rPr>
  </w:style>
  <w:style w:type="character" w:customStyle="1" w:styleId="51">
    <w:name w:val="font71"/>
    <w:basedOn w:val="20"/>
    <w:qFormat/>
    <w:uiPriority w:val="0"/>
    <w:rPr>
      <w:rFonts w:ascii="Cambria Math" w:hAnsi="Cambria Math" w:eastAsia="Cambria Math" w:cs="Cambria Math"/>
      <w:color w:val="000000"/>
      <w:sz w:val="18"/>
      <w:szCs w:val="18"/>
      <w:u w:val="none"/>
    </w:rPr>
  </w:style>
  <w:style w:type="character" w:customStyle="1" w:styleId="52">
    <w:name w:val="font31"/>
    <w:basedOn w:val="20"/>
    <w:qFormat/>
    <w:uiPriority w:val="0"/>
    <w:rPr>
      <w:rFonts w:hint="default" w:ascii="方正仿宋_GBK" w:hAnsi="方正仿宋_GBK" w:eastAsia="方正仿宋_GBK" w:cs="方正仿宋_GBK"/>
      <w:color w:val="FF0000"/>
      <w:sz w:val="18"/>
      <w:szCs w:val="18"/>
      <w:u w:val="none"/>
    </w:rPr>
  </w:style>
  <w:style w:type="paragraph" w:customStyle="1" w:styleId="53">
    <w:name w:val="Revision"/>
    <w:hidden/>
    <w:unhideWhenUsed/>
    <w:qFormat/>
    <w:uiPriority w:val="99"/>
    <w:rPr>
      <w:rFonts w:ascii="Times New Roman" w:hAnsi="Times New Roman" w:eastAsia="宋体" w:cs="Times New Roman"/>
      <w:kern w:val="2"/>
      <w:sz w:val="2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tyleName="APA" SelectedStyle="\APASixthEditionOfficeOnline.xsl"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9D66BC1-BAB3-426C-B709-4BE01E0E3F36}">
  <ds:schemaRefs/>
</ds:datastoreItem>
</file>

<file path=docProps/app.xml><?xml version="1.0" encoding="utf-8"?>
<Properties xmlns="http://schemas.openxmlformats.org/officeDocument/2006/extended-properties" xmlns:vt="http://schemas.openxmlformats.org/officeDocument/2006/docPropsVTypes">
  <Template>Normal</Template>
  <Pages>31</Pages>
  <Words>7914</Words>
  <Characters>8341</Characters>
  <Lines>121</Lines>
  <Paragraphs>34</Paragraphs>
  <TotalTime>218</TotalTime>
  <ScaleCrop>false</ScaleCrop>
  <LinksUpToDate>false</LinksUpToDate>
  <CharactersWithSpaces>8353</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2023-12-22T02:53:00Z</dcterms:created>
  <dc:creator>ThinkPad</dc:creator>
  <cp:lastModifiedBy>HP</cp:lastModifiedBy>
  <cp:lastPrinted>2023-10-23T15:36:00Z</cp:lastPrinted>
  <dcterms:modified xsi:type="dcterms:W3CDTF">2024-11-11T08:16:13Z</dcterms:modified>
  <cp:revision>320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y fmtid="{D5CDD505-2E9C-101B-9397-08002B2CF9AE}" pid="3" name="ICV">
    <vt:lpwstr>57A71751CCCE490EAF343956FB8B2222_12</vt:lpwstr>
  </property>
</Properties>
</file>