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铜梁区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2024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年区级“三公”经费预算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>按照《预算法》</w:t>
      </w:r>
      <w:r>
        <w:rPr>
          <w:rFonts w:hint="eastAsia" w:ascii="方正仿宋_GBK" w:eastAsia="方正仿宋_GBK"/>
          <w:sz w:val="32"/>
          <w:szCs w:val="32"/>
          <w:lang w:eastAsia="zh-CN"/>
        </w:rPr>
        <w:t>要求，</w:t>
      </w:r>
      <w:r>
        <w:rPr>
          <w:rFonts w:hint="eastAsia" w:ascii="方正仿宋_GBK" w:eastAsia="方正仿宋_GBK"/>
          <w:sz w:val="32"/>
          <w:szCs w:val="32"/>
        </w:rPr>
        <w:t>汇总</w:t>
      </w:r>
      <w:r>
        <w:rPr>
          <w:rFonts w:hint="eastAsia" w:ascii="方正仿宋_GBK" w:eastAsia="方正仿宋_GBK"/>
          <w:sz w:val="32"/>
          <w:szCs w:val="32"/>
          <w:lang w:eastAsia="zh-CN"/>
        </w:rPr>
        <w:t>公开</w:t>
      </w:r>
      <w:r>
        <w:rPr>
          <w:rFonts w:hint="eastAsia" w:ascii="方正仿宋_GBK" w:eastAsia="方正仿宋_GBK"/>
          <w:sz w:val="32"/>
          <w:szCs w:val="32"/>
        </w:rPr>
        <w:t>区级“三公”经费预算</w:t>
      </w:r>
      <w:r>
        <w:rPr>
          <w:rFonts w:hint="eastAsia" w:ascii="方正仿宋_GBK" w:eastAsia="方正仿宋_GBK"/>
          <w:sz w:val="32"/>
          <w:szCs w:val="32"/>
          <w:lang w:eastAsia="zh-CN"/>
        </w:rPr>
        <w:t>。经汇总，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2024</w:t>
      </w:r>
      <w:r>
        <w:rPr>
          <w:rFonts w:hint="eastAsia" w:ascii="方正仿宋_GBK" w:eastAsia="方正仿宋_GBK"/>
          <w:sz w:val="32"/>
          <w:szCs w:val="32"/>
        </w:rPr>
        <w:t>年区级</w:t>
      </w:r>
      <w:r>
        <w:rPr>
          <w:rFonts w:hint="eastAsia" w:ascii="方正仿宋_GBK" w:eastAsia="方正仿宋_GBK"/>
          <w:sz w:val="32"/>
          <w:szCs w:val="32"/>
          <w:lang w:eastAsia="zh-CN"/>
        </w:rPr>
        <w:t>部门（单位）</w:t>
      </w:r>
      <w:r>
        <w:rPr>
          <w:rFonts w:hint="eastAsia" w:ascii="方正仿宋_GBK" w:eastAsia="方正仿宋_GBK"/>
          <w:sz w:val="32"/>
          <w:szCs w:val="32"/>
        </w:rPr>
        <w:t>“三公”经费预算为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3744.73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下降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0.79%</w:t>
      </w:r>
      <w:r>
        <w:rPr>
          <w:rFonts w:hint="eastAsia" w:ascii="方正仿宋_GBK" w:eastAsia="方正仿宋_GBK"/>
          <w:sz w:val="32"/>
          <w:szCs w:val="32"/>
          <w:lang w:eastAsia="zh-CN"/>
        </w:rPr>
        <w:t>，严格落实了中央八项规定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eastAsia="zh-CN"/>
        </w:rPr>
        <w:t>和政府过“紧日子”相关要求，严控“三公”经费支出预算</w:t>
      </w:r>
      <w:r>
        <w:rPr>
          <w:rFonts w:hint="eastAsia" w:ascii="方正仿宋_GBK" w:eastAsia="方正仿宋_GBK"/>
          <w:sz w:val="32"/>
          <w:szCs w:val="32"/>
        </w:rPr>
        <w:t>。其中：因公出国（境）费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eastAsia="方正仿宋_GBK"/>
          <w:sz w:val="32"/>
          <w:szCs w:val="32"/>
        </w:rPr>
        <w:t>万元，公务接待费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737.45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2278.18</w:t>
      </w:r>
      <w:r>
        <w:rPr>
          <w:rFonts w:hint="eastAsia" w:ascii="方正仿宋_GBK" w:eastAsia="方正仿宋_GBK"/>
          <w:sz w:val="32"/>
          <w:szCs w:val="32"/>
        </w:rPr>
        <w:t>万元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</w:rPr>
        <w:t>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699.1</w:t>
      </w:r>
      <w:r>
        <w:rPr>
          <w:rFonts w:hint="eastAsia" w:ascii="方正仿宋_GBK" w:eastAsia="方正仿宋_GBK"/>
          <w:sz w:val="32"/>
          <w:szCs w:val="32"/>
        </w:rPr>
        <w:t>万元。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tbl>
      <w:tblPr>
        <w:tblStyle w:val="7"/>
        <w:tblW w:w="9229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2130"/>
        <w:gridCol w:w="846"/>
        <w:gridCol w:w="1812"/>
        <w:gridCol w:w="1812"/>
        <w:gridCol w:w="18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铜梁区2024年区级“三公”经费支出预算表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因公出国（境）费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公务用车运行费</w:t>
            </w:r>
          </w:p>
        </w:tc>
        <w:tc>
          <w:tcPr>
            <w:tcW w:w="1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3744.73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2977.28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699.1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2278.18</w:t>
            </w:r>
          </w:p>
        </w:tc>
        <w:tc>
          <w:tcPr>
            <w:tcW w:w="1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737.45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1MzhkZTIyZGY1NjhhZGM5YjUxODczOGUzY2UyNzgifQ=="/>
  </w:docVars>
  <w:rsids>
    <w:rsidRoot w:val="13B83598"/>
    <w:rsid w:val="02287A68"/>
    <w:rsid w:val="069377C6"/>
    <w:rsid w:val="0C0C0F61"/>
    <w:rsid w:val="0E5D18AD"/>
    <w:rsid w:val="0E686CBF"/>
    <w:rsid w:val="136E498E"/>
    <w:rsid w:val="13B83598"/>
    <w:rsid w:val="1A1613F5"/>
    <w:rsid w:val="1BD520AC"/>
    <w:rsid w:val="200F219E"/>
    <w:rsid w:val="216F5B24"/>
    <w:rsid w:val="25B76F9E"/>
    <w:rsid w:val="307C0458"/>
    <w:rsid w:val="375475D8"/>
    <w:rsid w:val="38EC4D4D"/>
    <w:rsid w:val="3D3230BC"/>
    <w:rsid w:val="422A1BAF"/>
    <w:rsid w:val="46656AE7"/>
    <w:rsid w:val="486A59BD"/>
    <w:rsid w:val="4CB83664"/>
    <w:rsid w:val="509B1888"/>
    <w:rsid w:val="53511CB7"/>
    <w:rsid w:val="548A0473"/>
    <w:rsid w:val="55F854AB"/>
    <w:rsid w:val="56333E9E"/>
    <w:rsid w:val="56633E38"/>
    <w:rsid w:val="64D176C3"/>
    <w:rsid w:val="681405D6"/>
    <w:rsid w:val="69FE7C5D"/>
    <w:rsid w:val="6D495973"/>
    <w:rsid w:val="74D70912"/>
    <w:rsid w:val="75B32328"/>
    <w:rsid w:val="7738507B"/>
    <w:rsid w:val="7A3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color w:val="FFFFFF"/>
      <w:bdr w:val="single" w:color="CFCFCF" w:sz="4" w:space="0"/>
      <w:shd w:val="clear" w:fill="CFCFCF"/>
    </w:rPr>
  </w:style>
  <w:style w:type="character" w:styleId="10">
    <w:name w:val="FollowedHyperlink"/>
    <w:basedOn w:val="8"/>
    <w:qFormat/>
    <w:uiPriority w:val="0"/>
    <w:rPr>
      <w:color w:val="000000"/>
      <w:sz w:val="14"/>
      <w:szCs w:val="14"/>
      <w:u w:val="none"/>
    </w:rPr>
  </w:style>
  <w:style w:type="character" w:styleId="11">
    <w:name w:val="Hyperlink"/>
    <w:basedOn w:val="8"/>
    <w:qFormat/>
    <w:uiPriority w:val="0"/>
    <w:rPr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271</Characters>
  <Lines>0</Lines>
  <Paragraphs>0</Paragraphs>
  <TotalTime>415</TotalTime>
  <ScaleCrop>false</ScaleCrop>
  <LinksUpToDate>false</LinksUpToDate>
  <CharactersWithSpaces>272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2020-01-22T01:41:00Z</dcterms:created>
  <dc:creator>Administrator</dc:creator>
  <cp:lastModifiedBy>TongLiang</cp:lastModifiedBy>
  <cp:lastPrinted>2020-01-22T07:18:00Z</cp:lastPrinted>
  <dcterms:modified xsi:type="dcterms:W3CDTF">2024-04-18T08:28:21Z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F2D73A1E1C55462CAAA039469B597AD2</vt:lpwstr>
  </property>
</Properties>
</file>