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Times New Roman" w:hAnsi="Times New Roman" w:eastAsia="方正黑体_GBK" w:cs="方正黑体_GBK"/>
        </w:rPr>
      </w:pPr>
      <w:r>
        <w:rPr>
          <w:rFonts w:hint="eastAsia" w:ascii="Times New Roman" w:hAnsi="Times New Roman" w:eastAsia="方正黑体_GBK" w:cs="方正黑体_GBK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</w:rPr>
        <w:t>3</w:t>
      </w:r>
    </w:p>
    <w:p>
      <w:pPr>
        <w:spacing w:line="578" w:lineRule="exact"/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中央大气污染防治资金区域绩效目标表</w:t>
      </w:r>
    </w:p>
    <w:tbl>
      <w:tblPr>
        <w:tblStyle w:val="12"/>
        <w:tblW w:w="9171" w:type="dxa"/>
        <w:jc w:val="center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00"/>
        <w:gridCol w:w="1275"/>
        <w:gridCol w:w="1520"/>
        <w:gridCol w:w="1555"/>
        <w:gridCol w:w="197"/>
        <w:gridCol w:w="26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bookmarkStart w:id="0" w:name="_GoBack" w:colFirst="2" w:colLast="4"/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专项名称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大气污染防治资金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中央主管部门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财政部、生态环境部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省级财政部门</w:t>
            </w: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重庆市财政局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省级主管部门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重庆市生态环境局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资金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情况（万元）</w:t>
            </w: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 xml:space="preserve">  年度金额：</w:t>
            </w:r>
          </w:p>
        </w:tc>
        <w:tc>
          <w:tcPr>
            <w:tcW w:w="4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 xml:space="preserve">     其中：中央补助</w:t>
            </w:r>
          </w:p>
        </w:tc>
        <w:tc>
          <w:tcPr>
            <w:tcW w:w="4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"/>
              </w:rPr>
              <w:t>40000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 xml:space="preserve">           地方资金</w:t>
            </w:r>
          </w:p>
        </w:tc>
        <w:tc>
          <w:tcPr>
            <w:tcW w:w="4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835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通过中央大气污染防治资金支持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eastAsia="zh-CN" w:bidi="ar"/>
              </w:rPr>
              <w:t>工业污染治理和移动源污染治理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，实现细颗粒物（PM2.5）浓度、空气质量优良天数比率、重污染天数比率、氮氧化物重点工程累计减排量、挥发性有机物重点工程累计减排量达到国家下达目标要求，持续改善我市环境空气质量。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835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工业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eastAsia="zh-CN" w:bidi="ar"/>
              </w:rPr>
              <w:t>企业治理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数量（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eastAsia="zh-CN" w:bidi="ar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eastAsia="zh-CN" w:bidi="ar"/>
              </w:rPr>
              <w:t>中重型柴油货车淘汰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数量（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eastAsia="zh-CN" w:bidi="ar"/>
              </w:rPr>
              <w:t>台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项目验收合格率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项目开工率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项目完工率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≥50%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生态效益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PM2.5年均浓度下降（%）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达到国家下达目标要求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空气质量优良率（%）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达到国家下达目标要求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重污染天数比例（%）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达到国家下达目标要求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氮氧化物排放总量减少（%）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达到国家下达目标要求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挥发性有机物排放总量减少（%）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达到国家下达目标要求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工程设施稳定运行率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服务对象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≥90%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984" w:left="1531" w:header="850" w:footer="147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hint="eastAsia" w:eastAsia="宋体"/>
        <w:lang w:val="en-US" w:eastAsia="zh-CN"/>
      </w:rPr>
    </w:pP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11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hint="eastAsia"/>
      </w:rPr>
    </w:pP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11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0711"/>
    <w:multiLevelType w:val="multilevel"/>
    <w:tmpl w:val="21BB0711"/>
    <w:lvl w:ilvl="0" w:tentative="0">
      <w:start w:val="1"/>
      <w:numFmt w:val="decimal"/>
      <w:pStyle w:val="2"/>
      <w:lvlText w:val="附表%1"/>
      <w:lvlJc w:val="left"/>
      <w:pPr>
        <w:tabs>
          <w:tab w:val="left" w:pos="420"/>
        </w:tabs>
        <w:ind w:left="1265" w:hanging="425"/>
      </w:pPr>
      <w:rPr>
        <w:rFonts w:hint="default" w:ascii="方正黑体_GBK" w:hAnsi="方正黑体_GBK" w:eastAsia="方正黑体_GBK" w:cs="方正黑体_GBK"/>
      </w:rPr>
    </w:lvl>
    <w:lvl w:ilvl="1" w:tentative="0">
      <w:start w:val="1"/>
      <w:numFmt w:val="decimal"/>
      <w:lvlText w:val="附表%1"/>
      <w:lvlJc w:val="left"/>
      <w:pPr>
        <w:tabs>
          <w:tab w:val="left" w:pos="420"/>
        </w:tabs>
        <w:ind w:left="1680" w:hanging="425"/>
      </w:pPr>
      <w:rPr>
        <w:rFonts w:hint="default" w:ascii="方正黑体_GBK" w:hAnsi="方正黑体_GBK" w:eastAsia="方正黑体_GBK" w:cs="方正黑体_GBK"/>
      </w:rPr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7FBB"/>
    <w:rsid w:val="1F482739"/>
    <w:rsid w:val="1F744C9F"/>
    <w:rsid w:val="2E2321BA"/>
    <w:rsid w:val="38A40FB5"/>
    <w:rsid w:val="50DF412B"/>
    <w:rsid w:val="54EE51A5"/>
    <w:rsid w:val="553D4E39"/>
    <w:rsid w:val="57D33E2C"/>
    <w:rsid w:val="58450C13"/>
    <w:rsid w:val="70B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numPr>
        <w:ilvl w:val="0"/>
        <w:numId w:val="1"/>
      </w:numPr>
      <w:spacing w:line="560" w:lineRule="exact"/>
      <w:ind w:left="425" w:hanging="425"/>
      <w:jc w:val="left"/>
      <w:outlineLvl w:val="0"/>
    </w:pPr>
    <w:rPr>
      <w:rFonts w:eastAsia="方正黑体_GBK"/>
      <w:sz w:val="32"/>
      <w:szCs w:val="32"/>
    </w:rPr>
  </w:style>
  <w:style w:type="paragraph" w:styleId="3">
    <w:name w:val="heading 2"/>
    <w:basedOn w:val="2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210" w:firstLineChars="100"/>
      <w:outlineLvl w:val="1"/>
    </w:pPr>
    <w:rPr>
      <w:rFonts w:ascii="Arial" w:hAnsi="Arial" w:eastAsia="黑体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next w:val="1"/>
    <w:qFormat/>
    <w:uiPriority w:val="0"/>
    <w:pPr>
      <w:widowControl w:val="0"/>
      <w:autoSpaceDE w:val="0"/>
      <w:autoSpaceDN w:val="0"/>
      <w:adjustRightInd w:val="0"/>
      <w:spacing w:line="288" w:lineRule="auto"/>
      <w:ind w:left="1260" w:hanging="420"/>
      <w:jc w:val="both"/>
      <w:textAlignment w:val="baseline"/>
    </w:pPr>
    <w:rPr>
      <w:rFonts w:ascii="Calibri" w:hAnsi="Calibri" w:eastAsia="仿宋" w:cs="宋体"/>
      <w:kern w:val="2"/>
      <w:sz w:val="21"/>
      <w:szCs w:val="20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adjustRightInd w:val="0"/>
      <w:ind w:firstLine="420"/>
      <w:textAlignment w:val="baseline"/>
    </w:pPr>
    <w:rPr>
      <w:rFonts w:ascii="Times New Roman" w:hAnsi="Times New Roman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customStyle="1" w:styleId="8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楷体_GB2312" w:hAnsi="等线" w:eastAsia="楷体_GB2312" w:cs="楷体_GB2312"/>
      <w:color w:val="000000"/>
      <w:kern w:val="0"/>
      <w:sz w:val="24"/>
      <w:szCs w:val="24"/>
      <w:lang w:val="en-US" w:eastAsia="zh-CN" w:bidi="ar-SA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1">
    <w:name w:val="page number"/>
    <w:qFormat/>
    <w:uiPriority w:val="0"/>
  </w:style>
  <w:style w:type="table" w:styleId="13">
    <w:name w:val="Table Grid"/>
    <w:basedOn w:val="12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font3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6"/>
      <w:szCs w:val="26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1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17">
    <w:name w:val="样式 正文缩进正文缩进2正文缩进 Char Char正文缩进 Char Char Char Char正文缩进 Char ..."/>
    <w:basedOn w:val="5"/>
    <w:qFormat/>
    <w:uiPriority w:val="0"/>
    <w:pPr>
      <w:ind w:firstLine="200"/>
    </w:pPr>
    <w:rPr>
      <w:rFonts w:cs="宋体"/>
      <w:sz w:val="24"/>
    </w:rPr>
  </w:style>
  <w:style w:type="paragraph" w:customStyle="1" w:styleId="18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600" w:lineRule="exact"/>
    </w:pPr>
    <w:rPr>
      <w:rFonts w:ascii="Times New Roman" w:hAnsi="Times New Roman" w:eastAsia="方正小标宋_GBK"/>
      <w:sz w:val="28"/>
      <w:szCs w:val="28"/>
    </w:rPr>
  </w:style>
  <w:style w:type="table" w:customStyle="1" w:styleId="1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No Spacing"/>
    <w:qFormat/>
    <w:uiPriority w:val="1"/>
    <w:pPr>
      <w:widowControl w:val="0"/>
      <w:adjustRightInd w:val="0"/>
      <w:snapToGrid w:val="0"/>
      <w:spacing w:beforeLines="20" w:afterLines="50" w:line="360" w:lineRule="auto"/>
      <w:jc w:val="both"/>
    </w:pPr>
    <w:rPr>
      <w:rFonts w:ascii="Times" w:hAnsi="Times" w:eastAsia="楷体" w:cs="Times New Roman"/>
      <w:snapToGrid w:val="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2025-12-19T07:16:00Z</dcterms:created>
  <dc:creator>Administrator</dc:creator>
  <cp:lastModifiedBy>李桃伊</cp:lastModifiedBy>
  <cp:lastPrinted>2025-12-22T01:42:00Z</cp:lastPrinted>
  <dcterms:modified xsi:type="dcterms:W3CDTF">2025-12-24T04:01:50Z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