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21A7F">
      <w:pPr>
        <w:keepNext w:val="0"/>
        <w:keepLines w:val="0"/>
        <w:pageBreakBefore w:val="0"/>
        <w:widowControl w:val="0"/>
        <w:kinsoku/>
        <w:wordWrap/>
        <w:autoSpaceDE/>
        <w:bidi w:val="0"/>
        <w:spacing w:after="0" w:line="600" w:lineRule="exact"/>
        <w:jc w:val="center"/>
        <w:outlineLvl w:val="9"/>
        <w:rPr>
          <w:rFonts w:hint="eastAsia" w:ascii="Times New Roman" w:hAnsi="Times New Roman" w:eastAsia="方正小标宋_GBK" w:cs="方正小标宋_GBK"/>
          <w:kern w:val="2"/>
          <w:sz w:val="44"/>
          <w:szCs w:val="44"/>
          <w:highlight w:val="none"/>
          <w:lang w:eastAsia="zh-CN"/>
        </w:rPr>
      </w:pPr>
    </w:p>
    <w:p w14:paraId="68C1F920">
      <w:pPr>
        <w:keepNext w:val="0"/>
        <w:keepLines w:val="0"/>
        <w:pageBreakBefore w:val="0"/>
        <w:widowControl w:val="0"/>
        <w:kinsoku/>
        <w:wordWrap/>
        <w:autoSpaceDE/>
        <w:bidi w:val="0"/>
        <w:spacing w:after="0" w:line="600" w:lineRule="exact"/>
        <w:jc w:val="center"/>
        <w:outlineLvl w:val="9"/>
        <w:rPr>
          <w:rFonts w:hint="eastAsia" w:ascii="Times New Roman" w:hAnsi="Times New Roman" w:eastAsia="方正小标宋_GBK" w:cs="方正小标宋_GBK"/>
          <w:kern w:val="2"/>
          <w:sz w:val="44"/>
          <w:szCs w:val="44"/>
          <w:highlight w:val="none"/>
          <w:lang w:eastAsia="zh-CN"/>
        </w:rPr>
      </w:pPr>
    </w:p>
    <w:p w14:paraId="36BF15BD">
      <w:pPr>
        <w:keepNext w:val="0"/>
        <w:keepLines w:val="0"/>
        <w:pageBreakBefore w:val="0"/>
        <w:widowControl w:val="0"/>
        <w:kinsoku/>
        <w:wordWrap/>
        <w:autoSpaceDE/>
        <w:bidi w:val="0"/>
        <w:spacing w:after="0" w:line="600" w:lineRule="exact"/>
        <w:jc w:val="center"/>
        <w:outlineLvl w:val="9"/>
        <w:rPr>
          <w:rFonts w:hint="eastAsia" w:ascii="Times New Roman" w:hAnsi="Times New Roman" w:eastAsia="方正小标宋_GBK" w:cs="方正小标宋_GBK"/>
          <w:kern w:val="2"/>
          <w:sz w:val="44"/>
          <w:szCs w:val="44"/>
          <w:highlight w:val="none"/>
          <w:lang w:val="en-US" w:eastAsia="zh-CN"/>
        </w:rPr>
      </w:pPr>
      <w:r>
        <w:rPr>
          <w:rFonts w:hint="eastAsia" w:ascii="Times New Roman" w:hAnsi="Times New Roman" w:eastAsia="方正小标宋_GBK" w:cs="方正小标宋_GBK"/>
          <w:kern w:val="2"/>
          <w:sz w:val="44"/>
          <w:szCs w:val="44"/>
          <w:highlight w:val="none"/>
          <w:lang w:val="en-US" w:eastAsia="zh-CN"/>
        </w:rPr>
        <w:t>重庆市</w:t>
      </w:r>
      <w:r>
        <w:rPr>
          <w:rFonts w:hint="eastAsia" w:ascii="Times New Roman" w:hAnsi="Times New Roman" w:eastAsia="方正小标宋_GBK" w:cs="方正小标宋_GBK"/>
          <w:kern w:val="2"/>
          <w:sz w:val="44"/>
          <w:szCs w:val="44"/>
          <w:highlight w:val="none"/>
          <w:lang w:eastAsia="zh-CN"/>
        </w:rPr>
        <w:t>铜梁区</w:t>
      </w:r>
      <w:r>
        <w:rPr>
          <w:rFonts w:hint="eastAsia" w:ascii="Times New Roman" w:hAnsi="Times New Roman" w:eastAsia="方正仿宋_GBK"/>
          <w:sz w:val="44"/>
          <w:szCs w:val="44"/>
          <w:highlight w:val="none"/>
          <w:lang w:eastAsia="zh-CN"/>
        </w:rPr>
        <w:t>“</w:t>
      </w:r>
      <w:r>
        <w:rPr>
          <w:rFonts w:hint="eastAsia" w:ascii="Times New Roman" w:hAnsi="Times New Roman" w:eastAsia="方正小标宋_GBK"/>
          <w:sz w:val="44"/>
          <w:szCs w:val="44"/>
          <w:highlight w:val="none"/>
          <w:lang w:eastAsia="zh-CN"/>
        </w:rPr>
        <w:t>十五五</w:t>
      </w:r>
      <w:r>
        <w:rPr>
          <w:rFonts w:hint="eastAsia" w:ascii="Times New Roman" w:hAnsi="Times New Roman" w:eastAsia="方正仿宋_GBK"/>
          <w:sz w:val="44"/>
          <w:szCs w:val="44"/>
          <w:highlight w:val="none"/>
          <w:lang w:eastAsia="zh-CN"/>
        </w:rPr>
        <w:t>”</w:t>
      </w:r>
      <w:r>
        <w:rPr>
          <w:rFonts w:hint="eastAsia" w:ascii="Times New Roman" w:hAnsi="Times New Roman" w:eastAsia="方正小标宋_GBK" w:cs="方正小标宋_GBK"/>
          <w:kern w:val="2"/>
          <w:sz w:val="44"/>
          <w:szCs w:val="44"/>
          <w:highlight w:val="none"/>
          <w:lang w:eastAsia="zh-CN"/>
        </w:rPr>
        <w:t>城市现代化治理规划</w:t>
      </w:r>
    </w:p>
    <w:p w14:paraId="533889B9">
      <w:pPr>
        <w:keepNext w:val="0"/>
        <w:keepLines w:val="0"/>
        <w:pageBreakBefore w:val="0"/>
        <w:widowControl w:val="0"/>
        <w:kinsoku/>
        <w:wordWrap/>
        <w:autoSpaceDE/>
        <w:bidi w:val="0"/>
        <w:spacing w:after="0" w:line="600" w:lineRule="exact"/>
        <w:jc w:val="center"/>
        <w:outlineLvl w:val="9"/>
        <w:rPr>
          <w:rFonts w:hint="eastAsia" w:ascii="Times New Roman" w:hAnsi="Times New Roman" w:eastAsia="方正小标宋_GBK" w:cs="方正小标宋_GBK"/>
          <w:kern w:val="2"/>
          <w:sz w:val="44"/>
          <w:szCs w:val="44"/>
          <w:highlight w:val="none"/>
          <w:lang w:eastAsia="zh-CN"/>
        </w:rPr>
      </w:pPr>
      <w:r>
        <w:rPr>
          <w:rFonts w:hint="eastAsia" w:ascii="Times New Roman" w:hAnsi="Times New Roman" w:eastAsia="方正小标宋_GBK" w:cs="方正小标宋_GBK"/>
          <w:kern w:val="2"/>
          <w:sz w:val="44"/>
          <w:szCs w:val="44"/>
          <w:highlight w:val="none"/>
          <w:lang w:eastAsia="zh-CN"/>
        </w:rPr>
        <w:t>（2026—2030年）</w:t>
      </w:r>
    </w:p>
    <w:p w14:paraId="2A8DDE16">
      <w:pPr>
        <w:keepNext w:val="0"/>
        <w:keepLines w:val="0"/>
        <w:pageBreakBefore w:val="0"/>
        <w:widowControl w:val="0"/>
        <w:kinsoku/>
        <w:wordWrap/>
        <w:autoSpaceDE/>
        <w:bidi w:val="0"/>
        <w:spacing w:after="0" w:line="600" w:lineRule="exact"/>
        <w:jc w:val="center"/>
        <w:outlineLvl w:val="9"/>
        <w:rPr>
          <w:rFonts w:hint="eastAsia" w:ascii="Times New Roman" w:hAnsi="Times New Roman" w:eastAsia="方正小标宋_GBK" w:cs="方正小标宋_GBK"/>
          <w:kern w:val="2"/>
          <w:sz w:val="44"/>
          <w:szCs w:val="44"/>
          <w:highlight w:val="none"/>
          <w:lang w:eastAsia="zh-CN"/>
        </w:rPr>
      </w:pPr>
      <w:r>
        <w:rPr>
          <w:rFonts w:hint="eastAsia" w:ascii="Times New Roman" w:hAnsi="Times New Roman" w:eastAsia="方正小标宋_GBK" w:cs="方正小标宋_GBK"/>
          <w:kern w:val="2"/>
          <w:sz w:val="44"/>
          <w:szCs w:val="44"/>
          <w:highlight w:val="none"/>
          <w:lang w:eastAsia="zh-CN"/>
        </w:rPr>
        <w:t>（</w:t>
      </w:r>
      <w:r>
        <w:rPr>
          <w:rFonts w:hint="eastAsia" w:ascii="Times New Roman" w:hAnsi="Times New Roman" w:eastAsia="方正小标宋_GBK" w:cs="方正小标宋_GBK"/>
          <w:kern w:val="2"/>
          <w:sz w:val="44"/>
          <w:szCs w:val="44"/>
          <w:highlight w:val="none"/>
          <w:lang w:val="en-US" w:eastAsia="zh-CN"/>
        </w:rPr>
        <w:t>征求意见稿</w:t>
      </w:r>
      <w:r>
        <w:rPr>
          <w:rFonts w:hint="eastAsia" w:ascii="Times New Roman" w:hAnsi="Times New Roman" w:eastAsia="方正小标宋_GBK" w:cs="方正小标宋_GBK"/>
          <w:kern w:val="2"/>
          <w:sz w:val="44"/>
          <w:szCs w:val="44"/>
          <w:highlight w:val="none"/>
          <w:lang w:eastAsia="zh-CN"/>
        </w:rPr>
        <w:t>）</w:t>
      </w:r>
    </w:p>
    <w:p w14:paraId="611B9136">
      <w:pPr>
        <w:keepNext w:val="0"/>
        <w:keepLines w:val="0"/>
        <w:pageBreakBefore w:val="0"/>
        <w:widowControl w:val="0"/>
        <w:kinsoku/>
        <w:wordWrap/>
        <w:autoSpaceDE/>
        <w:bidi w:val="0"/>
        <w:spacing w:after="0" w:line="600" w:lineRule="exact"/>
        <w:jc w:val="both"/>
        <w:outlineLvl w:val="9"/>
        <w:rPr>
          <w:rFonts w:hint="eastAsia" w:ascii="Times New Roman" w:hAnsi="Times New Roman" w:eastAsia="方正小标宋_GBK" w:cs="方正小标宋_GBK"/>
          <w:kern w:val="2"/>
          <w:sz w:val="44"/>
          <w:szCs w:val="44"/>
          <w:highlight w:val="none"/>
          <w:lang w:eastAsia="zh-CN"/>
        </w:rPr>
      </w:pPr>
    </w:p>
    <w:p w14:paraId="7D644803">
      <w:pPr>
        <w:rPr>
          <w:rFonts w:hint="eastAsia" w:ascii="Times New Roman" w:hAnsi="Times New Roman" w:eastAsia="方正小标宋_GBK" w:cs="方正小标宋_GBK"/>
          <w:kern w:val="2"/>
          <w:sz w:val="44"/>
          <w:szCs w:val="44"/>
          <w:highlight w:val="none"/>
          <w:lang w:eastAsia="zh-CN"/>
        </w:rPr>
      </w:pPr>
    </w:p>
    <w:p w14:paraId="28B352FB">
      <w:pPr>
        <w:pStyle w:val="3"/>
        <w:rPr>
          <w:rFonts w:hint="eastAsia" w:ascii="Times New Roman" w:hAnsi="Times New Roman" w:eastAsia="方正小标宋_GBK" w:cs="方正小标宋_GBK"/>
          <w:kern w:val="2"/>
          <w:sz w:val="44"/>
          <w:szCs w:val="44"/>
          <w:highlight w:val="none"/>
          <w:lang w:eastAsia="zh-CN"/>
        </w:rPr>
      </w:pPr>
    </w:p>
    <w:p w14:paraId="3D21429E">
      <w:pPr>
        <w:rPr>
          <w:rFonts w:hint="eastAsia" w:ascii="Times New Roman" w:hAnsi="Times New Roman" w:eastAsia="方正小标宋_GBK" w:cs="方正小标宋_GBK"/>
          <w:kern w:val="2"/>
          <w:sz w:val="44"/>
          <w:szCs w:val="44"/>
          <w:highlight w:val="none"/>
          <w:lang w:eastAsia="zh-CN"/>
        </w:rPr>
      </w:pPr>
    </w:p>
    <w:p w14:paraId="169A1266">
      <w:pPr>
        <w:pStyle w:val="3"/>
        <w:rPr>
          <w:rFonts w:hint="eastAsia" w:ascii="Times New Roman" w:hAnsi="Times New Roman" w:eastAsia="方正小标宋_GBK" w:cs="方正小标宋_GBK"/>
          <w:kern w:val="2"/>
          <w:sz w:val="44"/>
          <w:szCs w:val="44"/>
          <w:highlight w:val="none"/>
          <w:lang w:eastAsia="zh-CN"/>
        </w:rPr>
      </w:pPr>
    </w:p>
    <w:p w14:paraId="23D3DD9C">
      <w:pPr>
        <w:rPr>
          <w:rFonts w:hint="eastAsia" w:ascii="Times New Roman" w:hAnsi="Times New Roman" w:eastAsia="方正小标宋_GBK" w:cs="方正小标宋_GBK"/>
          <w:kern w:val="2"/>
          <w:sz w:val="44"/>
          <w:szCs w:val="44"/>
          <w:highlight w:val="none"/>
          <w:lang w:eastAsia="zh-CN"/>
        </w:rPr>
      </w:pPr>
    </w:p>
    <w:p w14:paraId="5912E3DD">
      <w:pPr>
        <w:pStyle w:val="3"/>
        <w:rPr>
          <w:rFonts w:hint="eastAsia" w:ascii="Times New Roman" w:hAnsi="Times New Roman" w:eastAsia="方正小标宋_GBK" w:cs="方正小标宋_GBK"/>
          <w:kern w:val="2"/>
          <w:sz w:val="44"/>
          <w:szCs w:val="44"/>
          <w:highlight w:val="none"/>
          <w:lang w:eastAsia="zh-CN"/>
        </w:rPr>
      </w:pPr>
    </w:p>
    <w:p w14:paraId="3F50A876">
      <w:pPr>
        <w:keepNext w:val="0"/>
        <w:keepLines w:val="0"/>
        <w:pageBreakBefore w:val="0"/>
        <w:widowControl w:val="0"/>
        <w:kinsoku/>
        <w:wordWrap/>
        <w:overflowPunct/>
        <w:topLinePunct w:val="0"/>
        <w:autoSpaceDE/>
        <w:autoSpaceDN/>
        <w:bidi w:val="0"/>
        <w:adjustRightInd/>
        <w:snapToGrid/>
        <w:spacing w:after="0" w:line="600" w:lineRule="exact"/>
        <w:jc w:val="both"/>
        <w:textAlignment w:val="auto"/>
        <w:outlineLvl w:val="0"/>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p>
    <w:p w14:paraId="5C13A5B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outlineLvl w:val="0"/>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铜梁区城市管理局</w:t>
      </w:r>
    </w:p>
    <w:p w14:paraId="16240B0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outlineLvl w:val="0"/>
        <w:rPr>
          <w:rFonts w:hint="default"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重庆市城市治理研究院</w:t>
      </w:r>
    </w:p>
    <w:p w14:paraId="2B80800F">
      <w:pPr>
        <w:rPr>
          <w:rFonts w:hint="eastAsia"/>
          <w:lang w:val="en-US" w:eastAsia="zh-CN"/>
        </w:rPr>
      </w:pPr>
    </w:p>
    <w:p w14:paraId="2F04C51E">
      <w:pPr>
        <w:pStyle w:val="3"/>
        <w:rPr>
          <w:rFonts w:hint="eastAsia"/>
          <w:lang w:val="en-US" w:eastAsia="zh-CN"/>
        </w:rPr>
      </w:pPr>
    </w:p>
    <w:p w14:paraId="2803153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center"/>
        <w:textAlignment w:val="auto"/>
        <w:outlineLvl w:val="0"/>
        <w:rPr>
          <w:rFonts w:hint="default"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二〇二六年七月</w:t>
      </w:r>
    </w:p>
    <w:p w14:paraId="5CD7E889">
      <w:pPr>
        <w:rPr>
          <w:rFonts w:hint="eastAsia" w:ascii="Times New Roman" w:hAnsi="Times New Roman" w:eastAsia="方正小标宋_GBK" w:cs="方正小标宋_GBK"/>
          <w:kern w:val="2"/>
          <w:sz w:val="44"/>
          <w:szCs w:val="44"/>
          <w:highlight w:val="none"/>
          <w:lang w:eastAsia="zh-CN"/>
        </w:rPr>
        <w:sectPr>
          <w:pgSz w:w="11906" w:h="16838"/>
          <w:pgMar w:top="2098" w:right="1474" w:bottom="1984" w:left="1587" w:header="850" w:footer="992" w:gutter="0"/>
          <w:pgNumType w:fmt="upperRoman"/>
          <w:cols w:space="720" w:num="1"/>
          <w:docGrid w:linePitch="360" w:charSpace="0"/>
        </w:sectPr>
      </w:pPr>
    </w:p>
    <w:p w14:paraId="0D5B0480">
      <w:pPr>
        <w:keepNext w:val="0"/>
        <w:keepLines w:val="0"/>
        <w:pageBreakBefore w:val="0"/>
        <w:widowControl w:val="0"/>
        <w:kinsoku/>
        <w:wordWrap/>
        <w:autoSpaceDE/>
        <w:bidi w:val="0"/>
        <w:spacing w:after="0" w:line="600" w:lineRule="exact"/>
        <w:jc w:val="center"/>
        <w:outlineLvl w:val="9"/>
        <w:rPr>
          <w:rFonts w:hint="eastAsia" w:ascii="Times New Roman" w:hAnsi="Times New Roman" w:eastAsia="方正小标宋_GBK" w:cs="方正小标宋_GBK"/>
          <w:kern w:val="2"/>
          <w:sz w:val="44"/>
          <w:szCs w:val="44"/>
          <w:highlight w:val="none"/>
          <w:lang w:eastAsia="zh-CN"/>
        </w:rPr>
        <w:sectPr>
          <w:footerReference r:id="rId5" w:type="default"/>
          <w:pgSz w:w="11906" w:h="16838"/>
          <w:pgMar w:top="2098" w:right="1474" w:bottom="1984" w:left="1587" w:header="850" w:footer="992" w:gutter="0"/>
          <w:pgNumType w:fmt="upperRoman" w:start="1"/>
          <w:cols w:space="720" w:num="1"/>
          <w:docGrid w:linePitch="360" w:charSpace="0"/>
        </w:sectPr>
      </w:pPr>
    </w:p>
    <w:p w14:paraId="16E174C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lang w:val="en-US" w:eastAsia="zh-CN"/>
        </w:rPr>
      </w:pPr>
      <w:r>
        <w:rPr>
          <w:rFonts w:hint="eastAsia" w:ascii="方正仿宋_GBK" w:hAnsi="方正仿宋_GBK" w:eastAsia="方正仿宋_GBK"/>
          <w:b w:val="0"/>
          <w:kern w:val="2"/>
          <w:sz w:val="32"/>
          <w:szCs w:val="24"/>
          <w:highlight w:val="none"/>
          <w:lang w:eastAsia="zh-CN"/>
        </w:rPr>
        <w:t>城市是现代化建设的重要载体、人民幸福生活的重要空间。为系统推进超大城市治理现代化，推动城市高质量发展，依据</w:t>
      </w:r>
      <w:r>
        <w:rPr>
          <w:rFonts w:hint="eastAsia" w:ascii="方正仿宋_GBK" w:hAnsi="方正仿宋_GBK" w:eastAsia="方正仿宋_GBK" w:cstheme="minorBidi"/>
          <w:b w:val="0"/>
          <w:kern w:val="2"/>
          <w:sz w:val="32"/>
          <w:szCs w:val="24"/>
          <w:highlight w:val="none"/>
          <w:lang w:val="en-US" w:eastAsia="zh-CN" w:bidi="ar-SA"/>
        </w:rPr>
        <w:t>《成渝地区双城经济圈建设规划纲要》</w:t>
      </w:r>
      <w:r>
        <w:rPr>
          <w:rFonts w:hint="eastAsia" w:ascii="方正仿宋_GBK" w:hAnsi="方正仿宋_GBK" w:eastAsia="方正仿宋_GBK"/>
          <w:b w:val="0"/>
          <w:kern w:val="2"/>
          <w:sz w:val="32"/>
          <w:szCs w:val="24"/>
          <w:highlight w:val="none"/>
          <w:lang w:eastAsia="zh-CN"/>
        </w:rPr>
        <w:t>《重庆市国民经济和社会发展第十五个五年规划纲要》《重庆市铜梁区国民经济和社会发展第十五个五年规划纲要》《重庆市“</w:t>
      </w:r>
      <w:r>
        <w:rPr>
          <w:rFonts w:hint="eastAsia" w:ascii="方正仿宋_GBK" w:hAnsi="方正仿宋_GBK" w:eastAsia="方正仿宋_GBK"/>
          <w:b w:val="0"/>
          <w:kern w:val="2"/>
          <w:sz w:val="32"/>
          <w:szCs w:val="24"/>
          <w:highlight w:val="none"/>
          <w:lang w:val="en-US" w:eastAsia="zh-CN"/>
        </w:rPr>
        <w:t>十五五”超大城市现代化治理规划（2026—2030年）</w:t>
      </w:r>
      <w:r>
        <w:rPr>
          <w:rFonts w:hint="eastAsia" w:ascii="方正仿宋_GBK" w:hAnsi="方正仿宋_GBK" w:eastAsia="方正仿宋_GBK"/>
          <w:b w:val="0"/>
          <w:kern w:val="2"/>
          <w:sz w:val="32"/>
          <w:szCs w:val="24"/>
          <w:highlight w:val="none"/>
          <w:lang w:eastAsia="zh-CN"/>
        </w:rPr>
        <w:t>》，制定本规划。</w:t>
      </w:r>
    </w:p>
    <w:p w14:paraId="5FFC87B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0"/>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0" w:name="_Toc32403"/>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一、总体要求</w:t>
      </w:r>
      <w:bookmarkEnd w:id="0"/>
    </w:p>
    <w:p w14:paraId="1718967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sz w:val="32"/>
          <w:lang w:val="en-US" w:eastAsia="zh-CN"/>
        </w:rPr>
      </w:pPr>
      <w:r>
        <w:rPr>
          <w:rFonts w:hint="eastAsia" w:ascii="Times New Roman" w:hAnsi="Times New Roman" w:eastAsia="方正仿宋_GBK"/>
          <w:sz w:val="32"/>
          <w:lang w:val="en-US" w:eastAsia="zh-CN"/>
        </w:rPr>
        <w:t>坚持以习近平新时代中国特色社会主义思想为指导，深入贯彻党的二十大和二十届历次全会精神以及中央城市工作会议精神，全面落实习近平总书记视察重庆重要讲话重要指示精神，认真落实市委六届历次全会部署和区委工作要求，</w:t>
      </w:r>
      <w:r>
        <w:rPr>
          <w:rFonts w:hint="default" w:ascii="Times New Roman" w:hAnsi="Times New Roman" w:eastAsia="方正仿宋_GBK"/>
          <w:sz w:val="32"/>
          <w:lang w:val="en-US" w:eastAsia="zh-CN"/>
        </w:rPr>
        <w:t>服务重庆做实</w:t>
      </w:r>
      <w:r>
        <w:rPr>
          <w:rFonts w:hint="eastAsia" w:ascii="Times New Roman" w:hAnsi="Times New Roman" w:eastAsia="方正仿宋_GBK"/>
          <w:sz w:val="32"/>
          <w:lang w:val="en-US" w:eastAsia="zh-CN"/>
        </w:rPr>
        <w:t>“两大定位”</w:t>
      </w:r>
      <w:r>
        <w:rPr>
          <w:rFonts w:hint="default" w:ascii="Times New Roman" w:hAnsi="Times New Roman" w:eastAsia="方正仿宋_GBK"/>
          <w:sz w:val="32"/>
          <w:lang w:val="en-US" w:eastAsia="zh-CN"/>
        </w:rPr>
        <w:t>、发挥</w:t>
      </w:r>
      <w:r>
        <w:rPr>
          <w:rFonts w:hint="eastAsia" w:ascii="Times New Roman" w:hAnsi="Times New Roman" w:eastAsia="方正仿宋_GBK"/>
          <w:sz w:val="32"/>
          <w:lang w:val="en-US" w:eastAsia="zh-CN"/>
        </w:rPr>
        <w:t>“三个作用”</w:t>
      </w:r>
      <w:r>
        <w:rPr>
          <w:rFonts w:hint="default" w:ascii="Times New Roman" w:hAnsi="Times New Roman" w:eastAsia="方正仿宋_GBK"/>
          <w:sz w:val="32"/>
          <w:lang w:val="en-US" w:eastAsia="zh-CN"/>
        </w:rPr>
        <w:t>，</w:t>
      </w:r>
      <w:r>
        <w:rPr>
          <w:rFonts w:hint="eastAsia" w:ascii="Times New Roman" w:hAnsi="Times New Roman" w:eastAsia="方正仿宋_GBK"/>
          <w:sz w:val="32"/>
          <w:lang w:val="en-US" w:eastAsia="zh-CN"/>
        </w:rPr>
        <w:t>聚焦铜梁“三高五新”发展定位</w:t>
      </w:r>
      <w:r>
        <w:rPr>
          <w:rFonts w:hint="default" w:ascii="Times New Roman" w:hAnsi="Times New Roman" w:eastAsia="方正仿宋_GBK"/>
          <w:sz w:val="32"/>
          <w:lang w:val="en-US" w:eastAsia="zh-CN"/>
        </w:rPr>
        <w:t>，</w:t>
      </w:r>
      <w:r>
        <w:rPr>
          <w:rFonts w:hint="eastAsia" w:ascii="Times New Roman" w:hAnsi="Times New Roman" w:eastAsia="方正仿宋_GBK"/>
          <w:sz w:val="32"/>
          <w:lang w:val="en-US" w:eastAsia="zh-CN"/>
        </w:rPr>
        <w:t>落实“高效治理新实践”，坚持党建引领、人民至上，坚持问题导向、特色引领，坚持改革创新、多元共治，坚持多跨协同、精细治理，</w:t>
      </w:r>
      <w:r>
        <w:rPr>
          <w:rFonts w:hint="default" w:ascii="Times New Roman" w:hAnsi="Times New Roman" w:eastAsia="方正仿宋_GBK"/>
          <w:sz w:val="32"/>
          <w:lang w:val="en-US" w:eastAsia="zh-CN"/>
        </w:rPr>
        <w:t>健全“大综合一体化”城市综合治理体制机制</w:t>
      </w:r>
      <w:r>
        <w:rPr>
          <w:rFonts w:hint="eastAsia" w:ascii="Times New Roman" w:hAnsi="Times New Roman" w:eastAsia="方正仿宋_GBK"/>
          <w:sz w:val="32"/>
          <w:lang w:val="en-US" w:eastAsia="zh-CN"/>
        </w:rPr>
        <w:t>，形成数智赋能的城市治理能力，推动铜梁城市现代化治理迈上新台阶，建设创新、宜居、美丽、韧性、文明、智慧的现代化人民城市。</w:t>
      </w:r>
    </w:p>
    <w:p w14:paraId="084D03D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cstheme="minorBidi"/>
          <w:sz w:val="32"/>
          <w:szCs w:val="22"/>
          <w:lang w:val="en-US" w:eastAsia="zh-CN" w:bidi="ar-SA"/>
        </w:rPr>
      </w:pPr>
      <w:r>
        <w:rPr>
          <w:rFonts w:hint="eastAsia" w:ascii="Times New Roman" w:hAnsi="Times New Roman" w:eastAsia="方正仿宋_GBK" w:cstheme="minorBidi"/>
          <w:sz w:val="32"/>
          <w:szCs w:val="22"/>
          <w:lang w:val="en-US" w:eastAsia="zh-CN" w:bidi="ar-SA"/>
        </w:rPr>
        <w:t>到2030年，以龙乡文明为特色的治理共识愈发凝聚，</w:t>
      </w:r>
      <w:r>
        <w:rPr>
          <w:rFonts w:hint="eastAsia" w:ascii="Times New Roman" w:hAnsi="Times New Roman" w:eastAsia="方正仿宋_GBK"/>
          <w:sz w:val="32"/>
          <w:lang w:eastAsia="zh-CN"/>
        </w:rPr>
        <w:t>全国文明城区成功创建，</w:t>
      </w:r>
      <w:r>
        <w:rPr>
          <w:rFonts w:hint="eastAsia" w:ascii="Times New Roman" w:hAnsi="Times New Roman" w:eastAsia="方正仿宋_GBK"/>
          <w:sz w:val="32"/>
          <w:lang w:val="en-US" w:eastAsia="zh-CN"/>
        </w:rPr>
        <w:t>文体旅融合保障机制成熟运行</w:t>
      </w:r>
      <w:r>
        <w:rPr>
          <w:rFonts w:hint="eastAsia" w:ascii="Times New Roman" w:hAnsi="Times New Roman" w:eastAsia="方正仿宋_GBK"/>
          <w:sz w:val="32"/>
          <w:lang w:eastAsia="zh-CN"/>
        </w:rPr>
        <w:t>。</w:t>
      </w:r>
      <w:r>
        <w:rPr>
          <w:rFonts w:hint="eastAsia" w:ascii="Times New Roman" w:hAnsi="Times New Roman" w:eastAsia="方正仿宋_GBK" w:cstheme="minorBidi"/>
          <w:sz w:val="32"/>
          <w:szCs w:val="22"/>
          <w:lang w:val="en-US" w:eastAsia="zh-CN" w:bidi="ar-SA"/>
        </w:rPr>
        <w:t>以城市经营为引领的治理路径愈发清晰，产城融合水平显著提高，</w:t>
      </w:r>
      <w:r>
        <w:rPr>
          <w:rFonts w:hint="eastAsia" w:ascii="Times New Roman" w:hAnsi="Times New Roman" w:eastAsia="方正仿宋_GBK"/>
          <w:sz w:val="32"/>
          <w:lang w:val="en-US" w:eastAsia="zh-CN"/>
        </w:rPr>
        <w:t>城市发展能级和综合竞争力显著增强。</w:t>
      </w:r>
      <w:r>
        <w:rPr>
          <w:rFonts w:hint="eastAsia" w:ascii="Times New Roman" w:hAnsi="Times New Roman" w:eastAsia="方正仿宋_GBK" w:cstheme="minorBidi"/>
          <w:sz w:val="32"/>
          <w:szCs w:val="22"/>
          <w:lang w:val="en-US" w:eastAsia="zh-CN" w:bidi="ar-SA"/>
        </w:rPr>
        <w:t>城市精细化管理和高效能治理能力大幅跃升，“城市病”有效缓解，城市宜居品质持续提升，韧性基底全面夯实，低碳转型纵深推进，铜梁城市生活更便利，铜梁城市资产价值更高，市民获得感、幸福感、安全感持续增强。奋力构建具有铜梁辨识度的“以文润治、以治兴业”城市治理新范式，奋力打造渝西一体化治理标杆城市、成渝地区现代化治理示范高地，为建设超大城市现代化治理示范区贡献生动实践、展现铜梁作为。</w:t>
      </w:r>
    </w:p>
    <w:p w14:paraId="43F5033A">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outlineLvl w:val="9"/>
        <w:rPr>
          <w:rFonts w:hint="eastAsia"/>
          <w:highlight w:val="none"/>
          <w:lang w:val="en-US" w:eastAsia="zh-CN"/>
        </w:rPr>
      </w:pPr>
      <w:bookmarkStart w:id="1" w:name="_Toc24541"/>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专栏1</w:t>
      </w:r>
      <w:r>
        <w:rPr>
          <w:rFonts w:hint="default"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 xml:space="preserve">  铜梁区</w:t>
      </w:r>
      <w:r>
        <w:rPr>
          <w:rFonts w:hint="eastAsia"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w:t>
      </w:r>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十五五</w:t>
      </w:r>
      <w:r>
        <w:rPr>
          <w:rFonts w:hint="eastAsia"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w:t>
      </w:r>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城市现代化治理主要指标</w:t>
      </w:r>
      <w:bookmarkEnd w:id="1"/>
    </w:p>
    <w:tbl>
      <w:tblPr>
        <w:tblStyle w:val="11"/>
        <w:tblW w:w="49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55"/>
        <w:gridCol w:w="3658"/>
        <w:gridCol w:w="1014"/>
        <w:gridCol w:w="904"/>
        <w:gridCol w:w="1189"/>
        <w:gridCol w:w="1095"/>
      </w:tblGrid>
      <w:tr w14:paraId="27F8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blHeader/>
        </w:trPr>
        <w:tc>
          <w:tcPr>
            <w:tcW w:w="330" w:type="pct"/>
            <w:shd w:val="clear" w:color="auto" w:fill="auto"/>
            <w:vAlign w:val="center"/>
          </w:tcPr>
          <w:p w14:paraId="59702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序号</w:t>
            </w:r>
          </w:p>
        </w:tc>
        <w:tc>
          <w:tcPr>
            <w:tcW w:w="2172" w:type="pct"/>
            <w:shd w:val="clear" w:color="auto" w:fill="auto"/>
            <w:vAlign w:val="center"/>
          </w:tcPr>
          <w:p w14:paraId="07BA16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指标名称</w:t>
            </w:r>
          </w:p>
        </w:tc>
        <w:tc>
          <w:tcPr>
            <w:tcW w:w="602" w:type="pct"/>
            <w:shd w:val="clear" w:color="auto" w:fill="auto"/>
            <w:vAlign w:val="center"/>
          </w:tcPr>
          <w:p w14:paraId="66A01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单位</w:t>
            </w:r>
          </w:p>
        </w:tc>
        <w:tc>
          <w:tcPr>
            <w:tcW w:w="537" w:type="pct"/>
            <w:shd w:val="clear" w:color="auto" w:fill="auto"/>
            <w:vAlign w:val="center"/>
          </w:tcPr>
          <w:p w14:paraId="15ADA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2025年</w:t>
            </w:r>
          </w:p>
        </w:tc>
        <w:tc>
          <w:tcPr>
            <w:tcW w:w="706" w:type="pct"/>
            <w:shd w:val="clear" w:color="auto" w:fill="auto"/>
            <w:vAlign w:val="center"/>
          </w:tcPr>
          <w:p w14:paraId="36108C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2030年目标</w:t>
            </w:r>
          </w:p>
        </w:tc>
        <w:tc>
          <w:tcPr>
            <w:tcW w:w="650" w:type="pct"/>
            <w:shd w:val="clear" w:color="auto" w:fill="auto"/>
            <w:vAlign w:val="center"/>
          </w:tcPr>
          <w:p w14:paraId="1A1532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指标属性</w:t>
            </w:r>
          </w:p>
        </w:tc>
      </w:tr>
      <w:tr w14:paraId="329E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509B08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w:t>
            </w:r>
          </w:p>
        </w:tc>
        <w:tc>
          <w:tcPr>
            <w:tcW w:w="2172" w:type="pct"/>
            <w:shd w:val="clear" w:color="auto" w:fill="auto"/>
            <w:vAlign w:val="center"/>
          </w:tcPr>
          <w:p w14:paraId="47DDDFE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“民呼我为”</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诉求办理满意率</w:t>
            </w:r>
          </w:p>
        </w:tc>
        <w:tc>
          <w:tcPr>
            <w:tcW w:w="602" w:type="pct"/>
            <w:shd w:val="clear" w:color="auto" w:fill="auto"/>
            <w:vAlign w:val="center"/>
          </w:tcPr>
          <w:p w14:paraId="4D87D1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方正仿宋_GBK"/>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537" w:type="pct"/>
            <w:shd w:val="clear" w:color="auto" w:fill="auto"/>
            <w:vAlign w:val="center"/>
          </w:tcPr>
          <w:p w14:paraId="2BC50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91</w:t>
            </w:r>
          </w:p>
        </w:tc>
        <w:tc>
          <w:tcPr>
            <w:tcW w:w="706" w:type="pct"/>
            <w:shd w:val="clear" w:color="auto" w:fill="auto"/>
            <w:vAlign w:val="center"/>
          </w:tcPr>
          <w:p w14:paraId="07068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92</w:t>
            </w:r>
          </w:p>
        </w:tc>
        <w:tc>
          <w:tcPr>
            <w:tcW w:w="650" w:type="pct"/>
            <w:shd w:val="clear" w:color="auto" w:fill="auto"/>
            <w:vAlign w:val="center"/>
          </w:tcPr>
          <w:p w14:paraId="1AA640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5E5A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1FD45D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2</w:t>
            </w:r>
          </w:p>
        </w:tc>
        <w:tc>
          <w:tcPr>
            <w:tcW w:w="2172" w:type="pct"/>
            <w:shd w:val="clear" w:color="auto" w:fill="auto"/>
            <w:vAlign w:val="center"/>
          </w:tcPr>
          <w:p w14:paraId="7A233F42">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bookmarkStart w:id="15" w:name="_GoBack"/>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bookmarkEnd w:id="15"/>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打造AI+城市治理综合</w:t>
            </w: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场景</w:t>
            </w:r>
          </w:p>
        </w:tc>
        <w:tc>
          <w:tcPr>
            <w:tcW w:w="602" w:type="pct"/>
            <w:shd w:val="clear" w:color="auto" w:fill="auto"/>
            <w:vAlign w:val="center"/>
          </w:tcPr>
          <w:p w14:paraId="0A4FD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0"/>
                <w:sz w:val="21"/>
                <w:szCs w:val="21"/>
                <w:highlight w:val="none"/>
                <w:u w:val="none" w:color="auto"/>
                <w:lang w:val="en-US" w:eastAsia="zh-CN" w:bidi="ar"/>
              </w:rPr>
            </w:pPr>
            <w:r>
              <w:rPr>
                <w:rFonts w:hint="eastAsia" w:ascii="方正仿宋_GBK" w:hAnsi="方正仿宋_GBK" w:eastAsia="方正仿宋_GBK" w:cs="方正仿宋_GBK"/>
                <w:b w:val="0"/>
                <w:bCs w:val="0"/>
                <w:i w:val="0"/>
                <w:iCs w:val="0"/>
                <w:color w:val="auto"/>
                <w:kern w:val="0"/>
                <w:sz w:val="21"/>
                <w:szCs w:val="21"/>
                <w:highlight w:val="none"/>
                <w:u w:val="none" w:color="auto"/>
                <w:lang w:val="en-US" w:eastAsia="zh-CN" w:bidi="ar"/>
              </w:rPr>
              <w:t>个</w:t>
            </w:r>
          </w:p>
        </w:tc>
        <w:tc>
          <w:tcPr>
            <w:tcW w:w="537" w:type="pct"/>
            <w:shd w:val="clear" w:color="auto" w:fill="auto"/>
            <w:vAlign w:val="center"/>
          </w:tcPr>
          <w:p w14:paraId="38FD9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3</w:t>
            </w:r>
          </w:p>
        </w:tc>
        <w:tc>
          <w:tcPr>
            <w:tcW w:w="706" w:type="pct"/>
            <w:shd w:val="clear" w:color="auto" w:fill="auto"/>
            <w:vAlign w:val="center"/>
          </w:tcPr>
          <w:p w14:paraId="01B7E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9</w:t>
            </w:r>
          </w:p>
        </w:tc>
        <w:tc>
          <w:tcPr>
            <w:tcW w:w="650" w:type="pct"/>
            <w:shd w:val="clear" w:color="auto" w:fill="auto"/>
            <w:vAlign w:val="center"/>
          </w:tcPr>
          <w:p w14:paraId="42760D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7942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34BF83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3</w:t>
            </w:r>
          </w:p>
        </w:tc>
        <w:tc>
          <w:tcPr>
            <w:tcW w:w="2172" w:type="pct"/>
            <w:shd w:val="clear" w:color="auto" w:fill="auto"/>
            <w:vAlign w:val="center"/>
          </w:tcPr>
          <w:p w14:paraId="41D47F52">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*风险点落图</w:t>
            </w:r>
          </w:p>
        </w:tc>
        <w:tc>
          <w:tcPr>
            <w:tcW w:w="602" w:type="pct"/>
            <w:shd w:val="clear" w:color="auto" w:fill="auto"/>
            <w:vAlign w:val="center"/>
          </w:tcPr>
          <w:p w14:paraId="1E685A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方正仿宋_GBK"/>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万个</w:t>
            </w:r>
          </w:p>
        </w:tc>
        <w:tc>
          <w:tcPr>
            <w:tcW w:w="537" w:type="pct"/>
            <w:shd w:val="clear" w:color="auto" w:fill="auto"/>
            <w:vAlign w:val="center"/>
          </w:tcPr>
          <w:p w14:paraId="0837AA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706" w:type="pct"/>
            <w:shd w:val="clear" w:color="auto" w:fill="auto"/>
            <w:vAlign w:val="center"/>
          </w:tcPr>
          <w:p w14:paraId="5A527B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动态</w:t>
            </w:r>
          </w:p>
          <w:p w14:paraId="4B250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全量落图</w:t>
            </w:r>
          </w:p>
        </w:tc>
        <w:tc>
          <w:tcPr>
            <w:tcW w:w="650" w:type="pct"/>
            <w:shd w:val="clear" w:color="auto" w:fill="auto"/>
            <w:vAlign w:val="center"/>
          </w:tcPr>
          <w:p w14:paraId="2509C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约束性</w:t>
            </w:r>
          </w:p>
        </w:tc>
      </w:tr>
      <w:tr w14:paraId="649E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30" w:type="pct"/>
            <w:shd w:val="clear" w:color="auto" w:fill="auto"/>
            <w:vAlign w:val="center"/>
          </w:tcPr>
          <w:p w14:paraId="22032C49">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4</w:t>
            </w:r>
          </w:p>
        </w:tc>
        <w:tc>
          <w:tcPr>
            <w:tcW w:w="2172" w:type="pct"/>
            <w:shd w:val="clear" w:color="auto" w:fill="auto"/>
            <w:vAlign w:val="center"/>
          </w:tcPr>
          <w:p w14:paraId="75B6E876">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全国文明城区创建</w:t>
            </w:r>
          </w:p>
        </w:tc>
        <w:tc>
          <w:tcPr>
            <w:tcW w:w="602" w:type="pct"/>
            <w:shd w:val="clear" w:color="auto" w:fill="auto"/>
            <w:vAlign w:val="center"/>
          </w:tcPr>
          <w:p w14:paraId="59EF6C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个</w:t>
            </w:r>
          </w:p>
        </w:tc>
        <w:tc>
          <w:tcPr>
            <w:tcW w:w="537" w:type="pct"/>
            <w:shd w:val="clear" w:color="auto" w:fill="auto"/>
            <w:vAlign w:val="center"/>
          </w:tcPr>
          <w:p w14:paraId="6DA134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706" w:type="pct"/>
            <w:shd w:val="clear" w:color="auto" w:fill="auto"/>
            <w:vAlign w:val="center"/>
          </w:tcPr>
          <w:p w14:paraId="01019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w:t>
            </w:r>
          </w:p>
        </w:tc>
        <w:tc>
          <w:tcPr>
            <w:tcW w:w="650" w:type="pct"/>
            <w:shd w:val="clear" w:color="auto" w:fill="auto"/>
            <w:vAlign w:val="center"/>
          </w:tcPr>
          <w:p w14:paraId="7411F5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61BF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799B0253">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5</w:t>
            </w:r>
          </w:p>
        </w:tc>
        <w:tc>
          <w:tcPr>
            <w:tcW w:w="2172" w:type="pct"/>
            <w:shd w:val="clear" w:color="auto" w:fill="auto"/>
            <w:vAlign w:val="center"/>
          </w:tcPr>
          <w:p w14:paraId="6E08AD8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*打造新型公共文化空间</w:t>
            </w:r>
          </w:p>
        </w:tc>
        <w:tc>
          <w:tcPr>
            <w:tcW w:w="602" w:type="pct"/>
            <w:shd w:val="clear" w:color="auto" w:fill="auto"/>
            <w:vAlign w:val="center"/>
          </w:tcPr>
          <w:p w14:paraId="5C9C7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t>个</w:t>
            </w:r>
          </w:p>
        </w:tc>
        <w:tc>
          <w:tcPr>
            <w:tcW w:w="537" w:type="pct"/>
            <w:shd w:val="clear" w:color="auto" w:fill="auto"/>
            <w:vAlign w:val="center"/>
          </w:tcPr>
          <w:p w14:paraId="3F76B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706" w:type="pct"/>
            <w:shd w:val="clear" w:color="auto" w:fill="auto"/>
            <w:vAlign w:val="center"/>
          </w:tcPr>
          <w:p w14:paraId="630E3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5</w:t>
            </w:r>
          </w:p>
        </w:tc>
        <w:tc>
          <w:tcPr>
            <w:tcW w:w="650" w:type="pct"/>
            <w:shd w:val="clear" w:color="auto" w:fill="auto"/>
            <w:vAlign w:val="center"/>
          </w:tcPr>
          <w:p w14:paraId="6E3A74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36D5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07FA9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6</w:t>
            </w:r>
          </w:p>
        </w:tc>
        <w:tc>
          <w:tcPr>
            <w:tcW w:w="2172" w:type="pct"/>
            <w:shd w:val="clear" w:color="auto" w:fill="auto"/>
            <w:vAlign w:val="center"/>
          </w:tcPr>
          <w:p w14:paraId="4E18A69F">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盘活存量资产额</w:t>
            </w:r>
          </w:p>
        </w:tc>
        <w:tc>
          <w:tcPr>
            <w:tcW w:w="602" w:type="pct"/>
            <w:shd w:val="clear" w:color="auto" w:fill="auto"/>
            <w:vAlign w:val="center"/>
          </w:tcPr>
          <w:p w14:paraId="6998EE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t>亿元</w:t>
            </w:r>
          </w:p>
        </w:tc>
        <w:tc>
          <w:tcPr>
            <w:tcW w:w="537" w:type="pct"/>
            <w:shd w:val="clear" w:color="auto" w:fill="auto"/>
            <w:vAlign w:val="center"/>
          </w:tcPr>
          <w:p w14:paraId="3F2052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706" w:type="pct"/>
            <w:shd w:val="clear" w:color="auto" w:fill="auto"/>
            <w:vAlign w:val="center"/>
          </w:tcPr>
          <w:p w14:paraId="68AF5B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40</w:t>
            </w:r>
          </w:p>
        </w:tc>
        <w:tc>
          <w:tcPr>
            <w:tcW w:w="650" w:type="pct"/>
            <w:shd w:val="clear" w:color="auto" w:fill="auto"/>
            <w:vAlign w:val="center"/>
          </w:tcPr>
          <w:p w14:paraId="4048C9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7431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30" w:type="pct"/>
            <w:shd w:val="clear" w:color="auto" w:fill="auto"/>
            <w:vAlign w:val="center"/>
          </w:tcPr>
          <w:p w14:paraId="175FD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7</w:t>
            </w:r>
          </w:p>
        </w:tc>
        <w:tc>
          <w:tcPr>
            <w:tcW w:w="2172" w:type="pct"/>
            <w:shd w:val="clear" w:color="auto" w:fill="auto"/>
            <w:vAlign w:val="center"/>
          </w:tcPr>
          <w:p w14:paraId="279529A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城市建成区路网密度</w:t>
            </w:r>
          </w:p>
        </w:tc>
        <w:tc>
          <w:tcPr>
            <w:tcW w:w="602" w:type="pct"/>
            <w:shd w:val="clear" w:color="auto" w:fill="auto"/>
            <w:vAlign w:val="center"/>
          </w:tcPr>
          <w:p w14:paraId="0256FF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公里/平方公里</w:t>
            </w:r>
          </w:p>
        </w:tc>
        <w:tc>
          <w:tcPr>
            <w:tcW w:w="537" w:type="pct"/>
            <w:shd w:val="clear" w:color="auto" w:fill="auto"/>
            <w:vAlign w:val="center"/>
          </w:tcPr>
          <w:p w14:paraId="5C8E87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预估7</w:t>
            </w:r>
          </w:p>
        </w:tc>
        <w:tc>
          <w:tcPr>
            <w:tcW w:w="706" w:type="pct"/>
            <w:shd w:val="clear" w:color="auto" w:fill="auto"/>
            <w:vAlign w:val="center"/>
          </w:tcPr>
          <w:p w14:paraId="271896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≥8.0</w:t>
            </w:r>
          </w:p>
        </w:tc>
        <w:tc>
          <w:tcPr>
            <w:tcW w:w="650" w:type="pct"/>
            <w:shd w:val="clear" w:color="auto" w:fill="auto"/>
            <w:vAlign w:val="center"/>
          </w:tcPr>
          <w:p w14:paraId="378B09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约束性</w:t>
            </w:r>
          </w:p>
        </w:tc>
      </w:tr>
      <w:tr w14:paraId="0461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7964E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8</w:t>
            </w:r>
          </w:p>
        </w:tc>
        <w:tc>
          <w:tcPr>
            <w:tcW w:w="2172" w:type="pct"/>
            <w:shd w:val="clear" w:color="auto" w:fill="auto"/>
            <w:vAlign w:val="center"/>
          </w:tcPr>
          <w:p w14:paraId="50CB2F5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15分钟高品质生活服务圈服务覆盖率</w:t>
            </w:r>
          </w:p>
        </w:tc>
        <w:tc>
          <w:tcPr>
            <w:tcW w:w="602" w:type="pct"/>
            <w:shd w:val="clear" w:color="auto" w:fill="auto"/>
            <w:vAlign w:val="center"/>
          </w:tcPr>
          <w:p w14:paraId="07CF9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方正仿宋_GBK"/>
                <w:b w:val="0"/>
                <w:bCs w:val="0"/>
                <w:i w:val="0"/>
                <w:iCs w:val="0"/>
                <w:color w:val="auto"/>
                <w:kern w:val="0"/>
                <w:sz w:val="21"/>
                <w:szCs w:val="21"/>
                <w:highlight w:val="none"/>
                <w:u w:val="none" w:color="auto"/>
                <w:lang w:val="en-US" w:eastAsia="zh-CN" w:bidi="ar"/>
              </w:rPr>
              <w:t>%</w:t>
            </w:r>
          </w:p>
        </w:tc>
        <w:tc>
          <w:tcPr>
            <w:tcW w:w="537" w:type="pct"/>
            <w:shd w:val="clear" w:color="auto" w:fill="auto"/>
            <w:vAlign w:val="center"/>
          </w:tcPr>
          <w:p w14:paraId="13F07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10.71</w:t>
            </w:r>
          </w:p>
        </w:tc>
        <w:tc>
          <w:tcPr>
            <w:tcW w:w="706" w:type="pct"/>
            <w:shd w:val="clear" w:color="auto" w:fill="auto"/>
            <w:vAlign w:val="center"/>
          </w:tcPr>
          <w:p w14:paraId="39D94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100</w:t>
            </w:r>
          </w:p>
        </w:tc>
        <w:tc>
          <w:tcPr>
            <w:tcW w:w="650" w:type="pct"/>
            <w:shd w:val="clear" w:color="auto" w:fill="auto"/>
            <w:vAlign w:val="center"/>
          </w:tcPr>
          <w:p w14:paraId="3395C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约束性</w:t>
            </w:r>
          </w:p>
        </w:tc>
      </w:tr>
      <w:tr w14:paraId="4EF8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253E0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9</w:t>
            </w:r>
          </w:p>
        </w:tc>
        <w:tc>
          <w:tcPr>
            <w:tcW w:w="2172" w:type="pct"/>
            <w:shd w:val="clear" w:color="auto" w:fill="auto"/>
            <w:vAlign w:val="center"/>
          </w:tcPr>
          <w:p w14:paraId="2C9BAF3A">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城市建成区绿地率</w:t>
            </w:r>
          </w:p>
        </w:tc>
        <w:tc>
          <w:tcPr>
            <w:tcW w:w="602" w:type="pct"/>
            <w:shd w:val="clear" w:color="auto" w:fill="auto"/>
            <w:vAlign w:val="center"/>
          </w:tcPr>
          <w:p w14:paraId="585FE5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color w:val="auto"/>
                <w:sz w:val="21"/>
                <w:szCs w:val="21"/>
                <w:highlight w:val="none"/>
                <w:u w:val="none" w:color="auto"/>
                <w:lang w:val="en-US" w:eastAsia="zh-CN" w:bidi="ar"/>
              </w:rPr>
              <w:t>%</w:t>
            </w:r>
          </w:p>
        </w:tc>
        <w:tc>
          <w:tcPr>
            <w:tcW w:w="537" w:type="pct"/>
            <w:shd w:val="clear" w:color="auto" w:fill="auto"/>
            <w:vAlign w:val="center"/>
          </w:tcPr>
          <w:p w14:paraId="368F7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37.83</w:t>
            </w:r>
          </w:p>
        </w:tc>
        <w:tc>
          <w:tcPr>
            <w:tcW w:w="706" w:type="pct"/>
            <w:shd w:val="clear" w:color="auto" w:fill="auto"/>
            <w:vAlign w:val="center"/>
          </w:tcPr>
          <w:p w14:paraId="6DB29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41.54</w:t>
            </w:r>
          </w:p>
        </w:tc>
        <w:tc>
          <w:tcPr>
            <w:tcW w:w="650" w:type="pct"/>
            <w:shd w:val="clear" w:color="auto" w:fill="auto"/>
            <w:vAlign w:val="center"/>
          </w:tcPr>
          <w:p w14:paraId="458B1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约束性</w:t>
            </w:r>
          </w:p>
        </w:tc>
      </w:tr>
      <w:tr w14:paraId="1BF3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11FAED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10</w:t>
            </w:r>
          </w:p>
        </w:tc>
        <w:tc>
          <w:tcPr>
            <w:tcW w:w="2172" w:type="pct"/>
            <w:shd w:val="clear" w:color="auto" w:fill="auto"/>
            <w:vAlign w:val="center"/>
          </w:tcPr>
          <w:p w14:paraId="1C4B4C17">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人均公园绿地面积</w:t>
            </w:r>
          </w:p>
        </w:tc>
        <w:tc>
          <w:tcPr>
            <w:tcW w:w="602" w:type="pct"/>
            <w:shd w:val="clear" w:color="auto" w:fill="auto"/>
            <w:vAlign w:val="center"/>
          </w:tcPr>
          <w:p w14:paraId="5B288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auto"/>
                <w:sz w:val="21"/>
                <w:szCs w:val="21"/>
                <w:highlight w:val="none"/>
                <w:u w:val="none" w:color="auto"/>
                <w:lang w:val="en-US" w:eastAsia="zh-CN" w:bidi="ar"/>
              </w:rPr>
            </w:pPr>
            <w:r>
              <w:rPr>
                <w:rFonts w:hint="eastAsia" w:ascii="方正仿宋_GBK" w:hAnsi="方正仿宋_GBK" w:eastAsia="方正仿宋_GBK" w:cs="方正仿宋_GBK"/>
                <w:b w:val="0"/>
                <w:bCs w:val="0"/>
                <w:i w:val="0"/>
                <w:iCs w:val="0"/>
                <w:color w:val="auto"/>
                <w:kern w:val="0"/>
                <w:sz w:val="21"/>
                <w:szCs w:val="21"/>
                <w:highlight w:val="none"/>
                <w:u w:val="none" w:color="auto"/>
                <w:lang w:val="en-US" w:eastAsia="zh-CN" w:bidi="ar"/>
              </w:rPr>
              <w:t>平方米</w:t>
            </w:r>
          </w:p>
        </w:tc>
        <w:tc>
          <w:tcPr>
            <w:tcW w:w="537" w:type="pct"/>
            <w:shd w:val="clear" w:color="auto" w:fill="auto"/>
            <w:vAlign w:val="center"/>
          </w:tcPr>
          <w:p w14:paraId="7D9756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预13</w:t>
            </w:r>
          </w:p>
        </w:tc>
        <w:tc>
          <w:tcPr>
            <w:tcW w:w="706" w:type="pct"/>
            <w:shd w:val="clear" w:color="auto" w:fill="auto"/>
            <w:vAlign w:val="center"/>
          </w:tcPr>
          <w:p w14:paraId="2093E1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17.6</w:t>
            </w:r>
          </w:p>
        </w:tc>
        <w:tc>
          <w:tcPr>
            <w:tcW w:w="650" w:type="pct"/>
            <w:shd w:val="clear" w:color="auto" w:fill="auto"/>
            <w:vAlign w:val="center"/>
          </w:tcPr>
          <w:p w14:paraId="186EC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约束性</w:t>
            </w:r>
          </w:p>
        </w:tc>
      </w:tr>
      <w:tr w14:paraId="2F80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414D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11</w:t>
            </w:r>
          </w:p>
        </w:tc>
        <w:tc>
          <w:tcPr>
            <w:tcW w:w="2172" w:type="pct"/>
            <w:shd w:val="clear" w:color="auto" w:fill="auto"/>
            <w:vAlign w:val="center"/>
          </w:tcPr>
          <w:p w14:paraId="6B85025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现代社区建成数量</w:t>
            </w:r>
          </w:p>
        </w:tc>
        <w:tc>
          <w:tcPr>
            <w:tcW w:w="602" w:type="pct"/>
            <w:shd w:val="clear" w:color="auto" w:fill="auto"/>
            <w:vAlign w:val="center"/>
          </w:tcPr>
          <w:p w14:paraId="5255F0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auto"/>
                <w:sz w:val="21"/>
                <w:szCs w:val="21"/>
                <w:highlight w:val="none"/>
                <w:u w:val="none" w:color="auto"/>
                <w:lang w:val="en-US" w:eastAsia="zh-CN" w:bidi="ar"/>
              </w:rPr>
            </w:pPr>
            <w:r>
              <w:rPr>
                <w:rFonts w:hint="eastAsia" w:ascii="方正仿宋_GBK" w:hAnsi="方正仿宋_GBK" w:eastAsia="方正仿宋_GBK" w:cs="方正仿宋_GBK"/>
                <w:b w:val="0"/>
                <w:bCs w:val="0"/>
                <w:i w:val="0"/>
                <w:iCs w:val="0"/>
                <w:color w:val="auto"/>
                <w:kern w:val="0"/>
                <w:sz w:val="21"/>
                <w:szCs w:val="21"/>
                <w:highlight w:val="none"/>
                <w:u w:val="none" w:color="auto"/>
                <w:lang w:val="en-US" w:eastAsia="zh-CN" w:bidi="ar"/>
              </w:rPr>
              <w:t>个</w:t>
            </w:r>
          </w:p>
        </w:tc>
        <w:tc>
          <w:tcPr>
            <w:tcW w:w="537" w:type="pct"/>
            <w:shd w:val="clear" w:color="auto" w:fill="auto"/>
            <w:vAlign w:val="center"/>
          </w:tcPr>
          <w:p w14:paraId="3D152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706" w:type="pct"/>
            <w:shd w:val="clear" w:color="auto" w:fill="auto"/>
            <w:vAlign w:val="center"/>
          </w:tcPr>
          <w:p w14:paraId="6EDC7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3</w:t>
            </w:r>
          </w:p>
        </w:tc>
        <w:tc>
          <w:tcPr>
            <w:tcW w:w="650" w:type="pct"/>
            <w:shd w:val="clear" w:color="auto" w:fill="auto"/>
            <w:vAlign w:val="center"/>
          </w:tcPr>
          <w:p w14:paraId="4D193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约束性</w:t>
            </w:r>
          </w:p>
        </w:tc>
      </w:tr>
      <w:tr w14:paraId="0355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2DB263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12</w:t>
            </w:r>
          </w:p>
        </w:tc>
        <w:tc>
          <w:tcPr>
            <w:tcW w:w="2172" w:type="pct"/>
            <w:shd w:val="clear" w:color="auto" w:fill="auto"/>
            <w:vAlign w:val="center"/>
          </w:tcPr>
          <w:p w14:paraId="5DA7096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高层建筑消防物联感知接入率</w:t>
            </w:r>
          </w:p>
        </w:tc>
        <w:tc>
          <w:tcPr>
            <w:tcW w:w="602" w:type="pct"/>
            <w:shd w:val="clear" w:color="auto" w:fill="auto"/>
            <w:vAlign w:val="center"/>
          </w:tcPr>
          <w:p w14:paraId="50068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方正仿宋_GBK"/>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color w:val="auto"/>
                <w:sz w:val="21"/>
                <w:szCs w:val="21"/>
                <w:highlight w:val="none"/>
                <w:u w:val="none" w:color="auto"/>
                <w:lang w:eastAsia="zh-CN" w:bidi="ar"/>
              </w:rPr>
              <w:t>%</w:t>
            </w:r>
          </w:p>
        </w:tc>
        <w:tc>
          <w:tcPr>
            <w:tcW w:w="537" w:type="pct"/>
            <w:shd w:val="clear" w:color="auto" w:fill="auto"/>
            <w:vAlign w:val="center"/>
          </w:tcPr>
          <w:p w14:paraId="16ABE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706" w:type="pct"/>
            <w:shd w:val="clear" w:color="auto" w:fill="auto"/>
            <w:vAlign w:val="center"/>
          </w:tcPr>
          <w:p w14:paraId="4CBDE5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100</w:t>
            </w:r>
          </w:p>
        </w:tc>
        <w:tc>
          <w:tcPr>
            <w:tcW w:w="650" w:type="pct"/>
            <w:shd w:val="clear" w:color="auto" w:fill="auto"/>
            <w:vAlign w:val="center"/>
          </w:tcPr>
          <w:p w14:paraId="2FC24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0E39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0" w:type="pct"/>
            <w:shd w:val="clear" w:color="auto" w:fill="auto"/>
            <w:vAlign w:val="center"/>
          </w:tcPr>
          <w:p w14:paraId="62B6F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13</w:t>
            </w:r>
          </w:p>
        </w:tc>
        <w:tc>
          <w:tcPr>
            <w:tcW w:w="2172" w:type="pct"/>
            <w:shd w:val="clear" w:color="auto" w:fill="auto"/>
            <w:vAlign w:val="center"/>
          </w:tcPr>
          <w:p w14:paraId="462C8D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水、电、气、讯、市政设施普查覆盖率</w:t>
            </w:r>
          </w:p>
        </w:tc>
        <w:tc>
          <w:tcPr>
            <w:tcW w:w="602" w:type="pct"/>
            <w:shd w:val="clear" w:color="auto" w:fill="auto"/>
            <w:vAlign w:val="center"/>
          </w:tcPr>
          <w:p w14:paraId="70339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color w:val="auto"/>
                <w:sz w:val="21"/>
                <w:szCs w:val="21"/>
                <w:highlight w:val="none"/>
                <w:u w:val="none" w:color="auto"/>
                <w:lang w:val="en-US" w:eastAsia="zh-CN" w:bidi="ar"/>
              </w:rPr>
            </w:pPr>
            <w:r>
              <w:rPr>
                <w:rFonts w:hint="eastAsia" w:ascii="Times New Roman" w:hAnsi="Times New Roman" w:eastAsia="方正仿宋_GBK" w:cs="Times New Roman"/>
                <w:color w:val="auto"/>
                <w:sz w:val="21"/>
                <w:szCs w:val="21"/>
                <w:highlight w:val="none"/>
                <w:u w:val="none" w:color="auto"/>
                <w:lang w:val="en-US" w:eastAsia="zh-CN" w:bidi="ar"/>
              </w:rPr>
              <w:t>%</w:t>
            </w:r>
          </w:p>
        </w:tc>
        <w:tc>
          <w:tcPr>
            <w:tcW w:w="537" w:type="pct"/>
            <w:shd w:val="clear" w:color="auto" w:fill="auto"/>
            <w:vAlign w:val="center"/>
          </w:tcPr>
          <w:p w14:paraId="460F8A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706" w:type="pct"/>
            <w:shd w:val="clear" w:color="auto" w:fill="auto"/>
            <w:vAlign w:val="center"/>
          </w:tcPr>
          <w:p w14:paraId="00E60C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100</w:t>
            </w:r>
          </w:p>
        </w:tc>
        <w:tc>
          <w:tcPr>
            <w:tcW w:w="650" w:type="pct"/>
            <w:shd w:val="clear" w:color="auto" w:fill="auto"/>
            <w:vAlign w:val="center"/>
          </w:tcPr>
          <w:p w14:paraId="49549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10E8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30" w:type="pct"/>
            <w:shd w:val="clear" w:color="auto" w:fill="auto"/>
            <w:vAlign w:val="center"/>
          </w:tcPr>
          <w:p w14:paraId="3B64F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14</w:t>
            </w:r>
          </w:p>
        </w:tc>
        <w:tc>
          <w:tcPr>
            <w:tcW w:w="2172" w:type="pct"/>
            <w:shd w:val="clear" w:color="auto" w:fill="auto"/>
            <w:vAlign w:val="center"/>
          </w:tcPr>
          <w:p w14:paraId="6437C555">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应急避难场所人均</w:t>
            </w: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避难</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面积</w:t>
            </w:r>
          </w:p>
        </w:tc>
        <w:tc>
          <w:tcPr>
            <w:tcW w:w="602" w:type="pct"/>
            <w:shd w:val="clear" w:color="auto" w:fill="auto"/>
            <w:vAlign w:val="center"/>
          </w:tcPr>
          <w:p w14:paraId="1EC2C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t>平方米</w:t>
            </w:r>
            <w:r>
              <w:rPr>
                <w:rFonts w:hint="default"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t>/人</w:t>
            </w:r>
          </w:p>
        </w:tc>
        <w:tc>
          <w:tcPr>
            <w:tcW w:w="537" w:type="pct"/>
            <w:shd w:val="clear" w:color="auto" w:fill="auto"/>
            <w:vAlign w:val="center"/>
          </w:tcPr>
          <w:p w14:paraId="425DE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0.8</w:t>
            </w:r>
          </w:p>
        </w:tc>
        <w:tc>
          <w:tcPr>
            <w:tcW w:w="706" w:type="pct"/>
            <w:shd w:val="clear" w:color="auto" w:fill="auto"/>
            <w:vAlign w:val="center"/>
          </w:tcPr>
          <w:p w14:paraId="057F9C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≥1.5</w:t>
            </w:r>
          </w:p>
        </w:tc>
        <w:tc>
          <w:tcPr>
            <w:tcW w:w="650" w:type="pct"/>
            <w:shd w:val="clear" w:color="auto" w:fill="auto"/>
            <w:vAlign w:val="center"/>
          </w:tcPr>
          <w:p w14:paraId="47A75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2762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30" w:type="pct"/>
            <w:shd w:val="clear" w:color="auto" w:fill="auto"/>
            <w:vAlign w:val="center"/>
          </w:tcPr>
          <w:p w14:paraId="7813D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15</w:t>
            </w:r>
          </w:p>
        </w:tc>
        <w:tc>
          <w:tcPr>
            <w:tcW w:w="2172" w:type="pct"/>
            <w:shd w:val="clear" w:color="auto" w:fill="auto"/>
            <w:vAlign w:val="center"/>
          </w:tcPr>
          <w:p w14:paraId="48CADF21">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城市生活垃圾回收利用率</w:t>
            </w:r>
          </w:p>
        </w:tc>
        <w:tc>
          <w:tcPr>
            <w:tcW w:w="602" w:type="pct"/>
            <w:shd w:val="clear" w:color="auto" w:fill="auto"/>
            <w:vAlign w:val="center"/>
          </w:tcPr>
          <w:p w14:paraId="277EF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t>%</w:t>
            </w:r>
          </w:p>
        </w:tc>
        <w:tc>
          <w:tcPr>
            <w:tcW w:w="537" w:type="pct"/>
            <w:shd w:val="clear" w:color="auto" w:fill="auto"/>
            <w:vAlign w:val="center"/>
          </w:tcPr>
          <w:p w14:paraId="50556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43.42</w:t>
            </w:r>
          </w:p>
        </w:tc>
        <w:tc>
          <w:tcPr>
            <w:tcW w:w="706" w:type="pct"/>
            <w:shd w:val="clear" w:color="auto" w:fill="auto"/>
            <w:vAlign w:val="center"/>
          </w:tcPr>
          <w:p w14:paraId="198DE9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46</w:t>
            </w:r>
          </w:p>
        </w:tc>
        <w:tc>
          <w:tcPr>
            <w:tcW w:w="650" w:type="pct"/>
            <w:shd w:val="clear" w:color="auto" w:fill="auto"/>
            <w:vAlign w:val="center"/>
          </w:tcPr>
          <w:p w14:paraId="4887B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预期性</w:t>
            </w:r>
          </w:p>
        </w:tc>
      </w:tr>
      <w:tr w14:paraId="2802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30" w:type="pct"/>
            <w:shd w:val="clear" w:color="auto" w:fill="auto"/>
            <w:vAlign w:val="center"/>
          </w:tcPr>
          <w:p w14:paraId="52C53D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leftChars="0" w:right="0" w:rightChars="0" w:firstLine="0" w:firstLineChars="0"/>
              <w:jc w:val="center"/>
              <w:textAlignment w:val="auto"/>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16</w:t>
            </w:r>
          </w:p>
        </w:tc>
        <w:tc>
          <w:tcPr>
            <w:tcW w:w="2172" w:type="pct"/>
            <w:shd w:val="clear" w:color="auto" w:fill="auto"/>
            <w:vAlign w:val="center"/>
          </w:tcPr>
          <w:p w14:paraId="689C7138">
            <w:pPr>
              <w:keepNext w:val="0"/>
              <w:keepLines w:val="0"/>
              <w:pageBreakBefore w:val="0"/>
              <w:widowControl/>
              <w:numPr>
                <w:ilvl w:val="-1"/>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城市生活污水集中收集率</w:t>
            </w:r>
          </w:p>
        </w:tc>
        <w:tc>
          <w:tcPr>
            <w:tcW w:w="602" w:type="pct"/>
            <w:shd w:val="clear" w:color="auto" w:fill="auto"/>
            <w:vAlign w:val="center"/>
          </w:tcPr>
          <w:p w14:paraId="1D4B4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auto"/>
                <w:kern w:val="0"/>
                <w:sz w:val="21"/>
                <w:szCs w:val="21"/>
                <w:highlight w:val="none"/>
                <w:u w:val="none" w:color="auto"/>
                <w:lang w:val="en-US" w:eastAsia="zh-CN" w:bidi="ar"/>
              </w:rPr>
            </w:pPr>
            <w:r>
              <w:rPr>
                <w:rFonts w:hint="eastAsia" w:ascii="Times New Roman" w:hAnsi="Times New Roman" w:eastAsia="方正仿宋_GBK" w:cs="Times New Roman"/>
                <w:b w:val="0"/>
                <w:bCs w:val="0"/>
                <w:color w:val="auto"/>
                <w:sz w:val="21"/>
                <w:szCs w:val="21"/>
                <w:highlight w:val="none"/>
                <w:u w:val="none" w:color="auto"/>
                <w:lang w:val="en-US" w:eastAsia="zh-CN" w:bidi="ar"/>
              </w:rPr>
              <w:t>%</w:t>
            </w:r>
          </w:p>
        </w:tc>
        <w:tc>
          <w:tcPr>
            <w:tcW w:w="537" w:type="pct"/>
            <w:shd w:val="clear" w:color="auto" w:fill="auto"/>
            <w:vAlign w:val="center"/>
          </w:tcPr>
          <w:p w14:paraId="2B77C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706" w:type="pct"/>
            <w:shd w:val="clear" w:color="auto" w:fill="auto"/>
            <w:vAlign w:val="center"/>
          </w:tcPr>
          <w:p w14:paraId="645121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85</w:t>
            </w:r>
          </w:p>
        </w:tc>
        <w:tc>
          <w:tcPr>
            <w:tcW w:w="650" w:type="pct"/>
            <w:shd w:val="clear" w:color="auto" w:fill="auto"/>
            <w:vAlign w:val="center"/>
          </w:tcPr>
          <w:p w14:paraId="6CFC1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约束性</w:t>
            </w:r>
          </w:p>
        </w:tc>
      </w:tr>
    </w:tbl>
    <w:p w14:paraId="172D3FAE">
      <w:pPr>
        <w:keepNext w:val="0"/>
        <w:keepLines w:val="0"/>
        <w:pageBreakBefore w:val="0"/>
        <w:widowControl/>
        <w:kinsoku/>
        <w:wordWrap/>
        <w:overflowPunct/>
        <w:topLinePunct w:val="0"/>
        <w:autoSpaceDE/>
        <w:autoSpaceDN/>
        <w:bidi w:val="0"/>
        <w:adjustRightInd/>
        <w:snapToGrid/>
        <w:spacing w:after="0" w:line="600" w:lineRule="exact"/>
        <w:ind w:firstLine="480" w:firstLineChars="200"/>
        <w:jc w:val="left"/>
        <w:textAlignment w:val="auto"/>
        <w:outlineLvl w:val="9"/>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2" w:name="_Toc27588"/>
      <w:r>
        <w:rPr>
          <w:rFonts w:hint="eastAsia" w:ascii="Times New Roman" w:hAnsi="Times New Roman" w:eastAsia="方正仿宋_GBK"/>
          <w:sz w:val="24"/>
          <w:szCs w:val="24"/>
          <w:highlight w:val="none"/>
        </w:rPr>
        <w:t>注：带“*”为累计数</w:t>
      </w:r>
      <w:r>
        <w:rPr>
          <w:rFonts w:hint="eastAsia" w:ascii="Times New Roman" w:hAnsi="Times New Roman" w:eastAsia="方正仿宋_GBK"/>
          <w:sz w:val="24"/>
          <w:szCs w:val="24"/>
          <w:highlight w:val="none"/>
          <w:lang w:eastAsia="zh-CN"/>
        </w:rPr>
        <w:t>。</w:t>
      </w:r>
    </w:p>
    <w:p w14:paraId="68465B87">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0"/>
        <w:rPr>
          <w:rFonts w:hint="default" w:ascii="Times New Roman" w:hAnsi="Times New Roman" w:eastAsia="方正仿宋_GBK"/>
          <w:sz w:val="32"/>
          <w:lang w:val="en-US" w:eastAsia="zh-CN"/>
        </w:rPr>
      </w:pPr>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二、</w:t>
      </w:r>
      <w:r>
        <w:rPr>
          <w:rFonts w:hint="default"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健全</w:t>
      </w:r>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现代化</w:t>
      </w:r>
      <w:r>
        <w:rPr>
          <w:rFonts w:hint="default"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治理</w:t>
      </w:r>
      <w:bookmarkEnd w:id="2"/>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体系</w:t>
      </w:r>
    </w:p>
    <w:p w14:paraId="6D26BE9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3" w:name="_Toc20909"/>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（一）</w:t>
      </w:r>
      <w:r>
        <w:rPr>
          <w:rFonts w:hint="default"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健全</w:t>
      </w:r>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城市</w:t>
      </w:r>
      <w:r>
        <w:rPr>
          <w:rFonts w:hint="default"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治理工作</w:t>
      </w:r>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体系</w:t>
      </w:r>
      <w:bookmarkEnd w:id="3"/>
    </w:p>
    <w:p w14:paraId="60B1028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lang w:eastAsia="zh-CN"/>
        </w:rPr>
      </w:pPr>
      <w:r>
        <w:rPr>
          <w:rFonts w:hint="eastAsia" w:ascii="Times New Roman" w:hAnsi="Times New Roman" w:eastAsia="方正楷体_GBK"/>
          <w:sz w:val="32"/>
          <w:lang w:val="en-US" w:eastAsia="zh-CN"/>
        </w:rPr>
        <w:t>完善</w:t>
      </w:r>
      <w:r>
        <w:rPr>
          <w:rFonts w:hint="eastAsia" w:ascii="Times New Roman" w:hAnsi="Times New Roman" w:eastAsia="方正仿宋_GBK"/>
          <w:sz w:val="32"/>
          <w:lang w:val="en-US" w:eastAsia="zh-CN"/>
        </w:rPr>
        <w:t>“</w:t>
      </w:r>
      <w:r>
        <w:rPr>
          <w:rFonts w:hint="eastAsia" w:ascii="Times New Roman" w:hAnsi="Times New Roman" w:eastAsia="方正楷体_GBK"/>
          <w:sz w:val="32"/>
          <w:lang w:val="en-US" w:eastAsia="zh-CN"/>
        </w:rPr>
        <w:t>一委一办一平台</w:t>
      </w:r>
      <w:r>
        <w:rPr>
          <w:rFonts w:hint="eastAsia" w:ascii="Times New Roman" w:hAnsi="Times New Roman" w:eastAsia="方正仿宋_GBK"/>
          <w:sz w:val="32"/>
          <w:lang w:val="en-US" w:eastAsia="zh-CN"/>
        </w:rPr>
        <w:t>”</w:t>
      </w:r>
      <w:r>
        <w:rPr>
          <w:rFonts w:hint="eastAsia" w:ascii="Times New Roman" w:hAnsi="Times New Roman" w:eastAsia="方正楷体_GBK"/>
          <w:sz w:val="32"/>
          <w:lang w:val="en-US" w:eastAsia="zh-CN"/>
        </w:rPr>
        <w:t>工作体系。</w:t>
      </w:r>
      <w:r>
        <w:rPr>
          <w:rFonts w:hint="eastAsia" w:ascii="Times New Roman" w:hAnsi="Times New Roman" w:eastAsia="方正仿宋_GBK"/>
          <w:sz w:val="32"/>
          <w:lang w:val="en-US" w:eastAsia="zh-CN"/>
        </w:rPr>
        <w:t>建立全体会议年度部署机制。做实“一办”协调职能，建立问题归集研判和常态化议事机制。推动治理中心与运管服平台数据贯通、工单闭环，贯通实战。</w:t>
      </w:r>
      <w:r>
        <w:rPr>
          <w:rFonts w:hint="eastAsia" w:ascii="Times New Roman" w:hAnsi="Times New Roman" w:eastAsia="方正楷体_GBK"/>
          <w:sz w:val="32"/>
          <w:lang w:val="en-US" w:eastAsia="zh-CN"/>
        </w:rPr>
        <w:t>构建区、镇街、村（社区）、网格联动治理组织链条。</w:t>
      </w:r>
      <w:r>
        <w:rPr>
          <w:rFonts w:hint="eastAsia" w:ascii="Times New Roman" w:hAnsi="Times New Roman" w:eastAsia="方正仿宋_GBK"/>
          <w:sz w:val="32"/>
          <w:lang w:val="en-US" w:eastAsia="zh-CN"/>
        </w:rPr>
        <w:t>区级负责统筹协调，镇街组织调度分办，村（社区）构建党建统领下的居民、物业协商机制。</w:t>
      </w:r>
      <w:r>
        <w:rPr>
          <w:rFonts w:hint="eastAsia" w:ascii="Times New Roman" w:hAnsi="Times New Roman" w:eastAsia="方正楷体_GBK"/>
          <w:sz w:val="32"/>
          <w:lang w:val="en-US" w:eastAsia="zh-CN"/>
        </w:rPr>
        <w:t>健全多元主体协同共治机制。</w:t>
      </w:r>
      <w:r>
        <w:rPr>
          <w:rFonts w:hint="eastAsia" w:ascii="Times New Roman" w:hAnsi="Times New Roman" w:eastAsia="方正仿宋_GBK"/>
          <w:sz w:val="32"/>
          <w:lang w:val="en-US" w:eastAsia="zh-CN"/>
        </w:rPr>
        <w:t>壮大城市治理观察员、社会参评员等队伍，推进“惠民有感”量化评价，开展“城市治理开放日”活动，完善群众诉求响应办理机制。</w:t>
      </w:r>
    </w:p>
    <w:p w14:paraId="572B609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4" w:name="_Toc7794"/>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（二）建立“大综合一体化”体制机制</w:t>
      </w:r>
      <w:bookmarkEnd w:id="4"/>
    </w:p>
    <w:p w14:paraId="22CAD33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sz w:val="32"/>
          <w:highlight w:val="none"/>
          <w:lang w:val="en-US" w:eastAsia="zh-CN"/>
        </w:rPr>
      </w:pPr>
      <w:r>
        <w:rPr>
          <w:rFonts w:hint="eastAsia" w:ascii="Times New Roman" w:hAnsi="Times New Roman" w:eastAsia="方正楷体_GBK"/>
          <w:sz w:val="32"/>
          <w:highlight w:val="none"/>
          <w:lang w:val="en-US" w:eastAsia="zh-CN"/>
        </w:rPr>
        <w:t>健全城区规建运治一体管控机制。</w:t>
      </w:r>
      <w:r>
        <w:rPr>
          <w:rFonts w:hint="eastAsia" w:ascii="Times New Roman" w:hAnsi="Times New Roman" w:eastAsia="方正仿宋_GBK"/>
          <w:sz w:val="32"/>
          <w:highlight w:val="none"/>
          <w:lang w:val="en-US" w:eastAsia="zh-CN"/>
        </w:rPr>
        <w:t>理顺规划引领、建设反馈，治理前置的一体化管控机制，构建“体检—策划—更新—运营—治理”数字化闭环。推进“</w:t>
      </w:r>
      <w:r>
        <w:rPr>
          <w:rFonts w:hint="default" w:ascii="Times New Roman" w:hAnsi="Times New Roman" w:eastAsia="方正仿宋_GBK"/>
          <w:sz w:val="32"/>
          <w:highlight w:val="none"/>
          <w:lang w:val="en-US" w:eastAsia="zh-CN"/>
        </w:rPr>
        <w:t>AI+</w:t>
      </w:r>
      <w:r>
        <w:rPr>
          <w:rFonts w:hint="eastAsia" w:ascii="Times New Roman" w:hAnsi="Times New Roman" w:eastAsia="方正仿宋_GBK"/>
          <w:sz w:val="32"/>
          <w:highlight w:val="none"/>
          <w:lang w:val="en-US" w:eastAsia="zh-CN"/>
        </w:rPr>
        <w:t>城市设施运行规建运治一体化”等综合场景。</w:t>
      </w:r>
      <w:r>
        <w:rPr>
          <w:rFonts w:hint="eastAsia" w:ascii="Times New Roman" w:hAnsi="Times New Roman" w:eastAsia="方正楷体_GBK"/>
          <w:sz w:val="32"/>
          <w:highlight w:val="none"/>
          <w:lang w:val="en-US" w:eastAsia="zh-CN"/>
        </w:rPr>
        <w:t>深化行政执法一体化改革。</w:t>
      </w:r>
      <w:r>
        <w:rPr>
          <w:rFonts w:hint="eastAsia" w:ascii="Times New Roman" w:hAnsi="Times New Roman" w:eastAsia="方正仿宋_GBK"/>
          <w:sz w:val="32"/>
          <w:highlight w:val="none"/>
          <w:lang w:val="en-US" w:eastAsia="zh-CN"/>
        </w:rPr>
        <w:t>建立综合行政执法机构联席会议制度。深化镇街“一支队伍管执法”改革，完善“镇街吹哨、部门报到”执法联动工作机制。推进行政检查减量化、行政处罚规范化、执法监督效能化、信用监管精准化、数字支撑智慧化。</w:t>
      </w:r>
      <w:r>
        <w:rPr>
          <w:rFonts w:hint="eastAsia" w:ascii="Times New Roman" w:hAnsi="Times New Roman" w:eastAsia="方正楷体_GBK"/>
          <w:sz w:val="32"/>
          <w:highlight w:val="none"/>
          <w:lang w:val="en-US" w:eastAsia="zh-CN"/>
        </w:rPr>
        <w:t>深化城区安全韧性一体化治理。</w:t>
      </w:r>
      <w:r>
        <w:rPr>
          <w:rFonts w:hint="eastAsia" w:ascii="Times New Roman" w:hAnsi="Times New Roman" w:eastAsia="方正仿宋_GBK"/>
          <w:sz w:val="32"/>
          <w:highlight w:val="none"/>
          <w:lang w:val="en-US" w:eastAsia="zh-CN"/>
        </w:rPr>
        <w:t>建设重点区域空天地一体化的安全风险感知网络，在风险防控、应急动员、公共安全等领域先行构建一体化协同机制。</w:t>
      </w:r>
    </w:p>
    <w:p w14:paraId="0D7F59C4">
      <w:pPr>
        <w:keepNext w:val="0"/>
        <w:keepLines w:val="0"/>
        <w:pageBreakBefore w:val="0"/>
        <w:widowControl w:val="0"/>
        <w:numPr>
          <w:ilvl w:val="-1"/>
          <w:numId w:val="0"/>
        </w:numPr>
        <w:kinsoku/>
        <w:wordWrap/>
        <w:overflowPunct/>
        <w:topLinePunct w:val="0"/>
        <w:autoSpaceDE/>
        <w:autoSpaceDN/>
        <w:bidi w:val="0"/>
        <w:adjustRightInd/>
        <w:snapToGrid/>
        <w:spacing w:after="0" w:line="620" w:lineRule="exact"/>
        <w:ind w:firstLine="640" w:firstLineChars="200"/>
        <w:jc w:val="both"/>
        <w:textAlignment w:val="auto"/>
        <w:outlineLvl w:val="1"/>
        <w:rPr>
          <w:rFonts w:hint="eastAsia" w:ascii="Times New Roman" w:hAnsi="Times New Roman" w:eastAsia="方正楷体_GBK" w:cs="Times New Roman"/>
          <w:bCs w:val="0"/>
          <w:color w:val="000000" w:themeColor="text1"/>
          <w:kern w:val="2"/>
          <w:sz w:val="32"/>
          <w:szCs w:val="32"/>
          <w:highlight w:val="none"/>
          <w:u w:val="none" w:color="auto"/>
          <w:lang w:val="en-US" w:eastAsia="zh-CN" w:bidi="ar-SA"/>
          <w14:textFill>
            <w14:solidFill>
              <w14:schemeClr w14:val="tx1"/>
            </w14:solidFill>
          </w14:textFill>
        </w:rPr>
      </w:pPr>
      <w:bookmarkStart w:id="5" w:name="_Toc22869"/>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（三）</w:t>
      </w:r>
      <w:r>
        <w:rPr>
          <w:rFonts w:hint="eastAsia" w:ascii="Times New Roman" w:hAnsi="Times New Roman" w:eastAsia="方正楷体_GBK" w:cs="Times New Roman"/>
          <w:bCs w:val="0"/>
          <w:color w:val="000000" w:themeColor="text1"/>
          <w:kern w:val="2"/>
          <w:sz w:val="32"/>
          <w:szCs w:val="32"/>
          <w:highlight w:val="none"/>
          <w:u w:val="none" w:color="auto"/>
          <w:lang w:val="en-US" w:eastAsia="zh-CN" w:bidi="ar-SA"/>
          <w14:textFill>
            <w14:solidFill>
              <w14:schemeClr w14:val="tx1"/>
            </w14:solidFill>
          </w14:textFill>
        </w:rPr>
        <w:t>强化区域协同及城乡一体治理</w:t>
      </w:r>
    </w:p>
    <w:p w14:paraId="0F3A5449">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jc w:val="both"/>
        <w:textAlignment w:val="auto"/>
        <w:rPr>
          <w:rFonts w:hint="default" w:ascii="Times New Roman" w:hAnsi="Times New Roman" w:eastAsia="方正仿宋_GBK"/>
          <w:sz w:val="32"/>
          <w:highlight w:val="none"/>
          <w:lang w:val="en-US" w:eastAsia="zh-CN"/>
        </w:rPr>
      </w:pPr>
      <w:r>
        <w:rPr>
          <w:rFonts w:hint="eastAsia" w:ascii="Times New Roman" w:hAnsi="Times New Roman" w:eastAsia="方正楷体_GBK"/>
          <w:sz w:val="32"/>
          <w:highlight w:val="none"/>
          <w:lang w:val="en-US" w:eastAsia="zh-CN"/>
        </w:rPr>
        <w:t>统筹协同区域联动，促进产业共创、交通共联、服务共建。</w:t>
      </w:r>
      <w:r>
        <w:rPr>
          <w:rFonts w:hint="eastAsia" w:ascii="Times New Roman" w:hAnsi="Times New Roman" w:eastAsia="方正仿宋_GBK"/>
          <w:sz w:val="32"/>
          <w:highlight w:val="none"/>
          <w:lang w:val="en-US" w:eastAsia="zh-CN"/>
        </w:rPr>
        <w:t>建立川南渝西融合发展联席会议机制。共建巴蜀文化旅游走廊，共同申报国家级巴蜀文化生态保护区，开展跨界河流联防联治，落实“川渝通办”政务事项。联动渝西片区共建非遗研学与足球发展圈。推动中心城区优质公共服务分支机构向铜梁延伸，建立会展赛事承接协调机制。</w:t>
      </w:r>
      <w:r>
        <w:rPr>
          <w:rFonts w:hint="eastAsia" w:ascii="Times New Roman" w:hAnsi="Times New Roman" w:eastAsia="方正楷体_GBK"/>
          <w:sz w:val="32"/>
          <w:highlight w:val="none"/>
          <w:lang w:val="en-US" w:eastAsia="zh-CN"/>
        </w:rPr>
        <w:t>推进城乡治理协同提升，促进城乡要素双向有序流动。</w:t>
      </w:r>
      <w:r>
        <w:rPr>
          <w:rFonts w:hint="eastAsia" w:ascii="Times New Roman" w:hAnsi="Times New Roman" w:eastAsia="方正仿宋_GBK"/>
          <w:sz w:val="32"/>
          <w:highlight w:val="none"/>
          <w:lang w:val="en-US" w:eastAsia="zh-CN"/>
        </w:rPr>
        <w:t>持续推进农村人居环境整治，推动改厕、垃圾处理、污水治理。深化“铜心小院”院落微治理，建成巴渝和美乡村片区8个，巴渝和美乡村全覆盖。</w:t>
      </w:r>
      <w:r>
        <w:rPr>
          <w:rFonts w:hint="default" w:ascii="Times New Roman" w:hAnsi="Times New Roman" w:eastAsia="方正仿宋_GBK"/>
          <w:sz w:val="32"/>
          <w:highlight w:val="none"/>
          <w:lang w:val="en-US" w:eastAsia="zh-CN"/>
        </w:rPr>
        <w:t>推进农村集体经营性建设用地入市，推广农业</w:t>
      </w:r>
      <w:r>
        <w:rPr>
          <w:rFonts w:hint="eastAsia" w:ascii="Times New Roman" w:hAnsi="Times New Roman" w:eastAsia="方正仿宋_GBK"/>
          <w:sz w:val="32"/>
          <w:highlight w:val="none"/>
          <w:lang w:val="en-US" w:eastAsia="zh-CN"/>
        </w:rPr>
        <w:t>“标准地”</w:t>
      </w:r>
      <w:r>
        <w:rPr>
          <w:rFonts w:hint="default" w:ascii="Times New Roman" w:hAnsi="Times New Roman" w:eastAsia="方正仿宋_GBK"/>
          <w:sz w:val="32"/>
          <w:highlight w:val="none"/>
          <w:lang w:val="en-US" w:eastAsia="zh-CN"/>
        </w:rPr>
        <w:t>改革。</w:t>
      </w:r>
      <w:r>
        <w:rPr>
          <w:rFonts w:hint="eastAsia" w:ascii="Times New Roman" w:hAnsi="Times New Roman" w:eastAsia="方正仿宋_GBK"/>
          <w:sz w:val="32"/>
          <w:highlight w:val="none"/>
          <w:lang w:val="en-US" w:eastAsia="zh-CN"/>
        </w:rPr>
        <w:t>培育“强村公司”</w:t>
      </w:r>
      <w:r>
        <w:rPr>
          <w:rFonts w:hint="default" w:ascii="Times New Roman" w:hAnsi="Times New Roman" w:eastAsia="方正仿宋_GBK"/>
          <w:sz w:val="32"/>
          <w:highlight w:val="none"/>
          <w:lang w:val="en-US" w:eastAsia="zh-CN"/>
        </w:rPr>
        <w:t>等新型经营主体，壮大新型农村集体经济。</w:t>
      </w:r>
    </w:p>
    <w:p w14:paraId="4AC3C831">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jc w:val="both"/>
        <w:textAlignment w:val="auto"/>
        <w:outlineLvl w:val="1"/>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（四）夯实基层治理基础</w:t>
      </w:r>
      <w:bookmarkEnd w:id="5"/>
    </w:p>
    <w:p w14:paraId="25D2A2EB">
      <w:pPr>
        <w:keepNext w:val="0"/>
        <w:keepLines w:val="0"/>
        <w:pageBreakBefore w:val="0"/>
        <w:widowControl w:val="0"/>
        <w:kinsoku/>
        <w:wordWrap/>
        <w:overflowPunct/>
        <w:topLinePunct w:val="0"/>
        <w:autoSpaceDE/>
        <w:autoSpaceDN/>
        <w:bidi w:val="0"/>
        <w:adjustRightInd/>
        <w:snapToGrid/>
        <w:spacing w:after="0" w:line="62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Times New Roman" w:hAnsi="Times New Roman" w:eastAsia="方正楷体_GBK"/>
          <w:sz w:val="32"/>
          <w:highlight w:val="none"/>
          <w:lang w:val="en-US" w:eastAsia="zh-CN"/>
        </w:rPr>
        <w:t>深化党建引领基层治理体系。</w:t>
      </w:r>
      <w:r>
        <w:rPr>
          <w:rFonts w:hint="eastAsia" w:ascii="Times New Roman" w:hAnsi="Times New Roman" w:eastAsia="方正仿宋_GBK"/>
          <w:sz w:val="32"/>
          <w:highlight w:val="none"/>
          <w:lang w:val="en-US" w:eastAsia="zh-CN"/>
        </w:rPr>
        <w:t>探索居委会、业委会、物业服务企业协调运行机制，打造新时代“红岩先锋”，建立少云志愿服务积分管理。推动党建与网格深度融合，完善社区共治的议事协商流程。</w:t>
      </w:r>
      <w:r>
        <w:rPr>
          <w:rFonts w:hint="eastAsia" w:ascii="Times New Roman" w:hAnsi="Times New Roman" w:eastAsia="方正楷体_GBK"/>
          <w:sz w:val="32"/>
          <w:highlight w:val="none"/>
          <w:lang w:val="en-US" w:eastAsia="zh-CN"/>
        </w:rPr>
        <w:t>深化新时代</w:t>
      </w:r>
      <w:r>
        <w:rPr>
          <w:rFonts w:hint="eastAsia" w:ascii="Times New Roman" w:hAnsi="Times New Roman" w:eastAsia="方正仿宋_GBK"/>
          <w:sz w:val="32"/>
          <w:highlight w:val="none"/>
          <w:lang w:val="en-US" w:eastAsia="zh-CN"/>
        </w:rPr>
        <w:t>“</w:t>
      </w:r>
      <w:r>
        <w:rPr>
          <w:rFonts w:hint="eastAsia" w:ascii="Times New Roman" w:hAnsi="Times New Roman" w:eastAsia="方正楷体_GBK"/>
          <w:sz w:val="32"/>
          <w:highlight w:val="none"/>
          <w:lang w:val="en-US" w:eastAsia="zh-CN"/>
        </w:rPr>
        <w:t>枫桥经验</w:t>
      </w:r>
      <w:r>
        <w:rPr>
          <w:rFonts w:hint="eastAsia" w:ascii="Times New Roman" w:hAnsi="Times New Roman" w:eastAsia="方正仿宋_GBK"/>
          <w:sz w:val="32"/>
          <w:highlight w:val="none"/>
          <w:lang w:val="en-US" w:eastAsia="zh-CN"/>
        </w:rPr>
        <w:t>”</w:t>
      </w:r>
      <w:r>
        <w:rPr>
          <w:rFonts w:hint="eastAsia" w:ascii="Times New Roman" w:hAnsi="Times New Roman" w:eastAsia="方正楷体_GBK"/>
          <w:sz w:val="32"/>
          <w:highlight w:val="none"/>
          <w:lang w:val="en-US" w:eastAsia="zh-CN"/>
        </w:rPr>
        <w:t>铜梁实践。</w:t>
      </w:r>
      <w:r>
        <w:rPr>
          <w:rFonts w:hint="eastAsia" w:ascii="Times New Roman" w:hAnsi="Times New Roman" w:eastAsia="方正仿宋_GBK"/>
          <w:sz w:val="32"/>
          <w:highlight w:val="none"/>
          <w:lang w:val="en-US" w:eastAsia="zh-CN"/>
        </w:rPr>
        <w:t>持续推进综治中心实战化运行，建立矛盾纠纷线上流转、分级协调处理机制。深化“民呼我为”改革，推进信访包案化解。推行诉前调解，强化源头化解、多元化解，建立风险识别预警和源头治理机制。深化“城管进社区”覆盖率达到98%。</w:t>
      </w:r>
    </w:p>
    <w:p w14:paraId="56CBDAB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0"/>
        <w:rPr>
          <w:rFonts w:hint="default"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6" w:name="_Toc496"/>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三、建设龙乡特色的</w:t>
      </w:r>
      <w:bookmarkEnd w:id="6"/>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文明之城</w:t>
      </w:r>
    </w:p>
    <w:p w14:paraId="4CE8E25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7" w:name="_Toc25631"/>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（一）彰显龙乡特质城市精神</w:t>
      </w:r>
      <w:bookmarkEnd w:id="7"/>
    </w:p>
    <w:p w14:paraId="355FE92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cs="Times New Roman"/>
          <w:b w:val="0"/>
          <w:bCs w:val="0"/>
          <w:kern w:val="2"/>
          <w:sz w:val="32"/>
          <w:szCs w:val="20"/>
          <w:lang w:val="en-US" w:eastAsia="zh-CN"/>
        </w:rPr>
      </w:pPr>
      <w:r>
        <w:rPr>
          <w:rFonts w:hint="eastAsia" w:ascii="方正楷体_GBK" w:hAnsi="方正楷体_GBK" w:eastAsia="方正楷体_GBK" w:cs="方正楷体_GBK"/>
          <w:sz w:val="32"/>
        </w:rPr>
        <w:t>强化</w:t>
      </w:r>
      <w:r>
        <w:rPr>
          <w:rFonts w:hint="eastAsia" w:ascii="方正楷体_GBK" w:hAnsi="方正楷体_GBK" w:eastAsia="方正楷体_GBK" w:cs="方正楷体_GBK"/>
          <w:sz w:val="32"/>
          <w:lang w:val="en-US" w:eastAsia="zh-CN"/>
        </w:rPr>
        <w:t>城市形象传播。</w:t>
      </w:r>
      <w:r>
        <w:rPr>
          <w:rFonts w:hint="eastAsia" w:ascii="Times New Roman" w:hAnsi="Times New Roman" w:eastAsia="方正仿宋_GBK"/>
          <w:sz w:val="32"/>
          <w:lang w:eastAsia="zh-CN"/>
        </w:rPr>
        <w:t>做好“五个一”城市形象传播，让“英雄之城、龙舞之乡”美名远扬。深化主流媒体系统性变革，构建全媒体传播体系。</w:t>
      </w:r>
      <w:r>
        <w:rPr>
          <w:rFonts w:hint="eastAsia" w:ascii="方正楷体_GBK" w:hAnsi="方正楷体_GBK" w:eastAsia="方正楷体_GBK" w:cs="方正楷体_GBK"/>
          <w:sz w:val="32"/>
        </w:rPr>
        <w:t>推进新时代精神文明建设</w:t>
      </w:r>
      <w:r>
        <w:rPr>
          <w:rFonts w:hint="eastAsia" w:ascii="方正楷体_GBK" w:hAnsi="方正楷体_GBK" w:eastAsia="方正楷体_GBK" w:cs="方正楷体_GBK"/>
          <w:sz w:val="32"/>
          <w:lang w:eastAsia="zh-CN"/>
        </w:rPr>
        <w:t>。</w:t>
      </w:r>
      <w:r>
        <w:rPr>
          <w:rFonts w:hint="eastAsia" w:ascii="Times New Roman" w:hAnsi="Times New Roman" w:eastAsia="方正仿宋_GBK"/>
          <w:sz w:val="32"/>
        </w:rPr>
        <w:t>打造</w:t>
      </w:r>
      <w:r>
        <w:rPr>
          <w:rFonts w:hint="eastAsia" w:ascii="Times New Roman" w:hAnsi="Times New Roman" w:eastAsia="方正仿宋_GBK"/>
          <w:sz w:val="32"/>
          <w:lang w:eastAsia="zh-CN"/>
        </w:rPr>
        <w:t>“理润龙乡”</w:t>
      </w:r>
      <w:r>
        <w:rPr>
          <w:rFonts w:hint="eastAsia" w:ascii="Times New Roman" w:hAnsi="Times New Roman" w:eastAsia="方正仿宋_GBK"/>
          <w:sz w:val="32"/>
        </w:rPr>
        <w:t>基层微宣讲品牌，构建</w:t>
      </w:r>
      <w:r>
        <w:rPr>
          <w:rFonts w:hint="eastAsia" w:ascii="Times New Roman" w:hAnsi="Times New Roman" w:eastAsia="方正仿宋_GBK"/>
          <w:sz w:val="32"/>
          <w:lang w:eastAsia="zh-CN"/>
        </w:rPr>
        <w:t>“354N”</w:t>
      </w:r>
      <w:r>
        <w:rPr>
          <w:rFonts w:hint="eastAsia" w:ascii="Times New Roman" w:hAnsi="Times New Roman" w:eastAsia="方正仿宋_GBK"/>
          <w:sz w:val="32"/>
        </w:rPr>
        <w:t>少云思政育人体系</w:t>
      </w:r>
      <w:r>
        <w:rPr>
          <w:rFonts w:hint="eastAsia" w:ascii="Times New Roman" w:hAnsi="Times New Roman" w:eastAsia="方正仿宋_GBK"/>
          <w:sz w:val="32"/>
          <w:lang w:eastAsia="zh-CN"/>
        </w:rPr>
        <w:t>。建立“六长共管”行动机制，实施</w:t>
      </w:r>
      <w:r>
        <w:rPr>
          <w:rFonts w:hint="eastAsia" w:ascii="Times New Roman" w:hAnsi="Times New Roman" w:eastAsia="方正仿宋_GBK"/>
          <w:sz w:val="32"/>
          <w:lang w:val="en-US" w:eastAsia="zh-CN"/>
        </w:rPr>
        <w:t>文明创建</w:t>
      </w:r>
      <w:r>
        <w:rPr>
          <w:rFonts w:hint="eastAsia" w:ascii="Times New Roman" w:hAnsi="Times New Roman" w:eastAsia="方正仿宋_GBK"/>
          <w:sz w:val="32"/>
          <w:lang w:eastAsia="zh-CN"/>
        </w:rPr>
        <w:t>专项提升行动。</w:t>
      </w:r>
      <w:r>
        <w:rPr>
          <w:rFonts w:hint="eastAsia" w:ascii="Times New Roman" w:hAnsi="Times New Roman" w:eastAsia="方正仿宋_GBK"/>
          <w:sz w:val="32"/>
          <w:lang w:val="en-US" w:eastAsia="zh-CN"/>
        </w:rPr>
        <w:t>选树先进典型，</w:t>
      </w:r>
      <w:r>
        <w:rPr>
          <w:rFonts w:hint="eastAsia" w:ascii="Times New Roman" w:hAnsi="Times New Roman" w:eastAsia="方正仿宋_GBK"/>
          <w:sz w:val="32"/>
          <w:lang w:eastAsia="zh-CN"/>
        </w:rPr>
        <w:t>开展“龙乡文明行”</w:t>
      </w:r>
      <w:r>
        <w:rPr>
          <w:rFonts w:hint="eastAsia" w:ascii="Times New Roman" w:hAnsi="Times New Roman" w:eastAsia="方正仿宋_GBK"/>
          <w:sz w:val="32"/>
          <w:lang w:val="en-US" w:eastAsia="zh-CN"/>
        </w:rPr>
        <w:t>及</w:t>
      </w:r>
      <w:r>
        <w:rPr>
          <w:rFonts w:hint="eastAsia" w:ascii="Times New Roman" w:hAnsi="Times New Roman" w:eastAsia="方正仿宋_GBK"/>
          <w:sz w:val="32"/>
          <w:lang w:eastAsia="zh-CN"/>
        </w:rPr>
        <w:t>“小案小事”治理专项行动，</w:t>
      </w:r>
      <w:r>
        <w:rPr>
          <w:rFonts w:hint="eastAsia" w:ascii="Times New Roman" w:hAnsi="Times New Roman" w:eastAsia="方正仿宋_GBK"/>
          <w:sz w:val="32"/>
          <w:lang w:val="en-US" w:eastAsia="zh-CN"/>
        </w:rPr>
        <w:t>深化“德法相伴”主题活动</w:t>
      </w:r>
      <w:r>
        <w:rPr>
          <w:rFonts w:hint="eastAsia" w:ascii="Times New Roman" w:hAnsi="Times New Roman" w:eastAsia="方正仿宋_GBK"/>
          <w:sz w:val="32"/>
          <w:lang w:eastAsia="zh-CN"/>
        </w:rPr>
        <w:t>。</w:t>
      </w:r>
      <w:r>
        <w:rPr>
          <w:rFonts w:hint="eastAsia" w:ascii="方正楷体_GBK" w:hAnsi="方正楷体_GBK" w:eastAsia="方正楷体_GBK" w:cs="方正楷体_GBK"/>
          <w:sz w:val="32"/>
          <w:lang w:val="en-US" w:eastAsia="zh-CN"/>
        </w:rPr>
        <w:t>加强网络文明治理</w:t>
      </w:r>
      <w:r>
        <w:rPr>
          <w:rFonts w:hint="eastAsia" w:ascii="方正楷体_GBK" w:hAnsi="方正楷体_GBK" w:eastAsia="方正楷体_GBK" w:cs="方正楷体_GBK"/>
          <w:sz w:val="32"/>
          <w:lang w:eastAsia="zh-CN"/>
        </w:rPr>
        <w:t>。</w:t>
      </w:r>
      <w:r>
        <w:rPr>
          <w:rFonts w:hint="eastAsia" w:ascii="Times New Roman" w:hAnsi="Times New Roman" w:eastAsia="方正仿宋_GBK"/>
          <w:sz w:val="32"/>
          <w:lang w:eastAsia="zh-CN"/>
        </w:rPr>
        <w:t>推动视听一体化监管。落实“清朗巴渝”系列专项行动。推进新闻宣传和网络舆论一体化管理，</w:t>
      </w:r>
      <w:r>
        <w:rPr>
          <w:rFonts w:hint="eastAsia" w:ascii="Times New Roman" w:hAnsi="Times New Roman" w:eastAsia="方正仿宋_GBK"/>
          <w:sz w:val="32"/>
          <w:lang w:val="en-US" w:eastAsia="zh-CN"/>
        </w:rPr>
        <w:t>建强全媒体传播的文明治理体系。</w:t>
      </w:r>
    </w:p>
    <w:p w14:paraId="6722774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8" w:name="_Toc8384"/>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（二）加强龙乡文化传承保护</w:t>
      </w:r>
      <w:bookmarkEnd w:id="8"/>
    </w:p>
    <w:p w14:paraId="7A4CA92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lang w:val="en-US" w:eastAsia="zh-CN"/>
        </w:rPr>
      </w:pPr>
      <w:r>
        <w:rPr>
          <w:rFonts w:hint="eastAsia" w:ascii="方正楷体_GBK" w:hAnsi="方正楷体_GBK" w:eastAsia="方正楷体_GBK" w:cs="方正楷体_GBK"/>
          <w:sz w:val="32"/>
        </w:rPr>
        <w:t>推进公共文化设施</w:t>
      </w:r>
      <w:r>
        <w:rPr>
          <w:rFonts w:hint="eastAsia" w:ascii="方正楷体_GBK" w:hAnsi="方正楷体_GBK" w:eastAsia="方正楷体_GBK" w:cs="方正楷体_GBK"/>
          <w:sz w:val="32"/>
          <w:lang w:val="en-US" w:eastAsia="zh-CN"/>
        </w:rPr>
        <w:t>提质增效。</w:t>
      </w:r>
      <w:r>
        <w:rPr>
          <w:rFonts w:hint="eastAsia" w:ascii="Times New Roman" w:hAnsi="Times New Roman" w:eastAsia="方正仿宋_GBK"/>
          <w:sz w:val="32"/>
          <w:lang w:val="en-US" w:eastAsia="zh-CN"/>
        </w:rPr>
        <w:t>健全社会力量参与机制，融合打造新型公共文化空间。打造龙文化都市会客厅。建设覆盖全域的文化感知智慧导览系统，开发云游龙乡线上数字博物馆。</w:t>
      </w:r>
      <w:r>
        <w:rPr>
          <w:rFonts w:hint="eastAsia" w:ascii="Times New Roman" w:hAnsi="Times New Roman" w:eastAsia="方正楷体_GBK"/>
          <w:sz w:val="32"/>
        </w:rPr>
        <w:t>强化历史文化</w:t>
      </w:r>
      <w:r>
        <w:rPr>
          <w:rFonts w:hint="eastAsia" w:ascii="Times New Roman" w:hAnsi="Times New Roman" w:eastAsia="方正楷体_GBK"/>
          <w:sz w:val="32"/>
          <w:lang w:val="en-US" w:eastAsia="zh-CN"/>
        </w:rPr>
        <w:t>古迹</w:t>
      </w:r>
      <w:r>
        <w:rPr>
          <w:rFonts w:hint="eastAsia" w:ascii="Times New Roman" w:hAnsi="Times New Roman" w:eastAsia="方正楷体_GBK"/>
          <w:sz w:val="32"/>
        </w:rPr>
        <w:t>保护</w:t>
      </w:r>
      <w:r>
        <w:rPr>
          <w:rFonts w:hint="eastAsia" w:ascii="Times New Roman" w:hAnsi="Times New Roman" w:eastAsia="方正楷体_GBK"/>
          <w:sz w:val="32"/>
          <w:lang w:eastAsia="zh-CN"/>
        </w:rPr>
        <w:t>。</w:t>
      </w:r>
      <w:r>
        <w:rPr>
          <w:rFonts w:hint="eastAsia" w:ascii="Times New Roman" w:hAnsi="Times New Roman" w:eastAsia="方正仿宋_GBK"/>
          <w:sz w:val="32"/>
          <w:lang w:val="en-US" w:eastAsia="zh-CN"/>
        </w:rPr>
        <w:t>开展不可移动文物抢险排危工作，健全文物安全长效机制。完成名镇名村保护规划编制。实施数字焕活计划，完成市级以上文物保护单位、历史建筑三维测绘，建成数字文保平台。</w:t>
      </w:r>
      <w:r>
        <w:rPr>
          <w:rFonts w:hint="eastAsia" w:ascii="Times New Roman" w:hAnsi="Times New Roman" w:eastAsia="方正楷体_GBK"/>
          <w:sz w:val="32"/>
          <w:lang w:val="en-US" w:eastAsia="zh-CN"/>
        </w:rPr>
        <w:t>持续彰显</w:t>
      </w:r>
      <w:r>
        <w:rPr>
          <w:rFonts w:hint="eastAsia" w:ascii="Times New Roman" w:hAnsi="Times New Roman" w:eastAsia="方正楷体_GBK"/>
          <w:sz w:val="32"/>
        </w:rPr>
        <w:t>非遗文化</w:t>
      </w:r>
      <w:r>
        <w:rPr>
          <w:rFonts w:hint="eastAsia" w:ascii="Times New Roman" w:hAnsi="Times New Roman" w:eastAsia="方正楷体_GBK"/>
          <w:sz w:val="32"/>
          <w:lang w:val="en-US" w:eastAsia="zh-CN"/>
        </w:rPr>
        <w:t>特色魅力</w:t>
      </w:r>
      <w:r>
        <w:rPr>
          <w:rFonts w:hint="eastAsia" w:ascii="Times New Roman" w:hAnsi="Times New Roman" w:eastAsia="方正楷体_GBK"/>
          <w:sz w:val="32"/>
          <w:lang w:eastAsia="zh-CN"/>
        </w:rPr>
        <w:t>。</w:t>
      </w:r>
      <w:r>
        <w:rPr>
          <w:rFonts w:hint="eastAsia" w:ascii="Times New Roman" w:hAnsi="Times New Roman" w:eastAsia="方正仿宋_GBK"/>
          <w:sz w:val="32"/>
          <w:lang w:val="en-US" w:eastAsia="zh-CN"/>
        </w:rPr>
        <w:t>强化“铜梁龙舞”等文化遗产的整体性保护，推动非遗文创等特色产品“走出去”。推动龙灯龙舞非遗文化与现代数字技术深度融合。</w:t>
      </w:r>
    </w:p>
    <w:p w14:paraId="3343D9B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9" w:name="_Toc31744"/>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（三）推动</w:t>
      </w:r>
      <w:bookmarkEnd w:id="9"/>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龙乡文化与城市治理深度融合</w:t>
      </w:r>
    </w:p>
    <w:p w14:paraId="179CE41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sz w:val="32"/>
          <w:lang w:val="en-US" w:eastAsia="zh-CN"/>
        </w:rPr>
      </w:pPr>
      <w:r>
        <w:rPr>
          <w:rFonts w:hint="eastAsia" w:ascii="方正楷体_GBK" w:hAnsi="方正楷体_GBK" w:eastAsia="方正楷体_GBK" w:cs="方正楷体_GBK"/>
          <w:sz w:val="32"/>
          <w:lang w:val="en-US" w:eastAsia="zh-CN"/>
        </w:rPr>
        <w:t>强化“铜梁龙”城市品牌形象的系统运用</w:t>
      </w:r>
      <w:r>
        <w:rPr>
          <w:rFonts w:hint="eastAsia" w:ascii="Times New Roman" w:hAnsi="Times New Roman" w:eastAsia="方正仿宋_GBK" w:cstheme="minorBidi"/>
          <w:sz w:val="32"/>
          <w:lang w:val="en-US" w:eastAsia="zh-CN"/>
        </w:rPr>
        <w:t>。</w:t>
      </w:r>
      <w:r>
        <w:rPr>
          <w:rFonts w:hint="eastAsia" w:ascii="Times New Roman" w:hAnsi="Times New Roman" w:eastAsia="方正仿宋_GBK" w:cstheme="minorBidi"/>
          <w:kern w:val="0"/>
          <w:sz w:val="32"/>
          <w:szCs w:val="22"/>
          <w:lang w:val="en-US" w:eastAsia="zh-CN" w:bidi="ar-SA"/>
        </w:rPr>
        <w:t>广泛征集品牌LOGO、IP及城市视觉识别系统。明确品牌形象在门户、地标等公共空间的使用规范，</w:t>
      </w:r>
      <w:r>
        <w:rPr>
          <w:rFonts w:hint="eastAsia" w:ascii="Times New Roman" w:hAnsi="Times New Roman" w:eastAsia="方正仿宋_GBK" w:cstheme="minorBidi"/>
          <w:sz w:val="32"/>
          <w:lang w:eastAsia="zh-CN"/>
        </w:rPr>
        <w:t>开展城市地标提升行动。</w:t>
      </w:r>
      <w:r>
        <w:rPr>
          <w:rFonts w:hint="eastAsia" w:ascii="Times New Roman" w:hAnsi="Times New Roman" w:eastAsia="方正仿宋_GBK"/>
          <w:sz w:val="32"/>
          <w:lang w:val="en-US" w:eastAsia="zh-CN"/>
        </w:rPr>
        <w:t>建立城市建设文化审查植入机制。</w:t>
      </w:r>
      <w:r>
        <w:rPr>
          <w:rFonts w:hint="eastAsia" w:ascii="方正楷体_GBK" w:hAnsi="方正楷体_GBK" w:eastAsia="方正楷体_GBK" w:cs="方正楷体_GBK"/>
          <w:sz w:val="32"/>
          <w:lang w:val="en-US" w:eastAsia="zh-CN"/>
        </w:rPr>
        <w:t>健全文体旅商融合发展治理机制。</w:t>
      </w:r>
      <w:r>
        <w:rPr>
          <w:rFonts w:hint="eastAsia" w:ascii="Times New Roman" w:hAnsi="Times New Roman" w:eastAsia="方正仿宋_GBK"/>
          <w:sz w:val="32"/>
          <w:lang w:val="en-US" w:eastAsia="zh-CN"/>
        </w:rPr>
        <w:t>建立“政府引导、国企运营、市场参与”的IP运营架构，开展IP跨界联名合作，将“铜梁龙”品牌升级为涵盖体育竞技、文化旅游、消费体验的城市超级IP</w:t>
      </w:r>
      <w:r>
        <w:rPr>
          <w:rFonts w:hint="eastAsia" w:ascii="Times New Roman" w:hAnsi="Times New Roman" w:eastAsia="方正仿宋_GBK" w:cstheme="minorBidi"/>
          <w:spacing w:val="0"/>
          <w:kern w:val="0"/>
          <w:sz w:val="32"/>
          <w:szCs w:val="22"/>
          <w:lang w:val="en-US" w:eastAsia="zh-CN" w:bidi="ar"/>
        </w:rPr>
        <w:t>。</w:t>
      </w:r>
      <w:r>
        <w:rPr>
          <w:rFonts w:hint="eastAsia" w:ascii="方正楷体_GBK" w:hAnsi="方正楷体_GBK" w:eastAsia="方正楷体_GBK" w:cs="方正楷体_GBK"/>
          <w:sz w:val="32"/>
          <w:lang w:val="en-US" w:eastAsia="zh-CN"/>
        </w:rPr>
        <w:t>塑造龙乡文明治理共识。</w:t>
      </w:r>
      <w:r>
        <w:rPr>
          <w:rFonts w:hint="eastAsia" w:ascii="Times New Roman" w:hAnsi="Times New Roman" w:eastAsia="方正仿宋_GBK" w:cstheme="minorBidi"/>
          <w:kern w:val="0"/>
          <w:sz w:val="32"/>
          <w:szCs w:val="22"/>
          <w:lang w:val="en-US" w:eastAsia="zh-CN" w:bidi="ar-SA"/>
        </w:rPr>
        <w:t>以城市精神融入城市治理各环节，联动“铜心小院”“城市管理进社区”等治理机制，探索“龙乡治理随手拍”，推动文化认同转化为治理合力。</w:t>
      </w:r>
      <w:r>
        <w:rPr>
          <w:rFonts w:hint="eastAsia" w:ascii="方正楷体_GBK" w:hAnsi="方正楷体_GBK" w:eastAsia="方正楷体_GBK" w:cs="方正楷体_GBK"/>
          <w:sz w:val="32"/>
          <w:lang w:val="en-US" w:eastAsia="zh-CN"/>
        </w:rPr>
        <w:t>完善文旅体活动的城市治理保障。</w:t>
      </w:r>
      <w:r>
        <w:rPr>
          <w:rFonts w:hint="eastAsia" w:ascii="Times New Roman" w:hAnsi="Times New Roman" w:eastAsia="方正仿宋_GBK" w:cstheme="minorBidi"/>
          <w:kern w:val="0"/>
          <w:sz w:val="32"/>
          <w:szCs w:val="22"/>
          <w:lang w:val="en-US" w:eastAsia="zh-CN" w:bidi="ar-SA"/>
        </w:rPr>
        <w:t>聚焦龙灯艺术节、马拉松、中超赛事等重大活动，</w:t>
      </w:r>
      <w:r>
        <w:rPr>
          <w:rFonts w:hint="eastAsia" w:ascii="Times New Roman" w:hAnsi="Times New Roman" w:eastAsia="方正仿宋_GBK" w:cstheme="minorBidi"/>
          <w:sz w:val="32"/>
          <w:lang w:val="en-US" w:eastAsia="zh-CN"/>
        </w:rPr>
        <w:t>建立跨部门协调保障机制，制定应急预案</w:t>
      </w:r>
      <w:r>
        <w:rPr>
          <w:rFonts w:hint="eastAsia" w:ascii="Times New Roman" w:hAnsi="Times New Roman" w:eastAsia="方正仿宋_GBK" w:cstheme="minorBidi"/>
          <w:kern w:val="0"/>
          <w:sz w:val="32"/>
          <w:szCs w:val="22"/>
          <w:lang w:val="en-US" w:eastAsia="zh-CN" w:bidi="ar-SA"/>
        </w:rPr>
        <w:t>。建设文体旅活动安全智慧管理平台，实时监测人流车流，实行赛前演练与赛后复盘。</w:t>
      </w:r>
    </w:p>
    <w:tbl>
      <w:tblPr>
        <w:tblStyle w:val="11"/>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14:paraId="2742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230" w:type="dxa"/>
            <w:tcBorders>
              <w:top w:val="nil"/>
              <w:left w:val="nil"/>
              <w:bottom w:val="single" w:color="auto" w:sz="4" w:space="0"/>
              <w:right w:val="nil"/>
            </w:tcBorders>
            <w:vAlign w:val="center"/>
          </w:tcPr>
          <w:p w14:paraId="3559DD8D">
            <w:pPr>
              <w:keepNext w:val="0"/>
              <w:keepLines w:val="0"/>
              <w:pageBreakBefore w:val="0"/>
              <w:suppressLineNumbers w:val="0"/>
              <w:kinsoku/>
              <w:wordWrap/>
              <w:autoSpaceDE/>
              <w:bidi w:val="0"/>
              <w:spacing w:before="0" w:beforeAutospacing="0" w:after="0" w:afterAutospacing="0" w:line="594" w:lineRule="exact"/>
              <w:ind w:left="0" w:right="0" w:firstLine="0" w:firstLineChars="0"/>
              <w:jc w:val="center"/>
              <w:rPr>
                <w:rFonts w:hint="default" w:ascii="Times New Roman" w:hAnsi="Times New Roman" w:eastAsia="方正黑体_GBK"/>
                <w:b w:val="0"/>
                <w:bCs w:val="0"/>
                <w:color w:val="000000" w:themeColor="text1"/>
                <w:kern w:val="0"/>
                <w:sz w:val="28"/>
                <w:szCs w:val="28"/>
                <w:highlight w:val="none"/>
                <w:u w:val="none" w:color="auto"/>
                <w:lang w:val="en-US" w:eastAsia="zh-CN" w:bidi="ar"/>
                <w14:textFill>
                  <w14:solidFill>
                    <w14:schemeClr w14:val="tx1"/>
                  </w14:solidFill>
                </w14:textFill>
              </w:rPr>
            </w:pPr>
            <w:r>
              <w:rPr>
                <w:rFonts w:hint="eastAsia" w:ascii="Times New Roman" w:hAnsi="Times New Roman" w:eastAsia="方正黑体_GBK"/>
                <w:b w:val="0"/>
                <w:bCs w:val="0"/>
                <w:color w:val="000000" w:themeColor="text1"/>
                <w:sz w:val="32"/>
                <w:szCs w:val="32"/>
                <w:highlight w:val="none"/>
                <w:u w:val="none" w:color="auto"/>
                <w:shd w:val="clear"/>
                <w14:textFill>
                  <w14:solidFill>
                    <w14:schemeClr w14:val="tx1"/>
                  </w14:solidFill>
                </w14:textFill>
              </w:rPr>
              <w:t>专栏</w:t>
            </w:r>
            <w:r>
              <w:rPr>
                <w:rFonts w:hint="eastAsia" w:ascii="Times New Roman" w:hAnsi="Times New Roman" w:eastAsia="方正黑体_GBK"/>
                <w:b w:val="0"/>
                <w:bCs w:val="0"/>
                <w:color w:val="000000" w:themeColor="text1"/>
                <w:sz w:val="32"/>
                <w:szCs w:val="32"/>
                <w:highlight w:val="none"/>
                <w:u w:val="none" w:color="auto"/>
                <w:shd w:val="clear"/>
                <w:lang w:val="en-US" w:eastAsia="zh-CN"/>
                <w14:textFill>
                  <w14:solidFill>
                    <w14:schemeClr w14:val="tx1"/>
                  </w14:solidFill>
                </w14:textFill>
              </w:rPr>
              <w:t>2</w:t>
            </w:r>
            <w:r>
              <w:rPr>
                <w:rFonts w:hint="eastAsia" w:ascii="Times New Roman" w:hAnsi="Times New Roman" w:eastAsia="方正黑体_GBK"/>
                <w:b w:val="0"/>
                <w:bCs w:val="0"/>
                <w:color w:val="000000" w:themeColor="text1"/>
                <w:sz w:val="32"/>
                <w:szCs w:val="32"/>
                <w:highlight w:val="none"/>
                <w:u w:val="none" w:color="auto"/>
                <w:shd w:val="clear"/>
                <w14:textFill>
                  <w14:solidFill>
                    <w14:schemeClr w14:val="tx1"/>
                  </w14:solidFill>
                </w14:textFill>
              </w:rPr>
              <w:t xml:space="preserve"> </w:t>
            </w:r>
            <w:r>
              <w:rPr>
                <w:rFonts w:hint="eastAsia" w:ascii="Times New Roman" w:hAnsi="Times New Roman" w:eastAsia="方正黑体_GBK"/>
                <w:b w:val="0"/>
                <w:bCs w:val="0"/>
                <w:color w:val="000000" w:themeColor="text1"/>
                <w:sz w:val="32"/>
                <w:szCs w:val="32"/>
                <w:highlight w:val="none"/>
                <w:u w:val="none" w:color="auto"/>
                <w:shd w:val="clear"/>
                <w:lang w:val="en-US" w:eastAsia="zh-CN"/>
                <w14:textFill>
                  <w14:solidFill>
                    <w14:schemeClr w14:val="tx1"/>
                  </w14:solidFill>
                </w14:textFill>
              </w:rPr>
              <w:t>龙乡特色文明重点方向</w:t>
            </w:r>
          </w:p>
        </w:tc>
      </w:tr>
      <w:tr w14:paraId="1593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30" w:type="dxa"/>
            <w:tcBorders>
              <w:top w:val="single" w:color="auto" w:sz="4" w:space="0"/>
            </w:tcBorders>
            <w:vAlign w:val="center"/>
          </w:tcPr>
          <w:p w14:paraId="2AF360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imes New Roman" w:hAnsi="Times New Roman" w:eastAsia="方正仿宋_GBK" w:cs="方正仿宋_GBK"/>
                <w:b w:val="0"/>
                <w:bCs w:val="0"/>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1.龙乡特质城市精神。</w:t>
            </w:r>
            <w:r>
              <w:rPr>
                <w:rFonts w:hint="eastAsia" w:ascii="Times New Roman" w:hAnsi="Times New Roman" w:eastAsia="方正仿宋_GBK" w:cs="方正仿宋_GBK"/>
                <w:b w:val="0"/>
                <w:bCs w:val="0"/>
                <w:color w:val="000000" w:themeColor="text1"/>
                <w:sz w:val="24"/>
                <w:szCs w:val="24"/>
                <w:highlight w:val="none"/>
                <w:u w:val="none" w:color="auto"/>
                <w:lang w:val="en-US" w:eastAsia="zh-CN"/>
                <w14:textFill>
                  <w14:solidFill>
                    <w14:schemeClr w14:val="tx1"/>
                  </w14:solidFill>
                </w14:textFill>
              </w:rPr>
              <w:t>开展“龙的传人讲龙乡故事”特色志愿服务活动，实施“新龙乡人”文化融入计划，编制《龙乡文化读本》，开设文化体验课程，快速增强新增人口城市认同感及归属感。</w:t>
            </w:r>
          </w:p>
          <w:p w14:paraId="75A851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default" w:ascii="Times New Roman" w:hAnsi="Times New Roman" w:eastAsia="方正仿宋_GBK"/>
                <w:b w:val="0"/>
                <w:bCs w:val="0"/>
                <w:color w:val="000000" w:themeColor="text1"/>
                <w:kern w:val="0"/>
                <w:sz w:val="28"/>
                <w:szCs w:val="28"/>
                <w:highlight w:val="none"/>
                <w:u w:val="none" w:color="auto"/>
                <w:lang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2.文化传承与保护。</w:t>
            </w:r>
            <w:r>
              <w:rPr>
                <w:rFonts w:hint="default" w:ascii="Times New Roman" w:hAnsi="Times New Roman" w:eastAsia="方正仿宋_GBK" w:cs="方正仿宋_GBK"/>
                <w:b w:val="0"/>
                <w:bCs w:val="0"/>
                <w:color w:val="000000" w:themeColor="text1"/>
                <w:sz w:val="24"/>
                <w:szCs w:val="24"/>
                <w:highlight w:val="none"/>
                <w:u w:val="none" w:color="auto"/>
                <w:lang w:val="en-US" w:eastAsia="zh-CN"/>
                <w14:textFill>
                  <w14:solidFill>
                    <w14:schemeClr w14:val="tx1"/>
                  </w14:solidFill>
                </w14:textFill>
              </w:rPr>
              <w:t>万人拥有公共文化设施面积达到1380平方米</w:t>
            </w:r>
            <w:r>
              <w:rPr>
                <w:rFonts w:hint="eastAsia" w:ascii="Times New Roman" w:hAnsi="Times New Roman" w:eastAsia="方正仿宋_GBK" w:cs="方正仿宋_GBK"/>
                <w:b w:val="0"/>
                <w:bCs w:val="0"/>
                <w:color w:val="000000" w:themeColor="text1"/>
                <w:sz w:val="24"/>
                <w:szCs w:val="24"/>
                <w:highlight w:val="none"/>
                <w:u w:val="none" w:color="auto"/>
                <w:lang w:val="en-US" w:eastAsia="zh-CN"/>
                <w14:textFill>
                  <w14:solidFill>
                    <w14:schemeClr w14:val="tx1"/>
                  </w14:solidFill>
                </w14:textFill>
              </w:rPr>
              <w:t>，</w:t>
            </w:r>
            <w:r>
              <w:rPr>
                <w:rFonts w:hint="default" w:ascii="Times New Roman" w:hAnsi="Times New Roman" w:eastAsia="方正仿宋_GBK" w:cs="方正仿宋_GBK"/>
                <w:b w:val="0"/>
                <w:bCs w:val="0"/>
                <w:color w:val="000000" w:themeColor="text1"/>
                <w:sz w:val="24"/>
                <w:szCs w:val="24"/>
                <w:highlight w:val="none"/>
                <w:u w:val="none" w:color="auto"/>
                <w:lang w:val="en-US" w:eastAsia="zh-CN"/>
                <w14:textFill>
                  <w14:solidFill>
                    <w14:schemeClr w14:val="tx1"/>
                  </w14:solidFill>
                </w14:textFill>
              </w:rPr>
              <w:t>创建文化产业园区1个（含文化创意产业园、印刷包装产业园、数字文娱产业园、文化装备制造产业园），龙文化博览园1个。</w:t>
            </w:r>
          </w:p>
        </w:tc>
      </w:tr>
    </w:tbl>
    <w:p w14:paraId="52D4595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0"/>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10" w:name="_Toc18118"/>
      <w:r>
        <w:rPr>
          <w:rFonts w:hint="eastAsia" w:ascii="Times New Roman" w:hAnsi="Times New Roman" w:eastAsia="方正黑体_GBK" w:cs="Times New Roman"/>
          <w:b w:val="0"/>
          <w:bCs w:val="0"/>
          <w:color w:val="000000" w:themeColor="text1"/>
          <w:kern w:val="2"/>
          <w:sz w:val="32"/>
          <w:szCs w:val="32"/>
          <w:highlight w:val="none"/>
          <w:u w:val="none" w:color="auto"/>
          <w:lang w:val="en-US" w:eastAsia="zh-CN"/>
          <w14:textFill>
            <w14:solidFill>
              <w14:schemeClr w14:val="tx1"/>
            </w14:solidFill>
          </w14:textFill>
        </w:rPr>
        <w:t>四、培育城市经营的创新之城</w:t>
      </w:r>
      <w:bookmarkEnd w:id="10"/>
    </w:p>
    <w:p w14:paraId="1ABB1AC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11" w:name="_Toc24848"/>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（一）助推产城融合</w:t>
      </w:r>
      <w:bookmarkEnd w:id="11"/>
    </w:p>
    <w:p w14:paraId="67CC367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Times New Roman" w:hAnsi="Times New Roman" w:eastAsia="方正楷体_GBK"/>
          <w:sz w:val="32"/>
          <w:lang w:val="en-US" w:eastAsia="zh-CN"/>
        </w:rPr>
        <w:t>推动产城空间扩容提质。</w:t>
      </w:r>
      <w:r>
        <w:rPr>
          <w:rFonts w:hint="eastAsia" w:ascii="Times New Roman" w:hAnsi="Times New Roman" w:eastAsia="方正仿宋_GBK"/>
          <w:sz w:val="32"/>
          <w:highlight w:val="none"/>
          <w:lang w:val="en-US" w:eastAsia="zh-CN"/>
        </w:rPr>
        <w:t>高标准建设铜梁高新区，推动科产城深度融合转型。高水平规划建设科创新城，探索“大共享+小学院”模式。</w:t>
      </w:r>
      <w:r>
        <w:rPr>
          <w:rFonts w:hint="eastAsia" w:ascii="Times New Roman" w:hAnsi="Times New Roman" w:eastAsia="方正仿宋_GBK" w:cstheme="minorBidi"/>
          <w:sz w:val="32"/>
          <w:szCs w:val="22"/>
          <w:highlight w:val="none"/>
          <w:lang w:val="en-US" w:eastAsia="zh-CN" w:bidi="ar-SA"/>
        </w:rPr>
        <w:t>加快完善“七横九纵”城市路网体系，推动交通枢纽与产业节点、生活社区高效串联</w:t>
      </w:r>
      <w:r>
        <w:rPr>
          <w:rFonts w:hint="eastAsia" w:ascii="Times New Roman" w:hAnsi="Times New Roman" w:eastAsia="方正仿宋_GBK"/>
          <w:sz w:val="32"/>
          <w:highlight w:val="none"/>
          <w:lang w:val="en-US" w:eastAsia="zh-CN"/>
        </w:rPr>
        <w:t>。</w:t>
      </w:r>
      <w:r>
        <w:rPr>
          <w:rFonts w:hint="eastAsia" w:ascii="Times New Roman" w:hAnsi="Times New Roman" w:eastAsia="方正楷体_GBK"/>
          <w:sz w:val="32"/>
          <w:lang w:val="en-US" w:eastAsia="zh-CN"/>
        </w:rPr>
        <w:t>完善产城空间生产生活配套。</w:t>
      </w:r>
      <w:r>
        <w:rPr>
          <w:rFonts w:hint="eastAsia" w:ascii="Times New Roman" w:hAnsi="Times New Roman" w:eastAsia="方正仿宋_GBK"/>
          <w:sz w:val="32"/>
          <w:highlight w:val="none"/>
          <w:lang w:val="en-US" w:eastAsia="zh-CN"/>
        </w:rPr>
        <w:t>实施园区功能配套提升行动，补足5分钟产业邻里设施，新增产业驿站、嵌入式办公、烟火集市。配建人才公寓、青年社区，打造产业型生活社区，提供免租金的创业共享空间。</w:t>
      </w:r>
      <w:r>
        <w:rPr>
          <w:rFonts w:hint="eastAsia" w:ascii="Times New Roman" w:hAnsi="Times New Roman" w:eastAsia="方正楷体_GBK"/>
          <w:sz w:val="32"/>
          <w:highlight w:val="none"/>
          <w:lang w:val="en-US" w:eastAsia="zh-CN"/>
        </w:rPr>
        <w:t>强化要素保障与审批服务。</w:t>
      </w:r>
      <w:r>
        <w:rPr>
          <w:rFonts w:hint="eastAsia" w:ascii="Times New Roman" w:hAnsi="Times New Roman" w:eastAsia="方正仿宋_GBK"/>
          <w:sz w:val="32"/>
          <w:highlight w:val="none"/>
          <w:lang w:val="en-US" w:eastAsia="zh-CN"/>
        </w:rPr>
        <w:t>推动“强相关”部门与高新区管委会深度协同，创新“三证齐发+联合验收”工业项目建设全周期集成服务。</w:t>
      </w:r>
    </w:p>
    <w:p w14:paraId="4EEAF07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bookmarkStart w:id="12" w:name="_Toc12747"/>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（二）盘活存量资源</w:t>
      </w:r>
      <w:bookmarkEnd w:id="12"/>
    </w:p>
    <w:p w14:paraId="620C1357">
      <w:pPr>
        <w:keepNext w:val="0"/>
        <w:keepLines w:val="0"/>
        <w:pageBreakBefore w:val="0"/>
        <w:widowControl w:val="0"/>
        <w:numPr>
          <w:ilvl w:val="-1"/>
          <w:numId w:val="0"/>
        </w:numPr>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lang w:eastAsia="zh-CN"/>
        </w:rPr>
      </w:pPr>
      <w:r>
        <w:rPr>
          <w:rFonts w:hint="eastAsia" w:ascii="Times New Roman" w:hAnsi="Times New Roman" w:eastAsia="方正楷体_GBK"/>
          <w:sz w:val="32"/>
          <w:highlight w:val="none"/>
          <w:lang w:val="en-US" w:eastAsia="zh-CN"/>
        </w:rPr>
        <w:t>推动闲置低效空间资产盘活。</w:t>
      </w:r>
      <w:r>
        <w:rPr>
          <w:rFonts w:hint="eastAsia" w:ascii="Times New Roman" w:hAnsi="Times New Roman" w:eastAsia="方正仿宋_GBK"/>
          <w:sz w:val="32"/>
          <w:lang w:eastAsia="zh-CN"/>
        </w:rPr>
        <w:t>建立</w:t>
      </w:r>
      <w:r>
        <w:rPr>
          <w:rFonts w:hint="eastAsia" w:ascii="Times New Roman" w:hAnsi="Times New Roman" w:eastAsia="方正仿宋_GBK"/>
          <w:sz w:val="32"/>
          <w:lang w:val="en-US" w:eastAsia="zh-CN"/>
        </w:rPr>
        <w:t>全区存量资产</w:t>
      </w:r>
      <w:r>
        <w:rPr>
          <w:rFonts w:hint="eastAsia" w:ascii="Times New Roman" w:hAnsi="Times New Roman" w:eastAsia="方正仿宋_GBK"/>
          <w:sz w:val="32"/>
          <w:lang w:eastAsia="zh-CN"/>
        </w:rPr>
        <w:t>动态管理数据库</w:t>
      </w:r>
      <w:r>
        <w:rPr>
          <w:rFonts w:hint="eastAsia" w:ascii="Times New Roman" w:hAnsi="Times New Roman" w:eastAsia="方正仿宋_GBK"/>
          <w:sz w:val="32"/>
          <w:lang w:val="en-US" w:eastAsia="zh-CN"/>
        </w:rPr>
        <w:t>。</w:t>
      </w:r>
      <w:r>
        <w:rPr>
          <w:rFonts w:hint="eastAsia" w:ascii="Times New Roman" w:hAnsi="Times New Roman" w:eastAsia="方正仿宋_GBK"/>
          <w:sz w:val="32"/>
          <w:lang w:eastAsia="zh-CN"/>
        </w:rPr>
        <w:t>激活闲置厂房、废弃学校等存量产业资源，</w:t>
      </w:r>
      <w:r>
        <w:rPr>
          <w:rFonts w:hint="eastAsia" w:ascii="Times New Roman" w:hAnsi="Times New Roman" w:eastAsia="方正仿宋_GBK"/>
          <w:sz w:val="32"/>
          <w:lang w:val="en-US" w:eastAsia="zh-CN"/>
        </w:rPr>
        <w:t>结合特色产业实现空间动能转换</w:t>
      </w:r>
      <w:r>
        <w:rPr>
          <w:rFonts w:hint="eastAsia" w:ascii="Times New Roman" w:hAnsi="Times New Roman" w:eastAsia="方正仿宋_GBK"/>
          <w:sz w:val="32"/>
          <w:lang w:eastAsia="zh-CN"/>
        </w:rPr>
        <w:t>。</w:t>
      </w:r>
      <w:r>
        <w:rPr>
          <w:rFonts w:hint="eastAsia" w:ascii="Times New Roman" w:hAnsi="Times New Roman" w:eastAsia="方正仿宋_GBK"/>
          <w:sz w:val="32"/>
          <w:lang w:val="en-US" w:eastAsia="zh-CN"/>
        </w:rPr>
        <w:t>充分利用</w:t>
      </w:r>
      <w:r>
        <w:rPr>
          <w:rFonts w:hint="eastAsia" w:ascii="Times New Roman" w:hAnsi="Times New Roman" w:eastAsia="方正仿宋_GBK"/>
          <w:sz w:val="32"/>
          <w:lang w:eastAsia="zh-CN"/>
        </w:rPr>
        <w:t>淮远河闲置资产打造铜梁龙街</w:t>
      </w:r>
      <w:r>
        <w:rPr>
          <w:rFonts w:hint="eastAsia" w:ascii="Times New Roman" w:hAnsi="Times New Roman" w:eastAsia="方正仿宋_GBK"/>
          <w:sz w:val="32"/>
          <w:lang w:val="en-US" w:eastAsia="zh-CN"/>
        </w:rPr>
        <w:t>。</w:t>
      </w:r>
      <w:r>
        <w:rPr>
          <w:rFonts w:hint="eastAsia" w:ascii="Times New Roman" w:hAnsi="Times New Roman" w:eastAsia="方正楷体_GBK"/>
          <w:sz w:val="32"/>
          <w:highlight w:val="none"/>
          <w:lang w:val="en-US" w:eastAsia="zh-CN"/>
        </w:rPr>
        <w:t>优化存量低效用地盘活机制。</w:t>
      </w:r>
      <w:r>
        <w:rPr>
          <w:rFonts w:hint="eastAsia" w:ascii="Times New Roman" w:hAnsi="Times New Roman" w:eastAsia="方正仿宋_GBK"/>
          <w:sz w:val="32"/>
          <w:highlight w:val="none"/>
          <w:lang w:val="en-US" w:eastAsia="zh-CN"/>
        </w:rPr>
        <w:t>探索搭建“土地超市”，用活存量产业用地功能转换、产业用房分割转让等改革举措。推行M0（新型产业用地）政策，提供先租后让等灵活供地方式。</w:t>
      </w:r>
      <w:r>
        <w:rPr>
          <w:rFonts w:hint="eastAsia" w:ascii="Times New Roman" w:hAnsi="Times New Roman" w:eastAsia="方正仿宋_GBK"/>
          <w:sz w:val="32"/>
          <w:highlight w:val="none"/>
          <w:lang w:eastAsia="zh-CN"/>
        </w:rPr>
        <w:t>采用2.5级土地利用方式，利用闲置用地作为短期</w:t>
      </w:r>
      <w:r>
        <w:rPr>
          <w:rFonts w:hint="eastAsia" w:ascii="Times New Roman" w:hAnsi="Times New Roman" w:eastAsia="方正仿宋_GBK"/>
          <w:sz w:val="32"/>
          <w:highlight w:val="none"/>
          <w:lang w:val="en-US" w:eastAsia="zh-CN"/>
        </w:rPr>
        <w:t>便民配套</w:t>
      </w:r>
      <w:r>
        <w:rPr>
          <w:rFonts w:hint="eastAsia" w:ascii="Times New Roman" w:hAnsi="Times New Roman" w:eastAsia="方正仿宋_GBK"/>
          <w:sz w:val="32"/>
          <w:highlight w:val="none"/>
          <w:lang w:eastAsia="zh-CN"/>
        </w:rPr>
        <w:t>。</w:t>
      </w:r>
      <w:r>
        <w:rPr>
          <w:rFonts w:hint="eastAsia" w:ascii="Times New Roman" w:hAnsi="Times New Roman" w:eastAsia="方正楷体_GBK"/>
          <w:sz w:val="32"/>
          <w:highlight w:val="none"/>
          <w:lang w:val="en-US" w:eastAsia="zh-CN"/>
        </w:rPr>
        <w:t>探索存量低效设施复合利用。</w:t>
      </w:r>
      <w:r>
        <w:rPr>
          <w:rFonts w:hint="eastAsia" w:ascii="Times New Roman" w:hAnsi="Times New Roman" w:eastAsia="方正仿宋_GBK"/>
          <w:sz w:val="32"/>
          <w:highlight w:val="none"/>
          <w:lang w:eastAsia="zh-CN"/>
        </w:rPr>
        <w:t>挖掘老学校、老商圈等“四老”区域闲置资源，</w:t>
      </w:r>
      <w:r>
        <w:rPr>
          <w:rFonts w:hint="eastAsia" w:ascii="Times New Roman" w:hAnsi="Times New Roman" w:eastAsia="方正仿宋_GBK"/>
          <w:sz w:val="32"/>
          <w:highlight w:val="none"/>
          <w:lang w:val="en-US" w:eastAsia="zh-CN"/>
        </w:rPr>
        <w:t>制定盘活方案。</w:t>
      </w:r>
      <w:r>
        <w:rPr>
          <w:rFonts w:hint="eastAsia" w:ascii="Times New Roman" w:hAnsi="Times New Roman" w:eastAsia="方正仿宋_GBK" w:cs="Times New Roman"/>
          <w:color w:val="auto"/>
          <w:sz w:val="32"/>
          <w:szCs w:val="32"/>
          <w:highlight w:val="none"/>
          <w:u w:val="none"/>
          <w:lang w:val="en-US" w:eastAsia="zh-CN"/>
        </w:rPr>
        <w:t>推动</w:t>
      </w:r>
      <w:r>
        <w:rPr>
          <w:rFonts w:hint="default" w:ascii="Times New Roman" w:hAnsi="Times New Roman" w:eastAsia="方正仿宋_GBK" w:cs="Times New Roman"/>
          <w:color w:val="auto"/>
          <w:sz w:val="32"/>
          <w:szCs w:val="32"/>
          <w:highlight w:val="none"/>
          <w:u w:val="none"/>
          <w:lang w:val="en-US" w:eastAsia="zh-CN"/>
        </w:rPr>
        <w:t>错时共享停车</w:t>
      </w:r>
      <w:r>
        <w:rPr>
          <w:rFonts w:hint="eastAsia" w:ascii="Times New Roman" w:hAnsi="Times New Roman" w:eastAsia="方正仿宋_GBK" w:cs="Times New Roman"/>
          <w:color w:val="auto"/>
          <w:sz w:val="32"/>
          <w:szCs w:val="32"/>
          <w:highlight w:val="none"/>
          <w:u w:val="none"/>
          <w:lang w:val="en-US" w:eastAsia="zh-CN"/>
        </w:rPr>
        <w:t>，</w:t>
      </w:r>
      <w:r>
        <w:rPr>
          <w:rFonts w:hint="eastAsia" w:ascii="Times New Roman" w:hAnsi="Times New Roman" w:eastAsia="方正仿宋_GBK"/>
          <w:sz w:val="32"/>
          <w:highlight w:val="none"/>
          <w:lang w:eastAsia="zh-CN"/>
        </w:rPr>
        <w:t>创新公交场站资源复用，</w:t>
      </w:r>
      <w:r>
        <w:rPr>
          <w:rFonts w:hint="eastAsia" w:ascii="Times New Roman" w:hAnsi="Times New Roman" w:eastAsia="方正仿宋_GBK"/>
          <w:sz w:val="32"/>
          <w:lang w:eastAsia="zh-CN"/>
        </w:rPr>
        <w:t>部署重卡换电设施。</w:t>
      </w:r>
      <w:r>
        <w:rPr>
          <w:rFonts w:hint="eastAsia" w:ascii="Times New Roman" w:hAnsi="Times New Roman" w:eastAsia="方正仿宋_GBK" w:cstheme="minorBidi"/>
          <w:sz w:val="32"/>
          <w:szCs w:val="22"/>
          <w:lang w:val="en-US" w:eastAsia="zh-CN" w:bidi="ar-SA"/>
        </w:rPr>
        <w:t>推动服务设施综合设置、集成利用、错时共享</w:t>
      </w:r>
      <w:r>
        <w:rPr>
          <w:rFonts w:hint="eastAsia" w:ascii="Times New Roman" w:hAnsi="Times New Roman" w:eastAsia="方正仿宋_GBK"/>
          <w:sz w:val="32"/>
          <w:lang w:eastAsia="zh-CN"/>
        </w:rPr>
        <w:t>。</w:t>
      </w:r>
    </w:p>
    <w:p w14:paraId="391F6A43">
      <w:pPr>
        <w:keepNext w:val="0"/>
        <w:keepLines w:val="0"/>
        <w:widowControl w:val="0"/>
        <w:spacing w:after="0" w:line="600" w:lineRule="exact"/>
        <w:ind w:firstLine="640" w:firstLineChars="200"/>
        <w:jc w:val="both"/>
        <w:outlineLvl w:val="1"/>
        <w:rPr>
          <w:rFonts w:hint="default" w:ascii="Times New Roman" w:hAnsi="Times New Roman" w:eastAsia="方正楷体_GBK" w:cs="Times New Roman"/>
          <w:color w:val="000000" w:themeColor="text1"/>
          <w:kern w:val="2"/>
          <w:sz w:val="32"/>
          <w:szCs w:val="32"/>
          <w:highlight w:val="none"/>
          <w:u w:val="none" w:color="auto"/>
          <w:lang w:val="en-US" w:eastAsia="zh-CN"/>
          <w14:textFill>
            <w14:solidFill>
              <w14:schemeClr w14:val="tx1"/>
            </w14:solidFill>
          </w14:textFill>
        </w:rPr>
      </w:pPr>
      <w:bookmarkStart w:id="13" w:name="_Toc29312"/>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（三）统筹城乡空间资源配置</w:t>
      </w:r>
    </w:p>
    <w:p w14:paraId="12E04409">
      <w:pPr>
        <w:keepNext w:val="0"/>
        <w:keepLines w:val="0"/>
        <w:widowControl w:val="0"/>
        <w:numPr>
          <w:ilvl w:val="-1"/>
          <w:numId w:val="0"/>
        </w:numPr>
        <w:spacing w:after="0" w:line="600" w:lineRule="exact"/>
        <w:ind w:firstLine="640" w:firstLineChars="200"/>
        <w:jc w:val="both"/>
        <w:rPr>
          <w:rFonts w:hint="eastAsia" w:ascii="Times New Roman" w:hAnsi="Times New Roman" w:eastAsia="方正仿宋_GBK"/>
          <w:sz w:val="32"/>
          <w:highlight w:val="none"/>
          <w:lang w:val="en-US" w:eastAsia="zh-CN"/>
        </w:rPr>
      </w:pPr>
      <w:r>
        <w:rPr>
          <w:rFonts w:hint="eastAsia" w:ascii="Times New Roman" w:hAnsi="Times New Roman" w:eastAsia="方正楷体_GBK" w:cstheme="minorBidi"/>
          <w:sz w:val="32"/>
          <w:highlight w:val="none"/>
          <w:lang w:val="en-US" w:eastAsia="zh-CN"/>
        </w:rPr>
        <w:t>深化“多规合一”国土空间治理。</w:t>
      </w:r>
      <w:r>
        <w:rPr>
          <w:rFonts w:hint="eastAsia" w:ascii="Times New Roman" w:hAnsi="Times New Roman" w:eastAsia="方正仿宋_GBK"/>
          <w:sz w:val="32"/>
          <w:highlight w:val="none"/>
          <w:lang w:val="en-US" w:eastAsia="zh-CN"/>
        </w:rPr>
        <w:t>依托国土空间基础信息平台，推进三线实时监测，预控城镇开发边界内外留白用地。强化专项规划统筹，建立部门联合审查机制，确保规划意图精准传导至项目落地。</w:t>
      </w:r>
      <w:r>
        <w:rPr>
          <w:rFonts w:hint="eastAsia" w:ascii="Times New Roman" w:hAnsi="Times New Roman" w:eastAsia="方正楷体_GBK" w:cstheme="minorBidi"/>
          <w:sz w:val="32"/>
          <w:highlight w:val="none"/>
          <w:lang w:val="en-US" w:eastAsia="zh-CN"/>
        </w:rPr>
        <w:t>持续优化城镇功能布局。</w:t>
      </w:r>
      <w:r>
        <w:rPr>
          <w:rFonts w:hint="eastAsia" w:ascii="Times New Roman" w:hAnsi="Times New Roman" w:eastAsia="方正仿宋_GBK"/>
          <w:sz w:val="32"/>
          <w:highlight w:val="none"/>
          <w:lang w:val="en-US" w:eastAsia="zh-CN"/>
        </w:rPr>
        <w:t>强化城市“一心两城三区”的功能耦合，加快建设“双五十”中等城市。推进龙腾新区、科创新城、高新区等重点片区功能完善和土地复合利用。</w:t>
      </w:r>
      <w:r>
        <w:rPr>
          <w:rFonts w:hint="eastAsia" w:ascii="Times New Roman" w:hAnsi="Times New Roman" w:eastAsia="方正仿宋_GBK"/>
          <w:snapToGrid/>
          <w:kern w:val="0"/>
          <w:sz w:val="32"/>
          <w:szCs w:val="22"/>
          <w:highlight w:val="none"/>
          <w:lang w:eastAsia="zh-CN" w:bidi="ar"/>
        </w:rPr>
        <w:t>引导人口、资源要素向优势城镇集聚。</w:t>
      </w:r>
      <w:r>
        <w:rPr>
          <w:rFonts w:hint="eastAsia" w:ascii="Times New Roman" w:hAnsi="Times New Roman" w:eastAsia="方正楷体_GBK" w:cstheme="minorBidi"/>
          <w:sz w:val="32"/>
          <w:highlight w:val="none"/>
          <w:lang w:val="en-US" w:eastAsia="zh-CN"/>
        </w:rPr>
        <w:t>织密城乡基础设施网络体系</w:t>
      </w:r>
      <w:r>
        <w:rPr>
          <w:rFonts w:hint="eastAsia" w:ascii="Times New Roman" w:hAnsi="Times New Roman" w:eastAsia="方正仿宋_GBK" w:cstheme="minorBidi"/>
          <w:sz w:val="32"/>
          <w:highlight w:val="none"/>
          <w:lang w:val="en-US" w:eastAsia="zh-CN"/>
        </w:rPr>
        <w:t>。</w:t>
      </w:r>
      <w:r>
        <w:rPr>
          <w:rFonts w:hint="eastAsia" w:ascii="Times New Roman" w:hAnsi="Times New Roman" w:eastAsia="方正仿宋_GBK"/>
          <w:sz w:val="32"/>
          <w:highlight w:val="none"/>
          <w:lang w:val="en-US" w:eastAsia="zh-CN"/>
        </w:rPr>
        <w:t>统筹</w:t>
      </w:r>
      <w:r>
        <w:rPr>
          <w:rFonts w:hint="eastAsia" w:ascii="Times New Roman" w:hAnsi="Times New Roman" w:eastAsia="方正仿宋_GBK"/>
          <w:snapToGrid/>
          <w:kern w:val="0"/>
          <w:sz w:val="32"/>
          <w:szCs w:val="22"/>
          <w:highlight w:val="none"/>
          <w:lang w:eastAsia="zh-CN"/>
        </w:rPr>
        <w:t>推进交通、供水、能源、信息、物流网络向乡村延伸，</w:t>
      </w:r>
      <w:r>
        <w:rPr>
          <w:rFonts w:hint="eastAsia" w:ascii="Times New Roman" w:hAnsi="Times New Roman" w:eastAsia="方正仿宋_GBK"/>
          <w:sz w:val="32"/>
          <w:highlight w:val="none"/>
          <w:lang w:val="en-US" w:eastAsia="zh-CN"/>
        </w:rPr>
        <w:t>构建“大水源、大水厂、大管网”供水格局，推进城乡供水一体化</w:t>
      </w:r>
      <w:r>
        <w:rPr>
          <w:rFonts w:hint="eastAsia" w:ascii="Times New Roman" w:hAnsi="Times New Roman" w:eastAsia="方正仿宋_GBK"/>
          <w:snapToGrid/>
          <w:kern w:val="0"/>
          <w:sz w:val="32"/>
          <w:szCs w:val="22"/>
          <w:highlight w:val="none"/>
          <w:lang w:eastAsia="zh-CN"/>
        </w:rPr>
        <w:t>。</w:t>
      </w:r>
    </w:p>
    <w:p w14:paraId="2670E7F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1"/>
        <w:rPr>
          <w:rFonts w:hint="default"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pPr>
      <w:r>
        <w:rPr>
          <w:rFonts w:hint="eastAsia"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（四）</w:t>
      </w:r>
      <w:r>
        <w:rPr>
          <w:rFonts w:hint="default" w:ascii="Times New Roman" w:hAnsi="Times New Roman" w:eastAsia="方正楷体_GBK" w:cs="Times New Roman"/>
          <w:b w:val="0"/>
          <w:bCs w:val="0"/>
          <w:color w:val="000000" w:themeColor="text1"/>
          <w:kern w:val="2"/>
          <w:sz w:val="32"/>
          <w:szCs w:val="32"/>
          <w:highlight w:val="none"/>
          <w:u w:val="none" w:color="auto"/>
          <w:lang w:val="en-US" w:eastAsia="zh-CN"/>
          <w14:textFill>
            <w14:solidFill>
              <w14:schemeClr w14:val="tx1"/>
            </w14:solidFill>
          </w14:textFill>
        </w:rPr>
        <w:t>实施可持续的城市运营体系</w:t>
      </w:r>
      <w:bookmarkEnd w:id="13"/>
    </w:p>
    <w:p w14:paraId="677484B9">
      <w:pPr>
        <w:keepNext w:val="0"/>
        <w:keepLines w:val="0"/>
        <w:pageBreakBefore w:val="0"/>
        <w:widowControl/>
        <w:numPr>
          <w:ilvl w:val="0"/>
          <w:numId w:val="0"/>
        </w:numPr>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lang w:val="en-US" w:eastAsia="zh-CN"/>
        </w:rPr>
      </w:pPr>
      <w:r>
        <w:rPr>
          <w:rFonts w:hint="eastAsia" w:ascii="Times New Roman" w:hAnsi="Times New Roman" w:eastAsia="方正楷体_GBK"/>
          <w:sz w:val="32"/>
          <w:highlight w:val="none"/>
          <w:lang w:val="en-US" w:eastAsia="zh-CN"/>
        </w:rPr>
        <w:t>推动城市运维市场化一体化改革。</w:t>
      </w:r>
      <w:r>
        <w:rPr>
          <w:rFonts w:hint="eastAsia" w:ascii="Times New Roman" w:hAnsi="Times New Roman" w:eastAsia="方正仿宋_GBK"/>
          <w:sz w:val="32"/>
          <w:lang w:eastAsia="zh-CN"/>
        </w:rPr>
        <w:t>推行城市大管家模式，</w:t>
      </w:r>
      <w:r>
        <w:rPr>
          <w:rFonts w:hint="eastAsia" w:ascii="Times New Roman" w:hAnsi="Times New Roman" w:eastAsia="方正仿宋_GBK"/>
          <w:sz w:val="32"/>
          <w:lang w:val="en-US" w:eastAsia="zh-CN"/>
        </w:rPr>
        <w:t>整合</w:t>
      </w:r>
      <w:r>
        <w:rPr>
          <w:rFonts w:hint="eastAsia" w:ascii="Times New Roman" w:hAnsi="Times New Roman" w:eastAsia="方正仿宋_GBK"/>
          <w:sz w:val="32"/>
          <w:lang w:eastAsia="zh-CN"/>
        </w:rPr>
        <w:t>市容环卫、园林绿化、设施维护等城市运维业务</w:t>
      </w:r>
      <w:r>
        <w:rPr>
          <w:rFonts w:hint="eastAsia" w:ascii="Times New Roman" w:hAnsi="Times New Roman" w:eastAsia="方正仿宋_GBK"/>
          <w:sz w:val="32"/>
          <w:lang w:val="en-US" w:eastAsia="zh-CN"/>
        </w:rPr>
        <w:t>。</w:t>
      </w:r>
      <w:r>
        <w:rPr>
          <w:rFonts w:hint="eastAsia" w:ascii="Times New Roman" w:hAnsi="Times New Roman" w:eastAsia="方正仿宋_GBK"/>
          <w:sz w:val="32"/>
          <w:lang w:eastAsia="zh-CN"/>
        </w:rPr>
        <w:t>建立标准化作业规范和绩效评价体系，</w:t>
      </w:r>
      <w:r>
        <w:rPr>
          <w:rFonts w:hint="eastAsia" w:ascii="Times New Roman" w:hAnsi="Times New Roman" w:eastAsia="方正仿宋_GBK"/>
          <w:sz w:val="32"/>
          <w:lang w:val="en-US" w:eastAsia="zh-CN"/>
        </w:rPr>
        <w:t>以运营绩效定付费。试点城市公园市场化改革，丰富“公园+消费”“公园+赛事”“公园+文创”等创新业态。</w:t>
      </w:r>
      <w:r>
        <w:rPr>
          <w:rFonts w:hint="eastAsia" w:ascii="Times New Roman" w:hAnsi="Times New Roman" w:eastAsia="方正楷体_GBK"/>
          <w:sz w:val="32"/>
          <w:highlight w:val="none"/>
          <w:lang w:val="en-US" w:eastAsia="zh-CN"/>
        </w:rPr>
        <w:t>构建可持续城市建设运营投融资体系。</w:t>
      </w:r>
      <w:r>
        <w:rPr>
          <w:rFonts w:hint="eastAsia" w:ascii="Times New Roman" w:hAnsi="Times New Roman" w:eastAsia="方正仿宋_GBK"/>
          <w:sz w:val="32"/>
          <w:lang w:val="en-US" w:eastAsia="zh-CN"/>
        </w:rPr>
        <w:t>全面落实政府和社会资本合作新机制，分类采用BOT、TOT、ROT等合作模式。积极策划基础设施REITs项目，打包经营性资产，推行资产证券化，构建“政银企社”对接机制。</w:t>
      </w:r>
      <w:r>
        <w:rPr>
          <w:rFonts w:hint="eastAsia" w:ascii="Times New Roman" w:hAnsi="Times New Roman" w:eastAsia="方正楷体_GBK"/>
          <w:sz w:val="32"/>
          <w:highlight w:val="none"/>
          <w:lang w:val="en-US" w:eastAsia="zh-CN"/>
        </w:rPr>
        <w:t>建立城市经营项目全生命周期协同机制。</w:t>
      </w:r>
      <w:r>
        <w:rPr>
          <w:rFonts w:hint="eastAsia" w:ascii="Times New Roman" w:hAnsi="Times New Roman" w:eastAsia="方正仿宋_GBK"/>
          <w:sz w:val="32"/>
          <w:highlight w:val="none"/>
          <w:lang w:val="en-US" w:eastAsia="zh-CN"/>
        </w:rPr>
        <w:t>推行“运营前置”，项目编制阶段同步明确业态方向、运营主体与收益模式。</w:t>
      </w:r>
      <w:r>
        <w:rPr>
          <w:rFonts w:hint="eastAsia" w:ascii="Times New Roman" w:hAnsi="Times New Roman" w:eastAsia="方正仿宋_GBK"/>
          <w:sz w:val="32"/>
          <w:lang w:val="en-US" w:eastAsia="zh-CN"/>
        </w:rPr>
        <w:t>建立反哺制度，将收益按比例注入城市运营资金，实现滚动发展。</w:t>
      </w:r>
    </w:p>
    <w:tbl>
      <w:tblPr>
        <w:tblStyle w:val="11"/>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14:paraId="44D8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9230" w:type="dxa"/>
            <w:tcBorders>
              <w:top w:val="nil"/>
              <w:left w:val="nil"/>
              <w:bottom w:val="single" w:color="auto" w:sz="4" w:space="0"/>
              <w:right w:val="nil"/>
            </w:tcBorders>
            <w:vAlign w:val="center"/>
          </w:tcPr>
          <w:p w14:paraId="2503E718">
            <w:pPr>
              <w:keepNext w:val="0"/>
              <w:keepLines w:val="0"/>
              <w:pageBreakBefore w:val="0"/>
              <w:suppressLineNumbers w:val="0"/>
              <w:kinsoku/>
              <w:wordWrap/>
              <w:autoSpaceDE/>
              <w:bidi w:val="0"/>
              <w:spacing w:before="0" w:beforeAutospacing="0" w:after="0" w:afterAutospacing="0" w:line="594" w:lineRule="exact"/>
              <w:ind w:left="0" w:right="0" w:firstLine="0" w:firstLineChars="0"/>
              <w:jc w:val="center"/>
              <w:rPr>
                <w:rFonts w:hint="default" w:ascii="Times New Roman" w:hAnsi="Times New Roman" w:eastAsia="方正黑体_GBK"/>
                <w:b w:val="0"/>
                <w:bCs w:val="0"/>
                <w:color w:val="000000" w:themeColor="text1"/>
                <w:kern w:val="0"/>
                <w:sz w:val="28"/>
                <w:szCs w:val="28"/>
                <w:highlight w:val="none"/>
                <w:u w:val="none" w:color="auto"/>
                <w:lang w:val="en-US" w:eastAsia="zh-CN" w:bidi="ar"/>
                <w14:textFill>
                  <w14:solidFill>
                    <w14:schemeClr w14:val="tx1"/>
                  </w14:solidFill>
                </w14:textFill>
              </w:rPr>
            </w:pPr>
            <w:r>
              <w:rPr>
                <w:rFonts w:hint="eastAsia" w:ascii="Times New Roman" w:hAnsi="Times New Roman" w:eastAsia="方正黑体_GBK"/>
                <w:b w:val="0"/>
                <w:bCs w:val="0"/>
                <w:color w:val="000000" w:themeColor="text1"/>
                <w:sz w:val="32"/>
                <w:szCs w:val="32"/>
                <w:highlight w:val="none"/>
                <w:u w:val="none" w:color="auto"/>
                <w:shd w:val="clear"/>
                <w14:textFill>
                  <w14:solidFill>
                    <w14:schemeClr w14:val="tx1"/>
                  </w14:solidFill>
                </w14:textFill>
              </w:rPr>
              <w:t>专栏</w:t>
            </w:r>
            <w:r>
              <w:rPr>
                <w:rFonts w:hint="eastAsia" w:ascii="Times New Roman" w:hAnsi="Times New Roman" w:eastAsia="方正黑体_GBK"/>
                <w:b w:val="0"/>
                <w:bCs w:val="0"/>
                <w:color w:val="000000" w:themeColor="text1"/>
                <w:sz w:val="32"/>
                <w:szCs w:val="32"/>
                <w:highlight w:val="none"/>
                <w:u w:val="none" w:color="auto"/>
                <w:shd w:val="clear"/>
                <w:lang w:val="en-US" w:eastAsia="zh-CN"/>
                <w14:textFill>
                  <w14:solidFill>
                    <w14:schemeClr w14:val="tx1"/>
                  </w14:solidFill>
                </w14:textFill>
              </w:rPr>
              <w:t>3城市经营重点方向</w:t>
            </w:r>
          </w:p>
        </w:tc>
      </w:tr>
      <w:tr w14:paraId="3E14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230" w:type="dxa"/>
            <w:tcBorders>
              <w:top w:val="single" w:color="auto" w:sz="4" w:space="0"/>
            </w:tcBorders>
            <w:vAlign w:val="center"/>
          </w:tcPr>
          <w:p w14:paraId="009DD8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eastAsia" w:ascii="Times New Roman" w:hAnsi="Times New Roman" w:eastAsia="方正仿宋_GBK" w:cs="方正仿宋_GBK"/>
                <w:b w:val="0"/>
                <w:bCs w:val="0"/>
                <w:color w:val="000000" w:themeColor="text1"/>
                <w:sz w:val="24"/>
                <w:szCs w:val="24"/>
                <w:highlight w:val="none"/>
                <w:u w:val="none" w:color="auto"/>
                <w:lang w:val="en-US" w:eastAsia="zh-CN"/>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1.推动产城空间扩容。</w:t>
            </w:r>
            <w:r>
              <w:rPr>
                <w:rFonts w:hint="eastAsia" w:ascii="Times New Roman" w:hAnsi="Times New Roman" w:eastAsia="方正仿宋_GBK" w:cs="方正仿宋_GBK"/>
                <w:b w:val="0"/>
                <w:bCs w:val="0"/>
                <w:color w:val="000000" w:themeColor="text1"/>
                <w:sz w:val="24"/>
                <w:szCs w:val="24"/>
                <w:highlight w:val="none"/>
                <w:u w:val="none" w:color="auto"/>
                <w:lang w:val="en-US" w:eastAsia="zh-CN"/>
                <w14:textFill>
                  <w14:solidFill>
                    <w14:schemeClr w14:val="tx1"/>
                  </w14:solidFill>
                </w14:textFill>
              </w:rPr>
              <w:t>新增城区建设用地1000亩以上。</w:t>
            </w:r>
          </w:p>
          <w:p w14:paraId="67C04B7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eastAsia" w:ascii="Times New Roman" w:hAnsi="Times New Roman" w:eastAsia="方正仿宋_GBK" w:cs="方正仿宋_GBK"/>
                <w:b w:val="0"/>
                <w:bCs w:val="0"/>
                <w:color w:val="000000" w:themeColor="text1"/>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2.完善路网体系。</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
                <w14:textFill>
                  <w14:solidFill>
                    <w14:schemeClr w14:val="tx1"/>
                  </w14:solidFill>
                </w14:textFill>
              </w:rPr>
              <w:t>加快城区至高铁站快速路建设，建成金蒲大道、龙腾大道延伸段等6条道路。</w:t>
            </w:r>
          </w:p>
          <w:p w14:paraId="39B56A1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eastAsia" w:ascii="Times New Roman" w:hAnsi="Times New Roman" w:eastAsia="方正仿宋_GBK" w:cs="方正仿宋_GBK"/>
                <w:b w:val="0"/>
                <w:bCs w:val="0"/>
                <w:color w:val="000000" w:themeColor="text1"/>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3.完善产城空间生产生活配套。</w:t>
            </w:r>
            <w:r>
              <w:rPr>
                <w:rFonts w:hint="eastAsia" w:ascii="Times New Roman" w:hAnsi="Times New Roman" w:eastAsia="方正仿宋_GBK" w:cs="方正仿宋_GBK"/>
                <w:b w:val="0"/>
                <w:bCs w:val="0"/>
                <w:color w:val="000000" w:themeColor="text1"/>
                <w:kern w:val="0"/>
                <w:sz w:val="24"/>
                <w:szCs w:val="24"/>
                <w:highlight w:val="none"/>
                <w:u w:val="none" w:color="auto"/>
                <w:lang w:val="en-US" w:eastAsia="zh-CN" w:bidi="ar"/>
                <w14:textFill>
                  <w14:solidFill>
                    <w14:schemeClr w14:val="tx1"/>
                  </w14:solidFill>
                </w14:textFill>
              </w:rPr>
              <w:t>新增共享租房、嵌入式办公、烟火集市、就业空间，</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
                <w14:textFill>
                  <w14:solidFill>
                    <w14:schemeClr w14:val="tx1"/>
                  </w14:solidFill>
                </w14:textFill>
              </w:rPr>
              <w:t>建设高新区产业驿站2个。</w:t>
            </w:r>
          </w:p>
          <w:p w14:paraId="642686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eastAsia" w:ascii="Times New Roman" w:hAnsi="Times New Roman" w:eastAsia="方正仿宋_GBK" w:cs="方正仿宋_GBK"/>
                <w:b w:val="0"/>
                <w:bCs w:val="0"/>
                <w:color w:val="000000" w:themeColor="text1"/>
                <w:kern w:val="0"/>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4.闲置低效空间资产盘活。</w:t>
            </w:r>
            <w:r>
              <w:rPr>
                <w:rFonts w:hint="eastAsia" w:ascii="Times New Roman" w:hAnsi="Times New Roman" w:eastAsia="方正仿宋_GBK" w:cs="方正仿宋_GBK"/>
                <w:b w:val="0"/>
                <w:bCs w:val="0"/>
                <w:color w:val="000000" w:themeColor="text1"/>
                <w:kern w:val="0"/>
                <w:sz w:val="24"/>
                <w:szCs w:val="24"/>
                <w:highlight w:val="none"/>
                <w:u w:val="none" w:color="auto"/>
                <w:lang w:val="en-US" w:eastAsia="zh-CN" w:bidi="ar"/>
                <w14:textFill>
                  <w14:solidFill>
                    <w14:schemeClr w14:val="tx1"/>
                  </w14:solidFill>
                </w14:textFill>
              </w:rPr>
              <w:t>力争达到盘活资产40亿元，回收资金25亿元。利用淮远河闲置资产，包括对已收购房屋12幢、车库等整体打造铜梁龙街。</w:t>
            </w:r>
          </w:p>
          <w:p w14:paraId="36FEB05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eastAsia" w:ascii="Times New Roman" w:hAnsi="Times New Roman" w:eastAsia="方正仿宋_GBK" w:cs="方正仿宋_GBK"/>
                <w:b w:val="0"/>
                <w:bCs w:val="0"/>
                <w:color w:val="000000" w:themeColor="text1"/>
                <w:kern w:val="0"/>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5.存量低效用地盘活。</w:t>
            </w:r>
            <w:r>
              <w:rPr>
                <w:rFonts w:hint="eastAsia" w:ascii="Times New Roman" w:hAnsi="Times New Roman" w:eastAsia="方正仿宋_GBK" w:cs="方正仿宋_GBK"/>
                <w:b w:val="0"/>
                <w:bCs w:val="0"/>
                <w:color w:val="000000" w:themeColor="text1"/>
                <w:kern w:val="0"/>
                <w:sz w:val="24"/>
                <w:szCs w:val="24"/>
                <w:highlight w:val="none"/>
                <w:u w:val="none" w:color="auto"/>
                <w:lang w:val="en-US" w:eastAsia="zh-CN" w:bidi="ar"/>
                <w14:textFill>
                  <w14:solidFill>
                    <w14:schemeClr w14:val="tx1"/>
                  </w14:solidFill>
                </w14:textFill>
              </w:rPr>
              <w:t>通过存量产业用地功能转换、产业用房分割转让等改革举措，谋划实施项目50个、面积2500亩。</w:t>
            </w:r>
          </w:p>
          <w:p w14:paraId="5091231B">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default" w:ascii="Times New Roman" w:hAnsi="Times New Roman" w:eastAsia="方正仿宋_GBK"/>
                <w:b w:val="0"/>
                <w:bCs w:val="0"/>
                <w:color w:val="000000" w:themeColor="text1"/>
                <w:kern w:val="0"/>
                <w:sz w:val="28"/>
                <w:szCs w:val="28"/>
                <w:highlight w:val="none"/>
                <w:u w:val="none" w:color="auto"/>
                <w:lang w:val="en-US"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6.城市运维市场化一体化改革。</w:t>
            </w:r>
            <w:r>
              <w:rPr>
                <w:rFonts w:hint="eastAsia" w:ascii="Times New Roman" w:hAnsi="Times New Roman" w:eastAsia="方正仿宋_GBK" w:cs="方正仿宋_GBK"/>
                <w:b w:val="0"/>
                <w:bCs w:val="0"/>
                <w:color w:val="000000" w:themeColor="text1"/>
                <w:kern w:val="0"/>
                <w:sz w:val="24"/>
                <w:szCs w:val="24"/>
                <w:highlight w:val="none"/>
                <w:u w:val="none" w:color="auto"/>
                <w:lang w:val="en-US" w:eastAsia="zh-CN" w:bidi="ar"/>
                <w14:textFill>
                  <w14:solidFill>
                    <w14:schemeClr w14:val="tx1"/>
                  </w14:solidFill>
                </w14:textFill>
              </w:rPr>
              <w:t>实施城市大管家项目。</w:t>
            </w:r>
          </w:p>
        </w:tc>
      </w:tr>
    </w:tbl>
    <w:p w14:paraId="0CCAF463">
      <w:pPr>
        <w:keepNext w:val="0"/>
        <w:keepLines w:val="0"/>
        <w:pageBreakBefore w:val="0"/>
        <w:widowControl w:val="0"/>
        <w:kinsoku/>
        <w:wordWrap/>
        <w:overflowPunct/>
        <w:topLinePunct w:val="0"/>
        <w:autoSpaceDE/>
        <w:autoSpaceDN/>
        <w:bidi w:val="0"/>
        <w:adjustRightInd/>
        <w:snapToGrid/>
        <w:spacing w:after="0" w:line="600" w:lineRule="exact"/>
        <w:ind w:right="0" w:rightChars="0" w:firstLine="640" w:firstLineChars="200"/>
        <w:jc w:val="both"/>
        <w:textAlignment w:val="auto"/>
        <w:outlineLvl w:val="0"/>
        <w:rPr>
          <w:rFonts w:hint="default" w:ascii="Times New Roman" w:hAnsi="Times New Roman" w:eastAsia="方正黑体_GBK" w:cs="方正黑体_GBK"/>
          <w:sz w:val="32"/>
          <w:szCs w:val="32"/>
          <w:lang w:val="en-US" w:eastAsia="zh-CN"/>
        </w:rPr>
      </w:pPr>
      <w:bookmarkStart w:id="14" w:name="_Toc23686"/>
      <w:r>
        <w:rPr>
          <w:rFonts w:hint="eastAsia" w:ascii="Times New Roman" w:hAnsi="Times New Roman" w:eastAsia="方正黑体_GBK" w:cs="方正黑体_GBK"/>
          <w:sz w:val="32"/>
          <w:szCs w:val="32"/>
          <w:lang w:val="en-US" w:eastAsia="zh-CN"/>
        </w:rPr>
        <w:t>五、打造现代品质的宜居之城</w:t>
      </w:r>
    </w:p>
    <w:p w14:paraId="3313371C">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eastAsia="zh-CN"/>
        </w:rPr>
        <w:t>（</w:t>
      </w:r>
      <w:r>
        <w:rPr>
          <w:rFonts w:hint="eastAsia" w:ascii="Times New Roman" w:hAnsi="Times New Roman" w:eastAsia="方正楷体_GBK"/>
          <w:sz w:val="32"/>
          <w:highlight w:val="none"/>
          <w:lang w:val="en-US" w:eastAsia="zh-CN"/>
        </w:rPr>
        <w:t>一</w:t>
      </w:r>
      <w:r>
        <w:rPr>
          <w:rFonts w:hint="eastAsia" w:ascii="Times New Roman" w:hAnsi="Times New Roman" w:eastAsia="方正楷体_GBK"/>
          <w:sz w:val="32"/>
          <w:highlight w:val="none"/>
          <w:lang w:eastAsia="zh-CN"/>
        </w:rPr>
        <w:t>）</w:t>
      </w:r>
      <w:r>
        <w:rPr>
          <w:rFonts w:ascii="Times New Roman" w:hAnsi="Times New Roman" w:eastAsia="方正楷体_GBK"/>
          <w:sz w:val="32"/>
          <w:highlight w:val="none"/>
        </w:rPr>
        <w:t>高质量推进城市更新</w:t>
      </w:r>
    </w:p>
    <w:p w14:paraId="0DDBC71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rPr>
        <w:t>深化城市体检与更新一体化</w:t>
      </w:r>
      <w:r>
        <w:rPr>
          <w:rFonts w:hint="eastAsia" w:ascii="方正楷体_GBK" w:hAnsi="方正楷体_GBK" w:eastAsia="方正楷体_GBK" w:cs="方正楷体_GBK"/>
          <w:sz w:val="32"/>
          <w:highlight w:val="none"/>
          <w:lang w:val="en-US" w:eastAsia="zh-CN"/>
        </w:rPr>
        <w:t>推进。</w:t>
      </w:r>
      <w:r>
        <w:rPr>
          <w:rFonts w:hint="eastAsia" w:ascii="Times New Roman" w:hAnsi="Times New Roman" w:eastAsia="方正仿宋_GBK"/>
          <w:sz w:val="32"/>
          <w:highlight w:val="none"/>
        </w:rPr>
        <w:t>推动城市建成区体检全覆盖，构建</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体检—更新—反馈</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闭环管理体系，将体检结果转化为城市</w:t>
      </w:r>
      <w:r>
        <w:rPr>
          <w:rFonts w:hint="eastAsia" w:ascii="Times New Roman" w:hAnsi="Times New Roman" w:eastAsia="方正仿宋_GBK"/>
          <w:sz w:val="32"/>
          <w:highlight w:val="none"/>
          <w:lang w:val="en-US" w:eastAsia="zh-CN"/>
        </w:rPr>
        <w:t>更新</w:t>
      </w:r>
      <w:r>
        <w:rPr>
          <w:rFonts w:hint="eastAsia" w:ascii="Times New Roman" w:hAnsi="Times New Roman" w:eastAsia="方正仿宋_GBK"/>
          <w:sz w:val="32"/>
          <w:highlight w:val="none"/>
        </w:rPr>
        <w:t>项目，</w:t>
      </w:r>
      <w:r>
        <w:rPr>
          <w:rFonts w:hint="default" w:ascii="Times New Roman" w:hAnsi="Times New Roman" w:eastAsia="方正仿宋_GBK" w:cs="Times New Roman"/>
          <w:sz w:val="32"/>
          <w:szCs w:val="32"/>
          <w:highlight w:val="none"/>
          <w:lang w:val="en-US" w:eastAsia="zh-CN"/>
        </w:rPr>
        <w:t>推进好房子、好小区、好社区、好城区建设</w:t>
      </w:r>
      <w:r>
        <w:rPr>
          <w:rFonts w:hint="eastAsia" w:ascii="Times New Roman" w:hAnsi="Times New Roman" w:eastAsia="方正仿宋_GBK"/>
          <w:sz w:val="32"/>
          <w:highlight w:val="none"/>
          <w:lang w:eastAsia="zh-CN"/>
        </w:rPr>
        <w:t>，确保群众反映突出问题年度解决率</w:t>
      </w:r>
      <w:r>
        <w:rPr>
          <w:rFonts w:hint="eastAsia" w:ascii="Times New Roman" w:hAnsi="Times New Roman" w:eastAsia="方正仿宋_GBK"/>
          <w:sz w:val="32"/>
          <w:highlight w:val="none"/>
          <w:lang w:val="en-US" w:eastAsia="zh-CN"/>
        </w:rPr>
        <w:t>达</w:t>
      </w:r>
      <w:r>
        <w:rPr>
          <w:rFonts w:hint="eastAsia" w:ascii="Times New Roman" w:hAnsi="Times New Roman" w:eastAsia="方正仿宋_GBK"/>
          <w:sz w:val="32"/>
          <w:highlight w:val="none"/>
          <w:lang w:eastAsia="zh-CN"/>
        </w:rPr>
        <w:t>90</w:t>
      </w:r>
      <w:r>
        <w:rPr>
          <w:rFonts w:hint="eastAsia" w:ascii="Times New Roman" w:hAnsi="Times New Roman" w:eastAsia="方正仿宋_GBK"/>
          <w:sz w:val="32"/>
          <w:highlight w:val="none"/>
          <w:lang w:val="en-US" w:eastAsia="zh-CN"/>
        </w:rPr>
        <w:t>%以上</w:t>
      </w:r>
      <w:r>
        <w:rPr>
          <w:rFonts w:hint="eastAsia" w:ascii="Times New Roman" w:hAnsi="Times New Roman" w:eastAsia="方正仿宋_GBK"/>
          <w:sz w:val="32"/>
          <w:highlight w:val="none"/>
          <w:lang w:eastAsia="zh-CN"/>
        </w:rPr>
        <w:t>。</w:t>
      </w:r>
      <w:r>
        <w:rPr>
          <w:rFonts w:hint="eastAsia" w:ascii="方正楷体_GBK" w:hAnsi="方正楷体_GBK" w:eastAsia="方正楷体_GBK" w:cs="方正楷体_GBK"/>
          <w:sz w:val="32"/>
          <w:highlight w:val="none"/>
          <w:lang w:val="en-US" w:eastAsia="zh-CN"/>
        </w:rPr>
        <w:t>实施</w:t>
      </w:r>
      <w:r>
        <w:rPr>
          <w:rFonts w:hint="eastAsia" w:ascii="方正楷体_GBK" w:hAnsi="方正楷体_GBK" w:eastAsia="方正楷体_GBK" w:cs="方正楷体_GBK"/>
          <w:sz w:val="32"/>
          <w:highlight w:val="none"/>
        </w:rPr>
        <w:t>城市片区</w:t>
      </w:r>
      <w:r>
        <w:rPr>
          <w:rFonts w:hint="eastAsia" w:ascii="方正楷体_GBK" w:hAnsi="方正楷体_GBK" w:eastAsia="方正楷体_GBK" w:cs="方正楷体_GBK"/>
          <w:sz w:val="32"/>
          <w:highlight w:val="none"/>
          <w:lang w:val="en-US" w:eastAsia="zh-CN"/>
        </w:rPr>
        <w:t>统筹</w:t>
      </w:r>
      <w:r>
        <w:rPr>
          <w:rFonts w:hint="eastAsia" w:ascii="方正楷体_GBK" w:hAnsi="方正楷体_GBK" w:eastAsia="方正楷体_GBK" w:cs="方正楷体_GBK"/>
          <w:sz w:val="32"/>
          <w:highlight w:val="none"/>
        </w:rPr>
        <w:t>更新</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val="en-US" w:eastAsia="zh-CN"/>
        </w:rPr>
        <w:t>点线面结合推进连片更新，补齐养老、托育、停车等设施短板，将隐患突出、条件成熟的低效片区划定为重点片区，推行小规模、渐进式、可持续功能重塑与品质升级。</w:t>
      </w:r>
      <w:r>
        <w:rPr>
          <w:rFonts w:hint="eastAsia" w:ascii="方正楷体_GBK" w:hAnsi="方正楷体_GBK" w:eastAsia="方正楷体_GBK" w:cs="方正楷体_GBK"/>
          <w:sz w:val="32"/>
          <w:highlight w:val="none"/>
          <w:lang w:val="en-US" w:eastAsia="zh-CN"/>
        </w:rPr>
        <w:t>强化老旧空间改造。</w:t>
      </w:r>
      <w:r>
        <w:rPr>
          <w:rFonts w:hint="eastAsia" w:ascii="Times New Roman" w:hAnsi="Times New Roman" w:eastAsia="方正仿宋_GBK"/>
          <w:sz w:val="32"/>
          <w:highlight w:val="none"/>
          <w:lang w:val="en-US" w:eastAsia="zh-CN"/>
        </w:rPr>
        <w:t>更新改造老旧小区停车、电梯、消防等设施，实施水电气改造及智能化升级，推进城中村、危房改造，支持老旧住房自主更新、原拆原建。</w:t>
      </w:r>
    </w:p>
    <w:p w14:paraId="35043352">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eastAsia="zh-CN"/>
        </w:rPr>
        <w:t>（</w:t>
      </w:r>
      <w:r>
        <w:rPr>
          <w:rFonts w:hint="eastAsia" w:ascii="Times New Roman" w:hAnsi="Times New Roman" w:eastAsia="方正楷体_GBK"/>
          <w:sz w:val="32"/>
          <w:highlight w:val="none"/>
          <w:lang w:val="en-US" w:eastAsia="zh-CN"/>
        </w:rPr>
        <w:t>二</w:t>
      </w:r>
      <w:r>
        <w:rPr>
          <w:rFonts w:hint="eastAsia" w:ascii="Times New Roman" w:hAnsi="Times New Roman" w:eastAsia="方正楷体_GBK"/>
          <w:sz w:val="32"/>
          <w:highlight w:val="none"/>
          <w:lang w:eastAsia="zh-CN"/>
        </w:rPr>
        <w:t>）健全公共服务体系</w:t>
      </w:r>
    </w:p>
    <w:p w14:paraId="7729E85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rPr>
        <w:t>建设</w:t>
      </w:r>
      <w:r>
        <w:rPr>
          <w:rFonts w:hint="eastAsia" w:ascii="Times New Roman" w:hAnsi="Times New Roman" w:eastAsia="方正楷体_GBK" w:cs="方正楷体_GBK"/>
          <w:sz w:val="32"/>
          <w:highlight w:val="none"/>
        </w:rPr>
        <w:t>15</w:t>
      </w:r>
      <w:r>
        <w:rPr>
          <w:rFonts w:hint="eastAsia" w:ascii="方正楷体_GBK" w:hAnsi="方正楷体_GBK" w:eastAsia="方正楷体_GBK" w:cs="方正楷体_GBK"/>
          <w:sz w:val="32"/>
          <w:highlight w:val="none"/>
        </w:rPr>
        <w:t>分钟高品质生活服务圈</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统筹配置医疗、教育、养老、文化、体育等</w:t>
      </w:r>
      <w:r>
        <w:rPr>
          <w:rFonts w:hint="eastAsia" w:ascii="Times New Roman" w:hAnsi="Times New Roman" w:eastAsia="方正仿宋_GBK"/>
          <w:sz w:val="32"/>
          <w:highlight w:val="none"/>
        </w:rPr>
        <w:t>基本公共服务设施</w:t>
      </w:r>
      <w:r>
        <w:rPr>
          <w:rFonts w:hint="eastAsia" w:ascii="Times New Roman" w:hAnsi="Times New Roman" w:eastAsia="方正仿宋_GBK"/>
          <w:sz w:val="32"/>
          <w:highlight w:val="none"/>
          <w:lang w:val="en-US" w:eastAsia="zh-CN"/>
        </w:rPr>
        <w:t>与</w:t>
      </w:r>
      <w:r>
        <w:rPr>
          <w:rFonts w:hint="eastAsia" w:ascii="Times New Roman" w:hAnsi="Times New Roman" w:eastAsia="方正仿宋_GBK"/>
          <w:sz w:val="32"/>
          <w:highlight w:val="none"/>
        </w:rPr>
        <w:t>便民生活服务</w:t>
      </w:r>
      <w:r>
        <w:rPr>
          <w:rFonts w:ascii="Times New Roman" w:hAnsi="Times New Roman" w:eastAsia="方正仿宋_GBK"/>
          <w:sz w:val="32"/>
          <w:highlight w:val="none"/>
        </w:rPr>
        <w:t>，推行</w:t>
      </w:r>
      <w:r>
        <w:rPr>
          <w:rFonts w:hint="eastAsia" w:ascii="Times New Roman" w:hAnsi="Times New Roman" w:eastAsia="方正仿宋_GBK"/>
          <w:sz w:val="32"/>
          <w:highlight w:val="none"/>
        </w:rPr>
        <w:t>市场主体建设连锁化、服务网点站点</w:t>
      </w:r>
      <w:r>
        <w:rPr>
          <w:rFonts w:hint="eastAsia" w:ascii="Times New Roman" w:hAnsi="Times New Roman" w:eastAsia="方正仿宋_GBK"/>
          <w:sz w:val="32"/>
          <w:highlight w:val="none"/>
          <w:lang w:eastAsia="zh-CN"/>
        </w:rPr>
        <w:t>复合布局</w:t>
      </w:r>
      <w:r>
        <w:rPr>
          <w:rFonts w:ascii="Times New Roman" w:hAnsi="Times New Roman" w:eastAsia="方正仿宋_GBK"/>
          <w:sz w:val="32"/>
          <w:highlight w:val="none"/>
        </w:rPr>
        <w:t>等模式</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实现服务覆盖率100%</w:t>
      </w:r>
      <w:r>
        <w:rPr>
          <w:rFonts w:ascii="Times New Roman" w:hAnsi="Times New Roman" w:eastAsia="方正仿宋_GBK"/>
          <w:sz w:val="32"/>
          <w:highlight w:val="none"/>
        </w:rPr>
        <w:t>。</w:t>
      </w:r>
      <w:r>
        <w:rPr>
          <w:rFonts w:hint="eastAsia" w:ascii="方正楷体_GBK" w:hAnsi="方正楷体_GBK" w:eastAsia="方正楷体_GBK" w:cs="方正楷体_GBK"/>
          <w:sz w:val="32"/>
          <w:highlight w:val="none"/>
        </w:rPr>
        <w:t>完善文化体育设施</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发展</w:t>
      </w:r>
      <w:r>
        <w:rPr>
          <w:rFonts w:hint="eastAsia" w:ascii="Times New Roman" w:hAnsi="Times New Roman" w:eastAsia="方正仿宋_GBK"/>
          <w:sz w:val="32"/>
          <w:highlight w:val="none"/>
          <w:lang w:val="en-US" w:eastAsia="zh-CN"/>
        </w:rPr>
        <w:t>城市书吧、</w:t>
      </w:r>
      <w:r>
        <w:rPr>
          <w:rFonts w:ascii="Times New Roman" w:hAnsi="Times New Roman" w:eastAsia="方正仿宋_GBK"/>
          <w:sz w:val="32"/>
          <w:highlight w:val="none"/>
        </w:rPr>
        <w:t>健身步道等功能复合的</w:t>
      </w:r>
      <w:r>
        <w:rPr>
          <w:rFonts w:hint="eastAsia" w:ascii="Times New Roman" w:hAnsi="Times New Roman" w:eastAsia="方正仿宋_GBK"/>
          <w:sz w:val="32"/>
          <w:highlight w:val="none"/>
          <w:lang w:val="en-US" w:eastAsia="zh-CN"/>
        </w:rPr>
        <w:t>文体设施</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推动学校体育场所开放，举办全民</w:t>
      </w:r>
      <w:r>
        <w:rPr>
          <w:rFonts w:hint="eastAsia" w:ascii="Times New Roman" w:hAnsi="Times New Roman" w:eastAsia="方正仿宋_GBK"/>
          <w:sz w:val="32"/>
          <w:highlight w:val="none"/>
          <w:lang w:val="en-US" w:eastAsia="zh-CN"/>
        </w:rPr>
        <w:t>读书会与</w:t>
      </w:r>
      <w:r>
        <w:rPr>
          <w:rFonts w:ascii="Times New Roman" w:hAnsi="Times New Roman" w:eastAsia="方正仿宋_GBK"/>
          <w:sz w:val="32"/>
          <w:highlight w:val="none"/>
        </w:rPr>
        <w:t>社区体育赛事</w:t>
      </w:r>
      <w:r>
        <w:rPr>
          <w:rFonts w:hint="eastAsia" w:ascii="Times New Roman" w:hAnsi="Times New Roman" w:eastAsia="方正仿宋_GBK"/>
          <w:sz w:val="32"/>
          <w:highlight w:val="none"/>
          <w:lang w:val="en-US" w:eastAsia="zh-CN"/>
        </w:rPr>
        <w:t>等活动</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lang w:val="en-US" w:eastAsia="zh-CN"/>
        </w:rPr>
        <w:t>加强无障碍设施配置</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残疾人文体活动参与率达到50</w:t>
      </w:r>
      <w:r>
        <w:rPr>
          <w:rFonts w:hint="eastAsia" w:ascii="Times New Roman" w:hAnsi="Times New Roman" w:eastAsia="方正仿宋_GBK"/>
          <w:sz w:val="32"/>
          <w:highlight w:val="none"/>
          <w:lang w:val="en-US" w:eastAsia="zh-CN"/>
        </w:rPr>
        <w:t>%</w:t>
      </w:r>
      <w:r>
        <w:rPr>
          <w:rFonts w:ascii="Times New Roman" w:hAnsi="Times New Roman" w:eastAsia="方正仿宋_GBK"/>
          <w:sz w:val="32"/>
          <w:highlight w:val="none"/>
        </w:rPr>
        <w:t>以上。</w:t>
      </w:r>
      <w:r>
        <w:rPr>
          <w:rFonts w:hint="eastAsia" w:ascii="方正楷体_GBK" w:hAnsi="方正楷体_GBK" w:eastAsia="方正楷体_GBK" w:cs="方正楷体_GBK"/>
          <w:sz w:val="32"/>
          <w:highlight w:val="none"/>
          <w:lang w:val="en-US" w:eastAsia="zh-CN"/>
        </w:rPr>
        <w:t>强化重点领域民生精准治理</w:t>
      </w:r>
      <w:r>
        <w:rPr>
          <w:rFonts w:hint="eastAsia" w:ascii="Times New Roman" w:hAnsi="Times New Roman" w:eastAsia="方正仿宋_GBK"/>
          <w:sz w:val="32"/>
          <w:highlight w:val="none"/>
          <w:lang w:val="en-US" w:eastAsia="zh-CN"/>
        </w:rPr>
        <w:t>。整合多渠道群众诉求反馈，精准解决群众急难愁盼，推动医疗、教育、托育、养老等公共服务资源均衡布局、健全发展，“教共体”覆盖率达90%以上</w:t>
      </w:r>
      <w:r>
        <w:rPr>
          <w:rFonts w:hint="eastAsia" w:ascii="方正楷体_GBK" w:hAnsi="方正楷体_GBK" w:eastAsia="方正楷体_GBK" w:cs="方正楷体_GBK"/>
          <w:sz w:val="32"/>
          <w:highlight w:val="none"/>
          <w:lang w:eastAsia="zh-CN"/>
        </w:rPr>
        <w:t>。</w:t>
      </w:r>
    </w:p>
    <w:p w14:paraId="40711131">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eastAsia="zh-CN"/>
        </w:rPr>
        <w:t>（</w:t>
      </w:r>
      <w:r>
        <w:rPr>
          <w:rFonts w:hint="eastAsia" w:ascii="Times New Roman" w:hAnsi="Times New Roman" w:eastAsia="方正楷体_GBK"/>
          <w:sz w:val="32"/>
          <w:highlight w:val="none"/>
          <w:lang w:val="en-US" w:eastAsia="zh-CN"/>
        </w:rPr>
        <w:t>三</w:t>
      </w:r>
      <w:r>
        <w:rPr>
          <w:rFonts w:hint="eastAsia" w:ascii="Times New Roman" w:hAnsi="Times New Roman" w:eastAsia="方正楷体_GBK"/>
          <w:sz w:val="32"/>
          <w:highlight w:val="none"/>
          <w:lang w:eastAsia="zh-CN"/>
        </w:rPr>
        <w:t>）</w:t>
      </w:r>
      <w:r>
        <w:rPr>
          <w:rFonts w:ascii="Times New Roman" w:hAnsi="Times New Roman" w:eastAsia="方正楷体_GBK"/>
          <w:sz w:val="32"/>
          <w:highlight w:val="none"/>
        </w:rPr>
        <w:t>建设全龄友好城市</w:t>
      </w:r>
    </w:p>
    <w:p w14:paraId="6A17BD4E">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rPr>
        <w:t>建设青年</w:t>
      </w:r>
      <w:r>
        <w:rPr>
          <w:rFonts w:hint="eastAsia" w:ascii="方正楷体_GBK" w:hAnsi="方正楷体_GBK" w:eastAsia="方正楷体_GBK" w:cs="方正楷体_GBK"/>
          <w:sz w:val="32"/>
          <w:highlight w:val="none"/>
          <w:lang w:val="en-US" w:eastAsia="zh-CN"/>
        </w:rPr>
        <w:t>发展</w:t>
      </w:r>
      <w:r>
        <w:rPr>
          <w:rFonts w:hint="eastAsia" w:ascii="方正楷体_GBK" w:hAnsi="方正楷体_GBK" w:eastAsia="方正楷体_GBK" w:cs="方正楷体_GBK"/>
          <w:sz w:val="32"/>
          <w:highlight w:val="none"/>
        </w:rPr>
        <w:t>型城市</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val="en-US" w:eastAsia="zh-CN"/>
        </w:rPr>
        <w:t>聚焦</w:t>
      </w:r>
      <w:r>
        <w:rPr>
          <w:rFonts w:ascii="Times New Roman" w:hAnsi="Times New Roman" w:eastAsia="方正仿宋_GBK"/>
          <w:sz w:val="32"/>
          <w:highlight w:val="none"/>
        </w:rPr>
        <w:t>青年及子女入学、就业、住房、婚育等需求，优化服务供给，打造青年发展型街区，配套创业孵化</w:t>
      </w:r>
      <w:r>
        <w:rPr>
          <w:rFonts w:hint="eastAsia" w:ascii="Times New Roman" w:hAnsi="Times New Roman" w:eastAsia="方正仿宋_GBK"/>
          <w:sz w:val="32"/>
          <w:highlight w:val="none"/>
          <w:lang w:val="en-US" w:eastAsia="zh-CN"/>
        </w:rPr>
        <w:t>与</w:t>
      </w:r>
      <w:r>
        <w:rPr>
          <w:rFonts w:ascii="Times New Roman" w:hAnsi="Times New Roman" w:eastAsia="方正仿宋_GBK"/>
          <w:sz w:val="32"/>
          <w:highlight w:val="none"/>
        </w:rPr>
        <w:t>技能培训平台</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促进高校毕业生留铜来铜就业创业</w:t>
      </w:r>
      <w:r>
        <w:rPr>
          <w:rFonts w:hint="eastAsia" w:ascii="Times New Roman" w:hAnsi="Times New Roman" w:eastAsia="方正仿宋_GBK"/>
          <w:sz w:val="32"/>
          <w:highlight w:val="none"/>
          <w:lang w:eastAsia="zh-CN"/>
        </w:rPr>
        <w:t>。</w:t>
      </w:r>
      <w:r>
        <w:rPr>
          <w:rFonts w:hint="eastAsia" w:ascii="方正楷体_GBK" w:hAnsi="方正楷体_GBK" w:eastAsia="方正楷体_GBK" w:cs="方正楷体_GBK"/>
          <w:sz w:val="32"/>
          <w:highlight w:val="none"/>
        </w:rPr>
        <w:t>建设</w:t>
      </w:r>
      <w:r>
        <w:rPr>
          <w:rFonts w:hint="eastAsia" w:ascii="方正楷体_GBK" w:hAnsi="方正楷体_GBK" w:eastAsia="方正楷体_GBK" w:cs="方正楷体_GBK"/>
          <w:sz w:val="32"/>
          <w:highlight w:val="none"/>
          <w:lang w:val="en-US" w:eastAsia="zh-CN"/>
        </w:rPr>
        <w:t>老年</w:t>
      </w:r>
      <w:r>
        <w:rPr>
          <w:rFonts w:hint="eastAsia" w:ascii="方正楷体_GBK" w:hAnsi="方正楷体_GBK" w:eastAsia="方正楷体_GBK" w:cs="方正楷体_GBK"/>
          <w:sz w:val="32"/>
          <w:highlight w:val="none"/>
        </w:rPr>
        <w:t>友好型城市</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推行</w:t>
      </w:r>
      <w:r>
        <w:rPr>
          <w:rFonts w:hint="eastAsia" w:ascii="Times New Roman" w:hAnsi="Times New Roman" w:eastAsia="方正仿宋_GBK"/>
          <w:sz w:val="32"/>
          <w:highlight w:val="none"/>
          <w:lang w:eastAsia="zh-CN"/>
        </w:rPr>
        <w:t>“政府+社会+市场”</w:t>
      </w:r>
      <w:r>
        <w:rPr>
          <w:rFonts w:ascii="Times New Roman" w:hAnsi="Times New Roman" w:eastAsia="方正仿宋_GBK"/>
          <w:sz w:val="32"/>
          <w:highlight w:val="none"/>
        </w:rPr>
        <w:t>养老服务模式，鼓励家政、物业</w:t>
      </w:r>
      <w:r>
        <w:rPr>
          <w:rFonts w:hint="eastAsia" w:ascii="Times New Roman" w:hAnsi="Times New Roman" w:eastAsia="方正仿宋_GBK"/>
          <w:sz w:val="32"/>
          <w:highlight w:val="none"/>
          <w:lang w:val="en-US" w:eastAsia="zh-CN"/>
        </w:rPr>
        <w:t>与</w:t>
      </w:r>
      <w:r>
        <w:rPr>
          <w:rFonts w:ascii="Times New Roman" w:hAnsi="Times New Roman" w:eastAsia="方正仿宋_GBK"/>
          <w:sz w:val="32"/>
          <w:highlight w:val="none"/>
        </w:rPr>
        <w:t>企业开发上门养老服务。加强公共</w:t>
      </w:r>
      <w:r>
        <w:rPr>
          <w:rFonts w:hint="eastAsia" w:ascii="Times New Roman" w:hAnsi="Times New Roman" w:eastAsia="方正仿宋_GBK"/>
          <w:sz w:val="32"/>
          <w:highlight w:val="none"/>
          <w:lang w:val="en-US" w:eastAsia="zh-CN"/>
        </w:rPr>
        <w:t>空间</w:t>
      </w:r>
      <w:r>
        <w:rPr>
          <w:rFonts w:ascii="Times New Roman" w:hAnsi="Times New Roman" w:eastAsia="方正仿宋_GBK"/>
          <w:sz w:val="32"/>
          <w:highlight w:val="none"/>
        </w:rPr>
        <w:t>无障碍</w:t>
      </w:r>
      <w:r>
        <w:rPr>
          <w:rFonts w:hint="eastAsia" w:ascii="Times New Roman" w:hAnsi="Times New Roman" w:eastAsia="方正仿宋_GBK"/>
          <w:sz w:val="32"/>
          <w:highlight w:val="none"/>
          <w:lang w:val="en-US" w:eastAsia="zh-CN"/>
        </w:rPr>
        <w:t>与</w:t>
      </w:r>
      <w:r>
        <w:rPr>
          <w:rFonts w:ascii="Times New Roman" w:hAnsi="Times New Roman" w:eastAsia="方正仿宋_GBK"/>
          <w:sz w:val="32"/>
          <w:highlight w:val="none"/>
        </w:rPr>
        <w:t>适老化改造</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推进社区养老</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老年教育</w:t>
      </w:r>
      <w:r>
        <w:rPr>
          <w:rFonts w:hint="eastAsia" w:ascii="Times New Roman" w:hAnsi="Times New Roman" w:eastAsia="方正仿宋_GBK"/>
          <w:sz w:val="32"/>
          <w:highlight w:val="none"/>
          <w:lang w:val="en-US" w:eastAsia="zh-CN"/>
        </w:rPr>
        <w:t>与</w:t>
      </w:r>
      <w:r>
        <w:rPr>
          <w:rFonts w:ascii="Times New Roman" w:hAnsi="Times New Roman" w:eastAsia="方正仿宋_GBK"/>
          <w:sz w:val="32"/>
          <w:highlight w:val="none"/>
        </w:rPr>
        <w:t>文化服务</w:t>
      </w:r>
      <w:r>
        <w:rPr>
          <w:rFonts w:hint="eastAsia" w:ascii="Times New Roman" w:hAnsi="Times New Roman" w:eastAsia="方正仿宋_GBK"/>
          <w:sz w:val="32"/>
          <w:highlight w:val="none"/>
          <w:lang w:val="en-US" w:eastAsia="zh-CN"/>
        </w:rPr>
        <w:t>等</w:t>
      </w:r>
      <w:r>
        <w:rPr>
          <w:rFonts w:ascii="Times New Roman" w:hAnsi="Times New Roman" w:eastAsia="方正仿宋_GBK"/>
          <w:sz w:val="32"/>
          <w:highlight w:val="none"/>
        </w:rPr>
        <w:t>设施建设。</w:t>
      </w:r>
      <w:r>
        <w:rPr>
          <w:rFonts w:hint="eastAsia" w:ascii="方正楷体_GBK" w:hAnsi="方正楷体_GBK" w:eastAsia="方正楷体_GBK" w:cs="方正楷体_GBK"/>
          <w:sz w:val="32"/>
          <w:highlight w:val="none"/>
        </w:rPr>
        <w:t>建设新就业群体友好场景</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推进新就业群体</w:t>
      </w:r>
      <w:r>
        <w:rPr>
          <w:rFonts w:hint="eastAsia" w:ascii="Times New Roman" w:hAnsi="Times New Roman" w:eastAsia="方正仿宋_GBK"/>
          <w:sz w:val="32"/>
          <w:highlight w:val="none"/>
          <w:lang w:eastAsia="zh-CN"/>
        </w:rPr>
        <w:t>“友好镇街”</w:t>
      </w:r>
      <w:r>
        <w:rPr>
          <w:rFonts w:ascii="Times New Roman" w:hAnsi="Times New Roman" w:eastAsia="方正仿宋_GBK"/>
          <w:sz w:val="32"/>
          <w:highlight w:val="none"/>
        </w:rPr>
        <w:t>建设，创新打造</w:t>
      </w:r>
      <w:r>
        <w:rPr>
          <w:rFonts w:hint="eastAsia" w:ascii="Times New Roman" w:hAnsi="Times New Roman" w:eastAsia="方正仿宋_GBK"/>
          <w:sz w:val="32"/>
          <w:highlight w:val="none"/>
          <w:lang w:eastAsia="zh-CN"/>
        </w:rPr>
        <w:t>“社区工坊”</w:t>
      </w:r>
      <w:r>
        <w:rPr>
          <w:rFonts w:ascii="Times New Roman" w:hAnsi="Times New Roman" w:eastAsia="方正仿宋_GBK"/>
          <w:sz w:val="32"/>
          <w:highlight w:val="none"/>
        </w:rPr>
        <w:t>等灵活就业载体。健全终身职业技能培训制度，</w:t>
      </w:r>
      <w:r>
        <w:rPr>
          <w:rFonts w:hint="eastAsia" w:ascii="Times New Roman" w:hAnsi="Times New Roman" w:eastAsia="方正仿宋_GBK"/>
          <w:sz w:val="32"/>
          <w:highlight w:val="none"/>
          <w:lang w:eastAsia="zh-CN"/>
        </w:rPr>
        <w:t>建设就业帮扶车间，重点培养直播电商、文化创意、智能制造等新职业人才，累计开展补贴性职业技能培训1.25万人次以上。</w:t>
      </w:r>
    </w:p>
    <w:p w14:paraId="194136AE">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eastAsia="zh-CN"/>
        </w:rPr>
        <w:t>（</w:t>
      </w:r>
      <w:r>
        <w:rPr>
          <w:rFonts w:hint="eastAsia" w:ascii="Times New Roman" w:hAnsi="Times New Roman" w:eastAsia="方正楷体_GBK"/>
          <w:sz w:val="32"/>
          <w:highlight w:val="none"/>
          <w:lang w:val="en-US" w:eastAsia="zh-CN"/>
        </w:rPr>
        <w:t>四</w:t>
      </w:r>
      <w:r>
        <w:rPr>
          <w:rFonts w:hint="eastAsia" w:ascii="Times New Roman" w:hAnsi="Times New Roman" w:eastAsia="方正楷体_GBK"/>
          <w:sz w:val="32"/>
          <w:highlight w:val="none"/>
          <w:lang w:eastAsia="zh-CN"/>
        </w:rPr>
        <w:t>）</w:t>
      </w:r>
      <w:r>
        <w:rPr>
          <w:rFonts w:ascii="Times New Roman" w:hAnsi="Times New Roman" w:eastAsia="方正楷体_GBK"/>
          <w:sz w:val="32"/>
          <w:highlight w:val="none"/>
        </w:rPr>
        <w:t>深化</w:t>
      </w:r>
      <w:r>
        <w:rPr>
          <w:rFonts w:hint="eastAsia" w:ascii="Times New Roman" w:hAnsi="Times New Roman" w:eastAsia="方正楷体_GBK"/>
          <w:sz w:val="32"/>
          <w:highlight w:val="none"/>
          <w:lang w:val="en-US" w:eastAsia="zh-CN"/>
        </w:rPr>
        <w:t>城市交通</w:t>
      </w:r>
      <w:r>
        <w:rPr>
          <w:rFonts w:ascii="Times New Roman" w:hAnsi="Times New Roman" w:eastAsia="方正楷体_GBK"/>
          <w:sz w:val="32"/>
          <w:highlight w:val="none"/>
        </w:rPr>
        <w:t>综合治理</w:t>
      </w:r>
    </w:p>
    <w:p w14:paraId="04E8492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rPr>
        <w:t>推进交通缓堵促畅治理</w:t>
      </w:r>
      <w:r>
        <w:rPr>
          <w:rFonts w:hint="eastAsia" w:ascii="Times New Roman" w:hAnsi="Times New Roman" w:eastAsia="方正仿宋_GBK"/>
          <w:sz w:val="32"/>
          <w:highlight w:val="none"/>
          <w:lang w:val="en-US" w:eastAsia="zh-CN"/>
        </w:rPr>
        <w:t>。健全城市管理、规划、住建、公安、交通等部门常态化协作机制，推动交通治理向主动预警、精准处置转型。打通未畅通次支道路，推进立体过街设施建设，优化龙城天街等重点商圈交通组织与停车引导。强化非机动车管理，</w:t>
      </w:r>
      <w:r>
        <w:rPr>
          <w:rFonts w:ascii="Times New Roman" w:hAnsi="Times New Roman" w:eastAsia="方正仿宋_GBK"/>
          <w:sz w:val="32"/>
          <w:highlight w:val="none"/>
        </w:rPr>
        <w:t>提高公交覆盖率</w:t>
      </w:r>
      <w:r>
        <w:rPr>
          <w:rFonts w:hint="eastAsia" w:ascii="Times New Roman" w:hAnsi="Times New Roman" w:eastAsia="方正仿宋_GBK"/>
          <w:sz w:val="32"/>
          <w:highlight w:val="none"/>
          <w:lang w:val="en-US" w:eastAsia="zh-CN"/>
        </w:rPr>
        <w:t>与非机动车道设置率。</w:t>
      </w:r>
      <w:r>
        <w:rPr>
          <w:rFonts w:hint="eastAsia" w:ascii="方正楷体_GBK" w:hAnsi="方正楷体_GBK" w:eastAsia="方正楷体_GBK" w:cs="方正楷体_GBK"/>
          <w:sz w:val="32"/>
          <w:highlight w:val="none"/>
          <w:lang w:val="en-US" w:eastAsia="zh-CN"/>
        </w:rPr>
        <w:t>加强</w:t>
      </w:r>
      <w:r>
        <w:rPr>
          <w:rFonts w:hint="eastAsia" w:ascii="方正楷体_GBK" w:hAnsi="方正楷体_GBK" w:eastAsia="方正楷体_GBK" w:cs="方正楷体_GBK"/>
          <w:sz w:val="32"/>
          <w:highlight w:val="none"/>
        </w:rPr>
        <w:t>停车综合治理</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提升违停抓拍覆盖率</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排查整治</w:t>
      </w:r>
      <w:r>
        <w:rPr>
          <w:rFonts w:hint="eastAsia" w:ascii="Times New Roman" w:hAnsi="Times New Roman" w:eastAsia="方正仿宋_GBK"/>
          <w:sz w:val="32"/>
          <w:highlight w:val="none"/>
          <w:lang w:eastAsia="zh-CN"/>
        </w:rPr>
        <w:t>“僵尸车”</w:t>
      </w:r>
      <w:r>
        <w:rPr>
          <w:rFonts w:hint="eastAsia" w:ascii="Times New Roman" w:hAnsi="Times New Roman" w:eastAsia="方正仿宋_GBK"/>
          <w:sz w:val="32"/>
          <w:highlight w:val="none"/>
          <w:lang w:val="en-US" w:eastAsia="zh-CN"/>
        </w:rPr>
        <w:t>与违停非机动车</w:t>
      </w:r>
      <w:r>
        <w:rPr>
          <w:rFonts w:ascii="Times New Roman" w:hAnsi="Times New Roman" w:eastAsia="方正仿宋_GBK"/>
          <w:sz w:val="32"/>
          <w:highlight w:val="none"/>
        </w:rPr>
        <w:t>。建立信息管理平台，</w:t>
      </w:r>
      <w:r>
        <w:rPr>
          <w:rFonts w:hint="eastAsia" w:ascii="Times New Roman" w:hAnsi="Times New Roman" w:eastAsia="方正仿宋_GBK"/>
          <w:sz w:val="32"/>
          <w:highlight w:val="none"/>
          <w:lang w:val="en-US" w:eastAsia="zh-CN"/>
        </w:rPr>
        <w:t>促进</w:t>
      </w:r>
      <w:r>
        <w:rPr>
          <w:rFonts w:ascii="Times New Roman" w:hAnsi="Times New Roman" w:eastAsia="方正仿宋_GBK"/>
          <w:sz w:val="32"/>
          <w:highlight w:val="none"/>
        </w:rPr>
        <w:t>企业、商圈、小区等停车管理信息共享。挖掘</w:t>
      </w:r>
      <w:r>
        <w:rPr>
          <w:rFonts w:hint="eastAsia" w:ascii="Times New Roman" w:hAnsi="Times New Roman" w:eastAsia="方正仿宋_GBK"/>
          <w:sz w:val="32"/>
          <w:highlight w:val="none"/>
          <w:lang w:eastAsia="zh-CN"/>
        </w:rPr>
        <w:t>“四老”</w:t>
      </w:r>
      <w:r>
        <w:rPr>
          <w:rFonts w:ascii="Times New Roman" w:hAnsi="Times New Roman" w:eastAsia="方正仿宋_GBK"/>
          <w:sz w:val="32"/>
          <w:highlight w:val="none"/>
        </w:rPr>
        <w:t>区域闲置地块资源，建设小微停车场和错时停车泊位</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承接贯通</w:t>
      </w:r>
      <w:r>
        <w:rPr>
          <w:rFonts w:hint="eastAsia" w:ascii="Times New Roman" w:hAnsi="Times New Roman" w:eastAsia="方正仿宋_GBK"/>
          <w:sz w:val="32"/>
          <w:highlight w:val="none"/>
          <w:lang w:eastAsia="zh-CN"/>
        </w:rPr>
        <w:t>“渝畅停”</w:t>
      </w:r>
      <w:r>
        <w:rPr>
          <w:rFonts w:ascii="Times New Roman" w:hAnsi="Times New Roman" w:eastAsia="方正仿宋_GBK"/>
          <w:sz w:val="32"/>
          <w:highlight w:val="none"/>
        </w:rPr>
        <w:t>应用，</w:t>
      </w:r>
      <w:r>
        <w:rPr>
          <w:rFonts w:hint="default" w:ascii="Times New Roman" w:hAnsi="Times New Roman" w:eastAsia="方正仿宋_GBK"/>
          <w:sz w:val="32"/>
          <w:highlight w:val="none"/>
          <w:lang w:val="en-US" w:eastAsia="zh-CN"/>
        </w:rPr>
        <w:t>确保城区公共停车场和路内停车点数据联网接入率达70%</w:t>
      </w:r>
      <w:r>
        <w:rPr>
          <w:rFonts w:hint="eastAsia" w:ascii="Times New Roman" w:hAnsi="Times New Roman" w:eastAsia="方正仿宋_GBK"/>
          <w:sz w:val="32"/>
          <w:highlight w:val="none"/>
          <w:lang w:val="en-US" w:eastAsia="zh-CN"/>
        </w:rPr>
        <w:t>。</w:t>
      </w:r>
      <w:r>
        <w:rPr>
          <w:rFonts w:hint="eastAsia" w:ascii="方正楷体_GBK" w:hAnsi="方正楷体_GBK" w:eastAsia="方正楷体_GBK" w:cs="方正楷体_GBK"/>
          <w:sz w:val="32"/>
          <w:highlight w:val="none"/>
        </w:rPr>
        <w:t>强化慢行体系设施建设</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val="en-US" w:eastAsia="zh-CN"/>
        </w:rPr>
        <w:t>构建公交旅游特色环线与城区“轨道</w:t>
      </w:r>
      <w:r>
        <w:rPr>
          <w:rFonts w:hint="eastAsia" w:ascii="Times New Roman" w:hAnsi="Times New Roman" w:eastAsia="方正仿宋_GBK"/>
          <w:sz w:val="32"/>
          <w:highlight w:val="none"/>
          <w:lang w:eastAsia="zh-CN"/>
        </w:rPr>
        <w:t>+公交+慢行”</w:t>
      </w:r>
      <w:r>
        <w:rPr>
          <w:rFonts w:ascii="Times New Roman" w:hAnsi="Times New Roman" w:eastAsia="方正仿宋_GBK"/>
          <w:sz w:val="32"/>
          <w:highlight w:val="none"/>
        </w:rPr>
        <w:t>通勤体系，</w:t>
      </w:r>
      <w:r>
        <w:rPr>
          <w:rFonts w:hint="eastAsia" w:ascii="Times New Roman" w:hAnsi="Times New Roman" w:eastAsia="方正仿宋_GBK"/>
          <w:sz w:val="32"/>
          <w:highlight w:val="none"/>
          <w:lang w:val="en-US" w:eastAsia="zh-CN"/>
        </w:rPr>
        <w:t>加强高新区等产业园区通勤保障。建设滨江绿道与城区慢行系统，</w:t>
      </w:r>
      <w:r>
        <w:rPr>
          <w:rFonts w:hint="eastAsia" w:ascii="Times New Roman" w:hAnsi="Times New Roman" w:eastAsia="方正仿宋_GBK"/>
          <w:sz w:val="32"/>
          <w:highlight w:val="none"/>
        </w:rPr>
        <w:t>引导公众绿色</w:t>
      </w:r>
      <w:r>
        <w:rPr>
          <w:rFonts w:hint="eastAsia" w:ascii="Times New Roman" w:hAnsi="Times New Roman" w:eastAsia="方正仿宋_GBK"/>
          <w:sz w:val="32"/>
          <w:highlight w:val="none"/>
          <w:lang w:val="en-US" w:eastAsia="zh-CN"/>
        </w:rPr>
        <w:t>低碳</w:t>
      </w:r>
      <w:r>
        <w:rPr>
          <w:rFonts w:hint="eastAsia" w:ascii="Times New Roman" w:hAnsi="Times New Roman" w:eastAsia="方正仿宋_GBK"/>
          <w:sz w:val="32"/>
          <w:highlight w:val="none"/>
        </w:rPr>
        <w:t>出行</w:t>
      </w:r>
      <w:r>
        <w:rPr>
          <w:rFonts w:hint="eastAsia" w:ascii="Times New Roman" w:hAnsi="Times New Roman" w:eastAsia="方正仿宋_GBK"/>
          <w:sz w:val="32"/>
          <w:highlight w:val="none"/>
          <w:lang w:val="en-US" w:eastAsia="zh-CN"/>
        </w:rPr>
        <w:t>。</w:t>
      </w:r>
    </w:p>
    <w:tbl>
      <w:tblPr>
        <w:tblStyle w:val="11"/>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14:paraId="6928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nil"/>
              <w:left w:val="nil"/>
              <w:bottom w:val="single" w:color="auto" w:sz="4" w:space="0"/>
              <w:right w:val="nil"/>
            </w:tcBorders>
            <w:vAlign w:val="top"/>
          </w:tcPr>
          <w:p w14:paraId="1E0B2C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4" w:lineRule="exact"/>
              <w:ind w:left="0" w:leftChars="0" w:right="0" w:firstLine="0" w:firstLineChars="0"/>
              <w:jc w:val="center"/>
              <w:textAlignment w:val="auto"/>
              <w:rPr>
                <w:rFonts w:hint="default" w:ascii="Times New Roman" w:hAnsi="Times New Roman"/>
                <w:b w:val="0"/>
                <w:bCs w:val="0"/>
                <w:color w:val="000000" w:themeColor="text1"/>
                <w:szCs w:val="32"/>
                <w:highlight w:val="none"/>
                <w:u w:val="none" w:color="auto"/>
                <w:vertAlign w:val="baseli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专栏</w:t>
            </w:r>
            <w:r>
              <w:rPr>
                <w:rFonts w:hint="eastAsia"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4</w:t>
            </w:r>
            <w:r>
              <w:rPr>
                <w:rFonts w:hint="eastAsia" w:eastAsia="方正黑体_GBK" w:cs="Times New Roman" w:asciiTheme="minorHAnsi" w:hAnsiTheme="minorHAnsi"/>
                <w:b w:val="0"/>
                <w:bCs w:val="0"/>
                <w:color w:val="000000" w:themeColor="text1"/>
                <w:sz w:val="32"/>
                <w:szCs w:val="32"/>
                <w:highlight w:val="none"/>
                <w:u w:val="none" w:color="auto"/>
                <w:vertAlign w:val="baseline"/>
                <w:lang w:val="en-US" w:eastAsia="zh-CN" w:bidi="ar-SA"/>
                <w14:textFill>
                  <w14:solidFill>
                    <w14:schemeClr w14:val="tx1"/>
                  </w14:solidFill>
                </w14:textFill>
              </w:rPr>
              <w:t xml:space="preserve"> </w:t>
            </w:r>
            <w:r>
              <w:rPr>
                <w:rFonts w:hint="default"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品质宜居</w:t>
            </w:r>
            <w:r>
              <w:rPr>
                <w:rFonts w:hint="default"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重点</w:t>
            </w:r>
            <w:r>
              <w:rPr>
                <w:rFonts w:hint="eastAsia"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方向</w:t>
            </w:r>
          </w:p>
        </w:tc>
      </w:tr>
      <w:tr w14:paraId="553B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single" w:color="auto" w:sz="4" w:space="0"/>
            </w:tcBorders>
            <w:vAlign w:val="top"/>
          </w:tcPr>
          <w:p w14:paraId="4F38F2E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highlight w:val="none"/>
                <w:u w:val="none" w:color="auto"/>
                <w:vertAlign w:val="baseline"/>
                <w:lang w:val="en-US" w:eastAsia="zh-CN"/>
                <w14:textFill>
                  <w14:solidFill>
                    <w14:schemeClr w14:val="tx1"/>
                  </w14:solidFill>
                </w14:textFill>
              </w:rPr>
              <w:t>1.</w:t>
            </w:r>
            <w:r>
              <w:rPr>
                <w:rFonts w:hint="eastAsia" w:ascii="Times New Roman" w:hAnsi="Times New Roman" w:eastAsia="方正黑体_GBK" w:cs="方正黑体_GBK"/>
                <w:b w:val="0"/>
                <w:bCs w:val="0"/>
                <w:color w:val="000000" w:themeColor="text1"/>
                <w:sz w:val="24"/>
                <w:szCs w:val="24"/>
                <w:highlight w:val="none"/>
                <w:u w:val="none" w:color="auto"/>
                <w:vertAlign w:val="baseline"/>
                <w:lang w:val="en-US" w:eastAsia="zh-CN" w:bidi="ar"/>
                <w14:textFill>
                  <w14:solidFill>
                    <w14:schemeClr w14:val="tx1"/>
                  </w14:solidFill>
                </w14:textFill>
              </w:rPr>
              <w:t>城市更新。</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推进</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老旧小区改造</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、现代社区建设与</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城中村改造。</w:t>
            </w:r>
          </w:p>
          <w:p w14:paraId="3CA9908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4"/>
                <w:szCs w:val="24"/>
                <w:highlight w:val="none"/>
                <w:u w:val="none" w:color="auto"/>
                <w:vertAlign w:val="baseline"/>
                <w:lang w:val="en-US" w:eastAsia="zh-CN"/>
                <w14:textFill>
                  <w14:solidFill>
                    <w14:schemeClr w14:val="tx1"/>
                  </w14:solidFill>
                </w14:textFill>
              </w:rPr>
              <w:t>2</w:t>
            </w:r>
            <w:r>
              <w:rPr>
                <w:rFonts w:hint="default" w:ascii="Times New Roman" w:hAnsi="Times New Roman" w:cs="Times New Roman"/>
                <w:b w:val="0"/>
                <w:bCs w:val="0"/>
                <w:color w:val="000000" w:themeColor="text1"/>
                <w:sz w:val="24"/>
                <w:szCs w:val="24"/>
                <w:highlight w:val="none"/>
                <w:u w:val="none" w:color="auto"/>
                <w:vertAlign w:val="baseline"/>
                <w:lang w:val="en-US" w:eastAsia="zh-CN"/>
                <w14:textFill>
                  <w14:solidFill>
                    <w14:schemeClr w14:val="tx1"/>
                  </w14:solidFill>
                </w14:textFill>
              </w:rPr>
              <w:t>.</w:t>
            </w:r>
            <w:r>
              <w:rPr>
                <w:rFonts w:hint="eastAsia" w:ascii="Times New Roman" w:hAnsi="Times New Roman" w:eastAsia="方正黑体_GBK" w:cs="方正黑体_GBK"/>
                <w:b w:val="0"/>
                <w:bCs w:val="0"/>
                <w:color w:val="000000" w:themeColor="text1"/>
                <w:sz w:val="24"/>
                <w:szCs w:val="24"/>
                <w:highlight w:val="none"/>
                <w:u w:val="none" w:color="auto"/>
                <w:vertAlign w:val="baseline"/>
                <w:lang w:val="en-US" w:eastAsia="zh-CN" w:bidi="ar"/>
                <w14:textFill>
                  <w14:solidFill>
                    <w14:schemeClr w14:val="tx1"/>
                  </w14:solidFill>
                </w14:textFill>
              </w:rPr>
              <w:t>全龄友好城市建设。</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完成公园（广场）</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适儿化适老化改造5个</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w:t>
            </w:r>
          </w:p>
          <w:p w14:paraId="5E8C19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textAlignment w:val="auto"/>
              <w:rPr>
                <w:rFonts w:hint="default" w:ascii="Times New Roman" w:hAnsi="Times New Roman"/>
                <w:b w:val="0"/>
                <w:bCs w:val="0"/>
                <w:color w:val="000000" w:themeColor="text1"/>
                <w:sz w:val="24"/>
                <w:szCs w:val="20"/>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3.</w:t>
            </w:r>
            <w:r>
              <w:rPr>
                <w:rFonts w:hint="eastAsia"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城市交通治理</w:t>
            </w:r>
            <w:r>
              <w:rPr>
                <w:rFonts w:hint="eastAsia" w:ascii="Times New Roman" w:hAnsi="Times New Roman"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针对通勤、通学、就医、旅游等需求，开行以小巷公交、定制公交、通勤公交、赶场公交等为辅助的公交线网。增加</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小微停车场10个</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，增加停车位500个。试点重点片区非机动车道系统成网。</w:t>
            </w:r>
          </w:p>
        </w:tc>
      </w:tr>
    </w:tbl>
    <w:p w14:paraId="2B7BDC88">
      <w:pPr>
        <w:keepNext w:val="0"/>
        <w:keepLines w:val="0"/>
        <w:pageBreakBefore w:val="0"/>
        <w:widowControl w:val="0"/>
        <w:kinsoku/>
        <w:wordWrap/>
        <w:overflowPunct/>
        <w:topLinePunct w:val="0"/>
        <w:autoSpaceDE/>
        <w:autoSpaceDN/>
        <w:bidi w:val="0"/>
        <w:adjustRightInd/>
        <w:snapToGrid/>
        <w:spacing w:after="0" w:line="600" w:lineRule="exact"/>
        <w:ind w:right="0" w:rightChars="0" w:firstLine="640" w:firstLineChars="200"/>
        <w:jc w:val="both"/>
        <w:textAlignment w:val="auto"/>
        <w:outlineLvl w:val="0"/>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六、筑牢安全可靠的韧性之城</w:t>
      </w:r>
    </w:p>
    <w:p w14:paraId="3917892B">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szCs w:val="32"/>
          <w:highlight w:val="none"/>
          <w:lang w:eastAsia="zh-CN"/>
        </w:rPr>
      </w:pPr>
      <w:r>
        <w:rPr>
          <w:rFonts w:hint="eastAsia" w:ascii="Times New Roman" w:hAnsi="Times New Roman" w:eastAsia="方正楷体_GBK"/>
          <w:sz w:val="32"/>
          <w:szCs w:val="32"/>
          <w:highlight w:val="none"/>
          <w:lang w:val="en-US" w:eastAsia="zh-CN"/>
        </w:rPr>
        <w:t>（一）</w:t>
      </w:r>
      <w:r>
        <w:rPr>
          <w:rFonts w:ascii="Times New Roman" w:hAnsi="Times New Roman" w:eastAsia="方正楷体_GBK"/>
          <w:sz w:val="32"/>
          <w:szCs w:val="32"/>
          <w:highlight w:val="none"/>
        </w:rPr>
        <w:t>健全风险防控体系</w:t>
      </w:r>
      <w:r>
        <w:rPr>
          <w:rFonts w:hint="eastAsia" w:ascii="Times New Roman" w:hAnsi="Times New Roman" w:eastAsia="方正楷体_GBK"/>
          <w:sz w:val="32"/>
          <w:szCs w:val="32"/>
          <w:highlight w:val="none"/>
          <w:lang w:eastAsia="zh-CN"/>
        </w:rPr>
        <w:t>。</w:t>
      </w:r>
    </w:p>
    <w:p w14:paraId="3135806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default"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lang w:eastAsia="zh-CN"/>
        </w:rPr>
        <w:t>推进安全生产双重预防机制建设。</w:t>
      </w:r>
      <w:r>
        <w:rPr>
          <w:rFonts w:hint="eastAsia" w:ascii="Times New Roman" w:hAnsi="Times New Roman" w:eastAsia="方正仿宋_GBK"/>
          <w:sz w:val="32"/>
          <w:highlight w:val="none"/>
          <w:lang w:val="en-US" w:eastAsia="zh-CN"/>
        </w:rPr>
        <w:t>构建全域风险防控体系，开展城市风险普查与动态评估，强化矿山、施工、交通、燃气等领域安全生产“一件事”全链条专项整治，确保重特大事故“零发生”。</w:t>
      </w:r>
      <w:r>
        <w:rPr>
          <w:rFonts w:hint="eastAsia" w:ascii="方正楷体_GBK" w:hAnsi="方正楷体_GBK" w:eastAsia="方正楷体_GBK" w:cs="方正楷体_GBK"/>
          <w:sz w:val="32"/>
          <w:highlight w:val="none"/>
          <w:lang w:val="en-US" w:eastAsia="zh-CN"/>
        </w:rPr>
        <w:t>加强</w:t>
      </w:r>
      <w:r>
        <w:rPr>
          <w:rFonts w:hint="eastAsia" w:ascii="方正楷体_GBK" w:hAnsi="方正楷体_GBK" w:eastAsia="方正楷体_GBK" w:cs="方正楷体_GBK"/>
          <w:sz w:val="32"/>
          <w:highlight w:val="none"/>
        </w:rPr>
        <w:t>重大危险源监测</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val="en-US" w:eastAsia="zh-CN"/>
        </w:rPr>
        <w:t>推进高风险企业安全生产感知网络建设，严格监管地质灾害隐患点、危化品、燃气管道等危险源，落实安全设施“三同时”制度，对重大危险源实行挂牌管控、动态清零。</w:t>
      </w:r>
      <w:r>
        <w:rPr>
          <w:rFonts w:hint="eastAsia" w:ascii="方正楷体_GBK" w:hAnsi="方正楷体_GBK" w:eastAsia="方正楷体_GBK" w:cs="方正楷体_GBK"/>
          <w:sz w:val="32"/>
          <w:highlight w:val="none"/>
        </w:rPr>
        <w:t>强化风险智能监测预警</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val="en-US" w:eastAsia="zh-CN"/>
        </w:rPr>
        <w:t>构建区级智能风险评估模型，依托“数智气象”平台建设城市内涝等防灾减灾综合应用场景，建成城区自然灾害监测预警工程，完善预警信息快速发布链路建设，提升城市极端天气预警与灾害识别能力。自然灾害综合风险隐患整治率不低于95%。地质灾害隐患点专业监测覆盖率不低于90%。</w:t>
      </w:r>
    </w:p>
    <w:p w14:paraId="2A6296CD">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szCs w:val="32"/>
          <w:highlight w:val="none"/>
          <w:lang w:val="en-US" w:eastAsia="zh-CN"/>
        </w:rPr>
      </w:pPr>
      <w:r>
        <w:rPr>
          <w:rFonts w:hint="eastAsia" w:ascii="Times New Roman" w:hAnsi="Times New Roman" w:eastAsia="方正楷体_GBK"/>
          <w:sz w:val="32"/>
          <w:szCs w:val="32"/>
          <w:highlight w:val="none"/>
          <w:lang w:val="en-US" w:eastAsia="zh-CN"/>
        </w:rPr>
        <w:t>（二）</w:t>
      </w:r>
      <w:r>
        <w:rPr>
          <w:rFonts w:ascii="Times New Roman" w:hAnsi="Times New Roman" w:eastAsia="方正楷体_GBK"/>
          <w:sz w:val="32"/>
          <w:szCs w:val="32"/>
          <w:highlight w:val="none"/>
        </w:rPr>
        <w:t>强化基础设施保障</w:t>
      </w:r>
    </w:p>
    <w:p w14:paraId="47FB1B0D">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ascii="Times New Roman" w:hAnsi="Times New Roman" w:eastAsia="方正仿宋_GBK"/>
          <w:sz w:val="32"/>
          <w:highlight w:val="none"/>
        </w:rPr>
      </w:pPr>
      <w:r>
        <w:rPr>
          <w:rFonts w:hint="eastAsia" w:ascii="方正楷体_GBK" w:hAnsi="方正楷体_GBK" w:eastAsia="方正楷体_GBK" w:cs="方正楷体_GBK"/>
          <w:sz w:val="32"/>
          <w:highlight w:val="none"/>
        </w:rPr>
        <w:t>提高城市水安全保障水平</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rPr>
        <w:t>加强城乡供水水源、水厂、管网</w:t>
      </w:r>
      <w:r>
        <w:rPr>
          <w:rFonts w:hint="eastAsia" w:ascii="Times New Roman" w:hAnsi="Times New Roman" w:eastAsia="方正仿宋_GBK"/>
          <w:sz w:val="32"/>
          <w:highlight w:val="none"/>
          <w:lang w:eastAsia="zh-CN"/>
        </w:rPr>
        <w:t>互联互通</w:t>
      </w:r>
      <w:r>
        <w:rPr>
          <w:rFonts w:ascii="Times New Roman" w:hAnsi="Times New Roman" w:eastAsia="方正仿宋_GBK"/>
          <w:sz w:val="32"/>
          <w:highlight w:val="none"/>
        </w:rPr>
        <w:t>，新建改建城乡供水管网200公里</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实施河道综合治理</w:t>
      </w:r>
      <w:r>
        <w:rPr>
          <w:rFonts w:hint="eastAsia" w:ascii="Times New Roman" w:hAnsi="Times New Roman" w:eastAsia="方正仿宋_GBK"/>
          <w:sz w:val="32"/>
          <w:highlight w:val="none"/>
          <w:lang w:val="en-US" w:eastAsia="zh-CN"/>
        </w:rPr>
        <w:t>与</w:t>
      </w:r>
      <w:r>
        <w:rPr>
          <w:rFonts w:ascii="Times New Roman" w:hAnsi="Times New Roman" w:eastAsia="方正仿宋_GBK"/>
          <w:sz w:val="32"/>
          <w:highlight w:val="none"/>
        </w:rPr>
        <w:t>堤防建设</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系统治理城市内涝、中小河流洪水</w:t>
      </w:r>
      <w:r>
        <w:rPr>
          <w:rFonts w:hint="eastAsia" w:ascii="Times New Roman" w:hAnsi="Times New Roman" w:eastAsia="方正仿宋_GBK"/>
          <w:sz w:val="32"/>
          <w:highlight w:val="none"/>
          <w:lang w:val="en-US" w:eastAsia="zh-CN"/>
        </w:rPr>
        <w:t>及</w:t>
      </w:r>
      <w:r>
        <w:rPr>
          <w:rFonts w:ascii="Times New Roman" w:hAnsi="Times New Roman" w:eastAsia="方正仿宋_GBK"/>
          <w:sz w:val="32"/>
          <w:highlight w:val="none"/>
        </w:rPr>
        <w:t>山洪灾害。</w:t>
      </w:r>
      <w:r>
        <w:rPr>
          <w:rFonts w:hint="eastAsia" w:ascii="方正楷体_GBK" w:hAnsi="方正楷体_GBK" w:eastAsia="方正楷体_GBK" w:cs="方正楷体_GBK"/>
          <w:sz w:val="32"/>
          <w:highlight w:val="none"/>
        </w:rPr>
        <w:t>推进生命线工程安全治理</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推进供电、供气、通信等系统多源供应和环状网络布局，实施供电设施智能化改造。更新改造城镇</w:t>
      </w:r>
      <w:r>
        <w:rPr>
          <w:rFonts w:hint="eastAsia" w:ascii="Times New Roman" w:hAnsi="Times New Roman" w:eastAsia="方正仿宋_GBK"/>
          <w:sz w:val="32"/>
          <w:highlight w:val="none"/>
          <w:lang w:val="en-US" w:eastAsia="zh-CN"/>
        </w:rPr>
        <w:t>建筑</w:t>
      </w:r>
      <w:r>
        <w:rPr>
          <w:rFonts w:ascii="Times New Roman" w:hAnsi="Times New Roman" w:eastAsia="方正仿宋_GBK"/>
          <w:sz w:val="32"/>
          <w:highlight w:val="none"/>
        </w:rPr>
        <w:t>燃气老旧管道</w:t>
      </w:r>
      <w:r>
        <w:rPr>
          <w:rFonts w:hint="eastAsia" w:ascii="Times New Roman" w:hAnsi="Times New Roman" w:eastAsia="方正仿宋_GBK"/>
          <w:sz w:val="32"/>
          <w:highlight w:val="none"/>
          <w:lang w:val="en-US" w:eastAsia="zh-CN"/>
        </w:rPr>
        <w:t>与</w:t>
      </w:r>
      <w:r>
        <w:rPr>
          <w:rFonts w:ascii="Times New Roman" w:hAnsi="Times New Roman" w:eastAsia="方正仿宋_GBK"/>
          <w:sz w:val="32"/>
          <w:highlight w:val="none"/>
        </w:rPr>
        <w:t>调压设施</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推进地下综合管廊建设，增强城市</w:t>
      </w:r>
      <w:r>
        <w:rPr>
          <w:rFonts w:hint="eastAsia" w:ascii="Times New Roman" w:hAnsi="Times New Roman" w:eastAsia="方正仿宋_GBK"/>
          <w:sz w:val="32"/>
          <w:highlight w:val="none"/>
          <w:lang w:eastAsia="zh-CN"/>
        </w:rPr>
        <w:t>“生命线”</w:t>
      </w:r>
      <w:r>
        <w:rPr>
          <w:rFonts w:ascii="Times New Roman" w:hAnsi="Times New Roman" w:eastAsia="方正仿宋_GBK"/>
          <w:sz w:val="32"/>
          <w:highlight w:val="none"/>
        </w:rPr>
        <w:t>抗风险</w:t>
      </w:r>
      <w:r>
        <w:rPr>
          <w:rFonts w:hint="eastAsia" w:ascii="Times New Roman" w:hAnsi="Times New Roman" w:eastAsia="方正仿宋_GBK"/>
          <w:sz w:val="32"/>
          <w:highlight w:val="none"/>
          <w:lang w:val="en-US" w:eastAsia="zh-CN"/>
        </w:rPr>
        <w:t>能力</w:t>
      </w:r>
      <w:r>
        <w:rPr>
          <w:rFonts w:ascii="Times New Roman" w:hAnsi="Times New Roman" w:eastAsia="方正仿宋_GBK"/>
          <w:sz w:val="32"/>
          <w:highlight w:val="none"/>
        </w:rPr>
        <w:t>。</w:t>
      </w:r>
      <w:r>
        <w:rPr>
          <w:rFonts w:hint="eastAsia" w:ascii="方正楷体_GBK" w:hAnsi="方正楷体_GBK" w:eastAsia="方正楷体_GBK" w:cs="方正楷体_GBK"/>
          <w:sz w:val="32"/>
          <w:highlight w:val="none"/>
        </w:rPr>
        <w:t>强化道桥隧设施全周期管护</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val="en-US" w:eastAsia="zh-CN"/>
        </w:rPr>
        <w:t>健</w:t>
      </w:r>
      <w:r>
        <w:rPr>
          <w:rFonts w:ascii="Times New Roman" w:hAnsi="Times New Roman" w:eastAsia="方正仿宋_GBK"/>
          <w:sz w:val="32"/>
          <w:highlight w:val="none"/>
        </w:rPr>
        <w:t>全城市道桥隧</w:t>
      </w:r>
      <w:r>
        <w:rPr>
          <w:rFonts w:hint="eastAsia" w:ascii="Times New Roman" w:hAnsi="Times New Roman" w:eastAsia="方正仿宋_GBK"/>
          <w:sz w:val="32"/>
          <w:highlight w:val="none"/>
          <w:lang w:eastAsia="zh-CN"/>
        </w:rPr>
        <w:t>“巡—检—养—维”</w:t>
      </w:r>
      <w:r>
        <w:rPr>
          <w:rFonts w:ascii="Times New Roman" w:hAnsi="Times New Roman" w:eastAsia="方正仿宋_GBK"/>
          <w:sz w:val="32"/>
          <w:highlight w:val="none"/>
        </w:rPr>
        <w:t>管理机制，常态化开展病害检测与隐患整治，</w:t>
      </w:r>
      <w:r>
        <w:rPr>
          <w:rFonts w:hint="eastAsia" w:ascii="Times New Roman" w:hAnsi="Times New Roman" w:eastAsia="方正仿宋_GBK"/>
          <w:sz w:val="32"/>
          <w:highlight w:val="none"/>
          <w:lang w:val="en-US" w:eastAsia="zh-CN"/>
        </w:rPr>
        <w:t>实施</w:t>
      </w:r>
      <w:r>
        <w:rPr>
          <w:rFonts w:ascii="Times New Roman" w:hAnsi="Times New Roman" w:eastAsia="方正仿宋_GBK"/>
          <w:sz w:val="32"/>
          <w:highlight w:val="none"/>
        </w:rPr>
        <w:t>重点桥梁、隧道实时变形监测，推动设施管护向主动预防转变</w:t>
      </w:r>
      <w:r>
        <w:rPr>
          <w:rFonts w:hint="eastAsia" w:ascii="Times New Roman" w:hAnsi="Times New Roman" w:eastAsia="方正仿宋_GBK"/>
          <w:sz w:val="32"/>
          <w:highlight w:val="none"/>
          <w:lang w:eastAsia="zh-CN"/>
        </w:rPr>
        <w:t>，</w:t>
      </w:r>
      <w:r>
        <w:rPr>
          <w:rFonts w:hint="default" w:ascii="Times New Roman" w:hAnsi="Times New Roman" w:eastAsia="方正仿宋_GBK" w:cs="Times New Roman"/>
          <w:b w:val="0"/>
          <w:bCs w:val="0"/>
          <w:strike w:val="0"/>
          <w:color w:val="000000" w:themeColor="text1"/>
          <w:spacing w:val="0"/>
          <w:kern w:val="0"/>
          <w:sz w:val="32"/>
          <w:szCs w:val="32"/>
          <w:highlight w:val="none"/>
          <w:u w:val="none" w:color="auto"/>
          <w:lang w:val="en-US" w:eastAsia="zh-CN" w:bidi="ar"/>
          <w14:textFill>
            <w14:solidFill>
              <w14:schemeClr w14:val="tx1"/>
            </w14:solidFill>
          </w14:textFill>
        </w:rPr>
        <w:t>城市桥梁等结构设施</w:t>
      </w:r>
      <w:r>
        <w:rPr>
          <w:rFonts w:hint="eastAsia" w:ascii="Times New Roman" w:hAnsi="Times New Roman" w:eastAsia="方正仿宋_GBK" w:cs="Times New Roman"/>
          <w:b w:val="0"/>
          <w:bCs w:val="0"/>
          <w:strike w:val="0"/>
          <w:color w:val="000000" w:themeColor="text1"/>
          <w:spacing w:val="0"/>
          <w:kern w:val="0"/>
          <w:sz w:val="32"/>
          <w:szCs w:val="32"/>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strike w:val="0"/>
          <w:color w:val="000000" w:themeColor="text1"/>
          <w:spacing w:val="0"/>
          <w:kern w:val="0"/>
          <w:sz w:val="32"/>
          <w:szCs w:val="32"/>
          <w:highlight w:val="none"/>
          <w:u w:val="none" w:color="auto"/>
          <w:lang w:val="en-US" w:eastAsia="zh-CN" w:bidi="ar"/>
          <w14:textFill>
            <w14:solidFill>
              <w14:schemeClr w14:val="tx1"/>
            </w14:solidFill>
          </w14:textFill>
        </w:rPr>
        <w:t>应检必检、有病必治率</w:t>
      </w:r>
      <w:r>
        <w:rPr>
          <w:rFonts w:hint="eastAsia" w:ascii="Times New Roman" w:hAnsi="Times New Roman" w:eastAsia="方正仿宋_GBK" w:cs="Times New Roman"/>
          <w:b w:val="0"/>
          <w:bCs w:val="0"/>
          <w:strike w:val="0"/>
          <w:color w:val="000000" w:themeColor="text1"/>
          <w:spacing w:val="0"/>
          <w:kern w:val="0"/>
          <w:sz w:val="32"/>
          <w:szCs w:val="32"/>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strike w:val="0"/>
          <w:color w:val="000000" w:themeColor="text1"/>
          <w:spacing w:val="0"/>
          <w:kern w:val="0"/>
          <w:sz w:val="32"/>
          <w:szCs w:val="32"/>
          <w:highlight w:val="none"/>
          <w:u w:val="none" w:color="auto"/>
          <w:lang w:val="en-US" w:eastAsia="zh-CN" w:bidi="ar"/>
          <w14:textFill>
            <w14:solidFill>
              <w14:schemeClr w14:val="tx1"/>
            </w14:solidFill>
          </w14:textFill>
        </w:rPr>
        <w:t>保持100%</w:t>
      </w:r>
      <w:r>
        <w:rPr>
          <w:rFonts w:ascii="Times New Roman" w:hAnsi="Times New Roman" w:eastAsia="方正仿宋_GBK"/>
          <w:sz w:val="32"/>
          <w:highlight w:val="none"/>
        </w:rPr>
        <w:t>。</w:t>
      </w:r>
    </w:p>
    <w:p w14:paraId="19C8A8CF">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szCs w:val="32"/>
          <w:highlight w:val="none"/>
          <w:lang w:val="en-US" w:eastAsia="zh-CN"/>
        </w:rPr>
      </w:pPr>
      <w:r>
        <w:rPr>
          <w:rFonts w:hint="eastAsia" w:ascii="Times New Roman" w:hAnsi="Times New Roman" w:eastAsia="方正楷体_GBK"/>
          <w:sz w:val="32"/>
          <w:szCs w:val="32"/>
          <w:highlight w:val="none"/>
          <w:lang w:val="en-US" w:eastAsia="zh-CN"/>
        </w:rPr>
        <w:t>（三）深化隐患专项整治</w:t>
      </w:r>
    </w:p>
    <w:p w14:paraId="4120D38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ascii="Times New Roman" w:hAnsi="Times New Roman" w:eastAsia="方正仿宋_GBK"/>
          <w:sz w:val="32"/>
          <w:highlight w:val="none"/>
        </w:rPr>
      </w:pPr>
      <w:r>
        <w:rPr>
          <w:rFonts w:hint="eastAsia" w:ascii="方正楷体_GBK" w:hAnsi="方正楷体_GBK" w:eastAsia="方正楷体_GBK" w:cs="方正楷体_GBK"/>
          <w:sz w:val="32"/>
          <w:highlight w:val="none"/>
        </w:rPr>
        <w:t>实施重点领域安全综合治理</w:t>
      </w:r>
      <w:r>
        <w:rPr>
          <w:rFonts w:hint="eastAsia" w:ascii="方正楷体_GBK" w:hAnsi="方正楷体_GBK" w:eastAsia="方正楷体_GBK" w:cs="方正楷体_GBK"/>
          <w:sz w:val="32"/>
          <w:highlight w:val="none"/>
          <w:lang w:eastAsia="zh-CN"/>
        </w:rPr>
        <w:t>。</w:t>
      </w:r>
      <w:r>
        <w:rPr>
          <w:rFonts w:hint="default" w:ascii="Times New Roman" w:hAnsi="Times New Roman" w:eastAsia="方正仿宋_GBK" w:cs="Times New Roman"/>
          <w:color w:val="auto"/>
          <w:spacing w:val="0"/>
          <w:sz w:val="32"/>
          <w:szCs w:val="32"/>
          <w:lang w:eastAsia="zh-CN"/>
        </w:rPr>
        <w:t>聚焦商业体、群租房等重点区域，</w:t>
      </w:r>
      <w:r>
        <w:rPr>
          <w:rFonts w:hint="default" w:ascii="Times New Roman" w:hAnsi="Times New Roman" w:eastAsia="方正仿宋_GBK"/>
          <w:sz w:val="32"/>
          <w:highlight w:val="none"/>
        </w:rPr>
        <w:t>抓好自建</w:t>
      </w:r>
      <w:r>
        <w:rPr>
          <w:rFonts w:ascii="Times New Roman" w:hAnsi="Times New Roman" w:eastAsia="方正仿宋_GBK"/>
          <w:sz w:val="32"/>
          <w:highlight w:val="none"/>
        </w:rPr>
        <w:t>房、城市危旧房安全管理，深化高层建筑等火灾高风险场所隐患排查治理</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lang w:val="en-US" w:eastAsia="zh-CN"/>
        </w:rPr>
        <w:t>聚焦</w:t>
      </w:r>
      <w:r>
        <w:rPr>
          <w:rFonts w:ascii="Times New Roman" w:hAnsi="Times New Roman" w:eastAsia="方正仿宋_GBK"/>
          <w:sz w:val="32"/>
          <w:highlight w:val="none"/>
        </w:rPr>
        <w:t>危化品、</w:t>
      </w:r>
      <w:r>
        <w:rPr>
          <w:rFonts w:hint="eastAsia" w:ascii="Times New Roman" w:hAnsi="Times New Roman" w:eastAsia="方正仿宋_GBK"/>
          <w:sz w:val="32"/>
          <w:highlight w:val="none"/>
          <w:lang w:val="en-US" w:eastAsia="zh-CN"/>
        </w:rPr>
        <w:t>交通、</w:t>
      </w:r>
      <w:r>
        <w:rPr>
          <w:rFonts w:ascii="Times New Roman" w:hAnsi="Times New Roman" w:eastAsia="方正仿宋_GBK"/>
          <w:sz w:val="32"/>
          <w:highlight w:val="none"/>
        </w:rPr>
        <w:t>施工、消防等重点领域</w:t>
      </w:r>
      <w:r>
        <w:rPr>
          <w:rFonts w:hint="default" w:ascii="Times New Roman" w:hAnsi="Times New Roman" w:eastAsia="方正仿宋_GBK"/>
          <w:sz w:val="32"/>
          <w:highlight w:val="none"/>
        </w:rPr>
        <w:t>，</w:t>
      </w:r>
      <w:r>
        <w:rPr>
          <w:rFonts w:hint="eastAsia" w:ascii="Times New Roman" w:hAnsi="Times New Roman" w:eastAsia="方正仿宋_GBK"/>
          <w:sz w:val="32"/>
          <w:highlight w:val="none"/>
          <w:lang w:eastAsia="zh-CN"/>
        </w:rPr>
        <w:t>全链条整治电动自行车、建筑保温材料、超限超载等重点隐患。</w:t>
      </w:r>
      <w:r>
        <w:rPr>
          <w:rFonts w:hint="eastAsia" w:ascii="方正楷体_GBK" w:hAnsi="方正楷体_GBK" w:eastAsia="方正楷体_GBK" w:cs="方正楷体_GBK"/>
          <w:sz w:val="32"/>
          <w:highlight w:val="none"/>
        </w:rPr>
        <w:t>实施灾害综合防治</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深化</w:t>
      </w:r>
      <w:r>
        <w:rPr>
          <w:rFonts w:hint="eastAsia" w:ascii="Times New Roman" w:hAnsi="Times New Roman" w:eastAsia="方正仿宋_GBK"/>
          <w:sz w:val="32"/>
          <w:highlight w:val="none"/>
          <w:lang w:eastAsia="zh-CN"/>
        </w:rPr>
        <w:t>“统、防、救”</w:t>
      </w:r>
      <w:r>
        <w:rPr>
          <w:rFonts w:ascii="Times New Roman" w:hAnsi="Times New Roman" w:eastAsia="方正仿宋_GBK"/>
          <w:sz w:val="32"/>
          <w:highlight w:val="none"/>
        </w:rPr>
        <w:t>防汛抗旱机制改革</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lang w:val="en-US" w:eastAsia="zh-CN"/>
        </w:rPr>
        <w:t>持续推进</w:t>
      </w:r>
      <w:r>
        <w:rPr>
          <w:rFonts w:ascii="Times New Roman" w:hAnsi="Times New Roman" w:eastAsia="方正仿宋_GBK"/>
          <w:sz w:val="32"/>
          <w:highlight w:val="none"/>
        </w:rPr>
        <w:t>防灾减灾救灾三年固本强基行动</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完善排水管网、河湖水库联排联调机制，</w:t>
      </w:r>
      <w:r>
        <w:rPr>
          <w:rFonts w:hint="eastAsia" w:ascii="Times New Roman" w:hAnsi="Times New Roman" w:eastAsia="方正仿宋_GBK"/>
          <w:sz w:val="32"/>
          <w:highlight w:val="none"/>
          <w:lang w:val="en-US" w:eastAsia="zh-CN"/>
        </w:rPr>
        <w:t>升级公共消防设施装备，</w:t>
      </w:r>
      <w:r>
        <w:rPr>
          <w:rFonts w:ascii="Times New Roman" w:hAnsi="Times New Roman" w:eastAsia="方正仿宋_GBK"/>
          <w:sz w:val="32"/>
          <w:highlight w:val="none"/>
        </w:rPr>
        <w:t>提升城市应急承载能力。</w:t>
      </w:r>
    </w:p>
    <w:p w14:paraId="1AB64344">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default" w:ascii="Times New Roman" w:hAnsi="Times New Roman" w:eastAsia="方正楷体_GBK"/>
          <w:sz w:val="32"/>
          <w:highlight w:val="none"/>
          <w:lang w:val="en-US" w:eastAsia="zh-CN"/>
        </w:rPr>
      </w:pPr>
      <w:r>
        <w:rPr>
          <w:rFonts w:hint="eastAsia" w:ascii="Times New Roman" w:hAnsi="Times New Roman" w:eastAsia="方正楷体_GBK"/>
          <w:sz w:val="32"/>
          <w:highlight w:val="none"/>
          <w:lang w:eastAsia="zh-CN"/>
        </w:rPr>
        <w:t>（</w:t>
      </w:r>
      <w:r>
        <w:rPr>
          <w:rFonts w:hint="eastAsia" w:ascii="Times New Roman" w:hAnsi="Times New Roman" w:eastAsia="方正楷体_GBK"/>
          <w:sz w:val="32"/>
          <w:highlight w:val="none"/>
          <w:lang w:val="en-US" w:eastAsia="zh-CN"/>
        </w:rPr>
        <w:t>四</w:t>
      </w:r>
      <w:r>
        <w:rPr>
          <w:rFonts w:hint="eastAsia" w:ascii="Times New Roman" w:hAnsi="Times New Roman" w:eastAsia="方正楷体_GBK"/>
          <w:sz w:val="32"/>
          <w:highlight w:val="none"/>
          <w:lang w:eastAsia="zh-CN"/>
        </w:rPr>
        <w:t>）</w:t>
      </w:r>
      <w:r>
        <w:rPr>
          <w:rFonts w:ascii="Times New Roman" w:hAnsi="Times New Roman" w:eastAsia="方正楷体_GBK"/>
          <w:sz w:val="32"/>
          <w:highlight w:val="none"/>
        </w:rPr>
        <w:t>完善应急保障体系</w:t>
      </w:r>
    </w:p>
    <w:p w14:paraId="0C781D31">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ascii="Times New Roman" w:hAnsi="Times New Roman" w:eastAsia="方正仿宋_GBK"/>
          <w:sz w:val="32"/>
          <w:highlight w:val="none"/>
        </w:rPr>
      </w:pPr>
      <w:r>
        <w:rPr>
          <w:rFonts w:hint="eastAsia" w:ascii="方正楷体_GBK" w:hAnsi="方正楷体_GBK" w:eastAsia="方正楷体_GBK" w:cs="方正楷体_GBK"/>
          <w:sz w:val="32"/>
          <w:highlight w:val="none"/>
        </w:rPr>
        <w:t>建设一体化应急指挥体系</w:t>
      </w:r>
      <w:r>
        <w:rPr>
          <w:rFonts w:hint="eastAsia" w:ascii="方正楷体_GBK" w:hAnsi="方正楷体_GBK" w:eastAsia="方正楷体_GBK" w:cs="方正楷体_GBK"/>
          <w:sz w:val="32"/>
          <w:highlight w:val="none"/>
          <w:lang w:eastAsia="zh-CN"/>
        </w:rPr>
        <w:t>。</w:t>
      </w:r>
      <w:r>
        <w:rPr>
          <w:rFonts w:hint="eastAsia" w:ascii="方正仿宋_GBK" w:hAnsi="方正仿宋_GBK" w:eastAsia="方正仿宋_GBK" w:cs="方正仿宋_GBK"/>
          <w:b w:val="0"/>
          <w:sz w:val="32"/>
          <w:szCs w:val="32"/>
          <w:lang w:val="en-US" w:eastAsia="zh-CN"/>
        </w:rPr>
        <w:t>整合各部门资源，</w:t>
      </w:r>
      <w:r>
        <w:rPr>
          <w:rFonts w:hint="eastAsia" w:ascii="方正仿宋_GBK" w:hAnsi="方正仿宋_GBK" w:eastAsia="方正仿宋_GBK" w:cs="方正仿宋_GBK"/>
          <w:b w:val="0"/>
          <w:sz w:val="32"/>
          <w:szCs w:val="32"/>
        </w:rPr>
        <w:t>建设区级智慧应急综合指挥平台</w:t>
      </w:r>
      <w:r>
        <w:rPr>
          <w:rFonts w:hint="eastAsia" w:ascii="方正仿宋_GBK" w:hAnsi="方正仿宋_GBK" w:eastAsia="方正仿宋_GBK" w:cs="方正仿宋_GBK"/>
          <w:b w:val="0"/>
          <w:sz w:val="32"/>
          <w:szCs w:val="32"/>
          <w:lang w:eastAsia="zh-CN"/>
        </w:rPr>
        <w:t>，</w:t>
      </w:r>
      <w:r>
        <w:rPr>
          <w:rFonts w:hint="eastAsia" w:ascii="Times New Roman" w:hAnsi="Times New Roman" w:eastAsia="方正仿宋_GBK" w:cs="方正仿宋_GBK"/>
          <w:color w:val="000000"/>
          <w:sz w:val="32"/>
          <w:szCs w:val="32"/>
          <w:lang w:val="en-US" w:eastAsia="zh-CN"/>
        </w:rPr>
        <w:t>实现</w:t>
      </w:r>
      <w:r>
        <w:rPr>
          <w:rFonts w:ascii="Times New Roman" w:hAnsi="Times New Roman" w:eastAsia="方正仿宋_GBK"/>
          <w:sz w:val="32"/>
          <w:highlight w:val="none"/>
        </w:rPr>
        <w:t>全灾种</w:t>
      </w:r>
      <w:r>
        <w:rPr>
          <w:rFonts w:hint="eastAsia" w:ascii="Times New Roman" w:hAnsi="Times New Roman" w:eastAsia="方正仿宋_GBK" w:cs="方正仿宋_GBK"/>
          <w:color w:val="000000"/>
          <w:sz w:val="32"/>
          <w:szCs w:val="32"/>
          <w:lang w:val="en-US" w:eastAsia="zh-CN"/>
        </w:rPr>
        <w:t>监测、风险管理和协同处置</w:t>
      </w:r>
      <w:r>
        <w:rPr>
          <w:rFonts w:hint="eastAsia" w:ascii="Times New Roman" w:hAnsi="Times New Roman" w:eastAsia="方正仿宋_GBK"/>
          <w:sz w:val="32"/>
          <w:highlight w:val="none"/>
          <w:lang w:eastAsia="zh-CN"/>
        </w:rPr>
        <w:t>。</w:t>
      </w:r>
      <w:r>
        <w:rPr>
          <w:rFonts w:hint="eastAsia" w:ascii="方正仿宋_GBK" w:hAnsi="方正仿宋_GBK" w:eastAsia="方正仿宋_GBK" w:cs="方正仿宋_GBK"/>
          <w:b w:val="0"/>
          <w:sz w:val="32"/>
          <w:szCs w:val="32"/>
        </w:rPr>
        <w:t>健全</w:t>
      </w:r>
      <w:r>
        <w:rPr>
          <w:rFonts w:hint="eastAsia" w:ascii="方正仿宋_GBK" w:hAnsi="方正仿宋_GBK" w:eastAsia="方正仿宋_GBK" w:cs="方正仿宋_GBK"/>
          <w:b w:val="0"/>
          <w:sz w:val="32"/>
          <w:szCs w:val="32"/>
          <w:lang w:val="en-US" w:eastAsia="zh-CN"/>
        </w:rPr>
        <w:t>应急预案与</w:t>
      </w:r>
      <w:r>
        <w:rPr>
          <w:rFonts w:hint="eastAsia" w:ascii="方正仿宋_GBK" w:hAnsi="方正仿宋_GBK" w:eastAsia="方正仿宋_GBK" w:cs="方正仿宋_GBK"/>
          <w:b w:val="0"/>
          <w:sz w:val="32"/>
          <w:szCs w:val="32"/>
        </w:rPr>
        <w:t>灾后救助</w:t>
      </w:r>
      <w:r>
        <w:rPr>
          <w:rFonts w:hint="eastAsia" w:ascii="方正仿宋_GBK" w:hAnsi="方正仿宋_GBK" w:eastAsia="方正仿宋_GBK" w:cs="方正仿宋_GBK"/>
          <w:b w:val="0"/>
          <w:sz w:val="32"/>
          <w:szCs w:val="32"/>
          <w:lang w:eastAsia="zh-CN"/>
        </w:rPr>
        <w:t>、</w:t>
      </w:r>
      <w:r>
        <w:rPr>
          <w:rFonts w:hint="eastAsia" w:ascii="方正仿宋_GBK" w:hAnsi="方正仿宋_GBK" w:eastAsia="方正仿宋_GBK" w:cs="方正仿宋_GBK"/>
          <w:b w:val="0"/>
          <w:sz w:val="32"/>
          <w:szCs w:val="32"/>
        </w:rPr>
        <w:t>重建机制</w:t>
      </w:r>
      <w:r>
        <w:rPr>
          <w:rFonts w:hint="eastAsia" w:ascii="方正仿宋_GBK" w:hAnsi="方正仿宋_GBK" w:eastAsia="方正仿宋_GBK" w:cs="方正仿宋_GBK"/>
          <w:b w:val="0"/>
          <w:sz w:val="32"/>
          <w:szCs w:val="32"/>
          <w:lang w:eastAsia="zh-CN"/>
        </w:rPr>
        <w:t>，提升</w:t>
      </w:r>
      <w:r>
        <w:rPr>
          <w:rFonts w:hint="eastAsia" w:ascii="方正仿宋_GBK" w:hAnsi="方正仿宋_GBK" w:eastAsia="方正仿宋_GBK" w:cs="方正仿宋_GBK"/>
          <w:b w:val="0"/>
          <w:sz w:val="32"/>
          <w:szCs w:val="32"/>
          <w:lang w:val="en-US" w:eastAsia="zh-CN"/>
        </w:rPr>
        <w:t>应急</w:t>
      </w:r>
      <w:r>
        <w:rPr>
          <w:rFonts w:hint="eastAsia" w:ascii="方正仿宋_GBK" w:hAnsi="方正仿宋_GBK" w:eastAsia="方正仿宋_GBK" w:cs="方正仿宋_GBK"/>
          <w:b w:val="0"/>
          <w:sz w:val="32"/>
          <w:szCs w:val="32"/>
          <w:lang w:eastAsia="zh-CN"/>
        </w:rPr>
        <w:t>响应能力。</w:t>
      </w:r>
      <w:r>
        <w:rPr>
          <w:rFonts w:hint="eastAsia" w:ascii="方正楷体_GBK" w:hAnsi="方正楷体_GBK" w:eastAsia="方正楷体_GBK" w:cs="方正楷体_GBK"/>
          <w:sz w:val="32"/>
          <w:highlight w:val="none"/>
        </w:rPr>
        <w:t>建强专业化应急救援力量</w:t>
      </w:r>
      <w:r>
        <w:rPr>
          <w:rFonts w:hint="eastAsia" w:ascii="方正仿宋_GBK" w:hAnsi="方正仿宋_GBK" w:eastAsia="方正仿宋_GBK" w:cs="方正仿宋_GBK"/>
          <w:b w:val="0"/>
          <w:sz w:val="32"/>
          <w:szCs w:val="32"/>
          <w:lang w:eastAsia="zh-CN"/>
        </w:rPr>
        <w:t>。</w:t>
      </w:r>
      <w:r>
        <w:rPr>
          <w:rFonts w:hint="eastAsia" w:ascii="方正仿宋_GBK" w:hAnsi="方正仿宋_GBK" w:eastAsia="方正仿宋_GBK" w:cs="方正仿宋_GBK"/>
          <w:b w:val="0"/>
          <w:sz w:val="32"/>
          <w:szCs w:val="32"/>
        </w:rPr>
        <w:t>推进应急消防一体化建设</w:t>
      </w:r>
      <w:r>
        <w:rPr>
          <w:rFonts w:hint="eastAsia" w:ascii="方正仿宋_GBK" w:hAnsi="方正仿宋_GBK" w:eastAsia="方正仿宋_GBK" w:cs="方正仿宋_GBK"/>
          <w:b w:val="0"/>
          <w:sz w:val="32"/>
          <w:szCs w:val="32"/>
          <w:lang w:eastAsia="zh-CN"/>
        </w:rPr>
        <w:t>，</w:t>
      </w:r>
      <w:r>
        <w:rPr>
          <w:rFonts w:hint="default" w:ascii="Times New Roman" w:hAnsi="Times New Roman" w:eastAsia="方正仿宋_GBK" w:cs="Times New Roman"/>
          <w:b w:val="0"/>
          <w:sz w:val="32"/>
          <w:szCs w:val="32"/>
          <w:lang w:val="en-US" w:eastAsia="zh-CN"/>
        </w:rPr>
        <w:t>建立</w:t>
      </w:r>
      <w:r>
        <w:rPr>
          <w:rFonts w:hint="default" w:ascii="Times New Roman" w:hAnsi="Times New Roman" w:eastAsia="方正仿宋_GBK" w:cs="Times New Roman"/>
          <w:b w:val="0"/>
          <w:sz w:val="32"/>
          <w:szCs w:val="32"/>
        </w:rPr>
        <w:t>区</w:t>
      </w:r>
      <w:r>
        <w:rPr>
          <w:rFonts w:hint="eastAsia" w:ascii="方正仿宋_GBK" w:hAnsi="方正仿宋_GBK" w:eastAsia="方正仿宋_GBK" w:cs="方正仿宋_GBK"/>
          <w:b w:val="0"/>
          <w:sz w:val="32"/>
          <w:szCs w:val="32"/>
        </w:rPr>
        <w:t>级综合应急救援队伍</w:t>
      </w:r>
      <w:r>
        <w:rPr>
          <w:rFonts w:hint="eastAsia" w:ascii="方正仿宋_GBK" w:hAnsi="方正仿宋_GBK" w:eastAsia="方正仿宋_GBK" w:cs="方正仿宋_GBK"/>
          <w:b w:val="0"/>
          <w:sz w:val="32"/>
          <w:szCs w:val="32"/>
          <w:lang w:eastAsia="zh-CN"/>
        </w:rPr>
        <w:t>，</w:t>
      </w:r>
      <w:r>
        <w:rPr>
          <w:rFonts w:hint="eastAsia" w:ascii="方正仿宋_GBK" w:hAnsi="方正仿宋_GBK" w:eastAsia="方正仿宋_GBK" w:cs="方正仿宋_GBK"/>
          <w:b w:val="0"/>
          <w:sz w:val="32"/>
          <w:szCs w:val="32"/>
          <w:lang w:val="en-US" w:eastAsia="zh-CN"/>
        </w:rPr>
        <w:t>推进</w:t>
      </w:r>
      <w:r>
        <w:rPr>
          <w:rFonts w:hint="eastAsia" w:ascii="方正仿宋_GBK" w:hAnsi="方正仿宋_GBK" w:eastAsia="方正仿宋_GBK" w:cs="方正仿宋_GBK"/>
          <w:b w:val="0"/>
          <w:sz w:val="32"/>
          <w:szCs w:val="32"/>
        </w:rPr>
        <w:t>危化品</w:t>
      </w:r>
      <w:r>
        <w:rPr>
          <w:rFonts w:hint="eastAsia" w:ascii="方正仿宋_GBK" w:hAnsi="方正仿宋_GBK" w:eastAsia="方正仿宋_GBK" w:cs="方正仿宋_GBK"/>
          <w:b w:val="0"/>
          <w:sz w:val="32"/>
          <w:szCs w:val="32"/>
          <w:lang w:eastAsia="zh-CN"/>
        </w:rPr>
        <w:t>、</w:t>
      </w:r>
      <w:r>
        <w:rPr>
          <w:rFonts w:hint="eastAsia" w:ascii="方正仿宋_GBK" w:hAnsi="方正仿宋_GBK" w:eastAsia="方正仿宋_GBK" w:cs="方正仿宋_GBK"/>
          <w:b w:val="0"/>
          <w:sz w:val="32"/>
          <w:szCs w:val="32"/>
          <w:lang w:val="en-US" w:eastAsia="zh-CN"/>
        </w:rPr>
        <w:t>水域、地质灾害等专业救援队伍建设，规范</w:t>
      </w:r>
      <w:r>
        <w:rPr>
          <w:rFonts w:hint="eastAsia" w:ascii="方正仿宋_GBK" w:hAnsi="方正仿宋_GBK" w:eastAsia="方正仿宋_GBK" w:cs="方正仿宋_GBK"/>
          <w:b w:val="0"/>
          <w:sz w:val="32"/>
          <w:szCs w:val="32"/>
        </w:rPr>
        <w:t>社会</w:t>
      </w:r>
      <w:r>
        <w:rPr>
          <w:rFonts w:hint="eastAsia" w:ascii="方正仿宋_GBK" w:hAnsi="方正仿宋_GBK" w:eastAsia="方正仿宋_GBK" w:cs="方正仿宋_GBK"/>
          <w:b w:val="0"/>
          <w:sz w:val="32"/>
          <w:szCs w:val="32"/>
          <w:lang w:val="en-US" w:eastAsia="zh-CN"/>
        </w:rPr>
        <w:t>力量参与</w:t>
      </w:r>
      <w:r>
        <w:rPr>
          <w:rFonts w:hint="eastAsia" w:ascii="方正仿宋_GBK" w:hAnsi="方正仿宋_GBK" w:eastAsia="方正仿宋_GBK" w:cs="方正仿宋_GBK"/>
          <w:b w:val="0"/>
          <w:sz w:val="32"/>
          <w:szCs w:val="32"/>
          <w:lang w:eastAsia="zh-CN"/>
        </w:rPr>
        <w:t>。</w:t>
      </w:r>
      <w:r>
        <w:rPr>
          <w:rFonts w:hint="eastAsia" w:ascii="方正楷体_GBK" w:hAnsi="方正楷体_GBK" w:eastAsia="方正楷体_GBK" w:cs="方正楷体_GBK"/>
          <w:sz w:val="32"/>
          <w:highlight w:val="none"/>
        </w:rPr>
        <w:t>强化应急</w:t>
      </w:r>
      <w:r>
        <w:rPr>
          <w:rFonts w:hint="eastAsia" w:ascii="方正楷体_GBK" w:hAnsi="方正楷体_GBK" w:eastAsia="方正楷体_GBK" w:cs="方正楷体_GBK"/>
          <w:sz w:val="32"/>
          <w:highlight w:val="none"/>
          <w:lang w:val="en-US" w:eastAsia="zh-CN"/>
        </w:rPr>
        <w:t>避难设施与</w:t>
      </w:r>
      <w:r>
        <w:rPr>
          <w:rFonts w:hint="eastAsia" w:ascii="方正楷体_GBK" w:hAnsi="方正楷体_GBK" w:eastAsia="方正楷体_GBK" w:cs="方正楷体_GBK"/>
          <w:sz w:val="32"/>
          <w:highlight w:val="none"/>
        </w:rPr>
        <w:t>物资保障</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cs="Times New Roman"/>
          <w:b w:val="0"/>
          <w:sz w:val="32"/>
          <w:szCs w:val="32"/>
          <w:lang w:eastAsia="zh-CN"/>
        </w:rPr>
        <w:t>统筹利用公园、广场等公共空间</w:t>
      </w:r>
      <w:r>
        <w:rPr>
          <w:rFonts w:hint="eastAsia" w:ascii="Times New Roman" w:hAnsi="Times New Roman" w:eastAsia="方正仿宋_GBK" w:cs="Times New Roman"/>
          <w:b w:val="0"/>
          <w:sz w:val="32"/>
          <w:szCs w:val="32"/>
          <w:lang w:val="en-US" w:eastAsia="zh-CN"/>
        </w:rPr>
        <w:t>新建改建避难场所</w:t>
      </w:r>
      <w:r>
        <w:rPr>
          <w:rFonts w:hint="eastAsia" w:ascii="Times New Roman" w:hAnsi="Times New Roman" w:eastAsia="方正仿宋_GBK" w:cs="Times New Roman"/>
          <w:b w:val="0"/>
          <w:sz w:val="32"/>
          <w:szCs w:val="32"/>
          <w:lang w:eastAsia="zh-CN"/>
        </w:rPr>
        <w:t>，配套应急避难功能及保障设施。</w:t>
      </w:r>
      <w:r>
        <w:rPr>
          <w:rFonts w:hint="eastAsia" w:ascii="Times New Roman" w:hAnsi="Times New Roman" w:eastAsia="方正仿宋_GBK" w:cs="Times New Roman"/>
          <w:b w:val="0"/>
          <w:sz w:val="32"/>
          <w:szCs w:val="32"/>
          <w:lang w:val="en-US" w:eastAsia="zh-CN"/>
        </w:rPr>
        <w:t>完善</w:t>
      </w:r>
      <w:r>
        <w:rPr>
          <w:rFonts w:hint="eastAsia" w:ascii="方正仿宋_GBK" w:hAnsi="方正仿宋_GBK" w:eastAsia="方正仿宋_GBK" w:cs="方正仿宋_GBK"/>
          <w:b w:val="0"/>
          <w:sz w:val="32"/>
          <w:szCs w:val="32"/>
        </w:rPr>
        <w:t>应急物资储备体系</w:t>
      </w:r>
      <w:r>
        <w:rPr>
          <w:rFonts w:ascii="Times New Roman" w:hAnsi="Times New Roman" w:eastAsia="方正仿宋_GBK"/>
          <w:sz w:val="32"/>
          <w:highlight w:val="none"/>
        </w:rPr>
        <w:t>，</w:t>
      </w:r>
      <w:r>
        <w:rPr>
          <w:rFonts w:hint="eastAsia" w:ascii="Times New Roman" w:hAnsi="Times New Roman" w:eastAsia="方正仿宋_GBK"/>
          <w:sz w:val="32"/>
          <w:highlight w:val="none"/>
          <w:lang w:val="en-US" w:eastAsia="zh-CN"/>
        </w:rPr>
        <w:t>升级</w:t>
      </w:r>
      <w:r>
        <w:rPr>
          <w:rFonts w:hint="eastAsia" w:ascii="方正仿宋_GBK" w:hAnsi="方正仿宋_GBK" w:eastAsia="方正仿宋_GBK" w:cs="方正仿宋_GBK"/>
          <w:b w:val="0"/>
          <w:sz w:val="32"/>
          <w:szCs w:val="32"/>
        </w:rPr>
        <w:t>区级储备库，</w:t>
      </w:r>
      <w:r>
        <w:rPr>
          <w:rFonts w:hint="eastAsia" w:ascii="方正仿宋_GBK" w:hAnsi="方正仿宋_GBK" w:eastAsia="方正仿宋_GBK" w:cs="方正仿宋_GBK"/>
          <w:b w:val="0"/>
          <w:sz w:val="32"/>
          <w:szCs w:val="32"/>
          <w:lang w:val="en-US" w:eastAsia="zh-CN"/>
        </w:rPr>
        <w:t>并在</w:t>
      </w:r>
      <w:r>
        <w:rPr>
          <w:rFonts w:hint="default" w:ascii="Times New Roman" w:hAnsi="Times New Roman" w:eastAsia="方正仿宋_GBK" w:cs="Times New Roman"/>
          <w:b w:val="0"/>
          <w:sz w:val="32"/>
          <w:szCs w:val="32"/>
        </w:rPr>
        <w:t>镇</w:t>
      </w:r>
      <w:r>
        <w:rPr>
          <w:rFonts w:hint="eastAsia" w:ascii="方正仿宋_GBK" w:hAnsi="方正仿宋_GBK" w:eastAsia="方正仿宋_GBK" w:cs="方正仿宋_GBK"/>
          <w:b w:val="0"/>
          <w:sz w:val="32"/>
          <w:szCs w:val="32"/>
        </w:rPr>
        <w:t>街建立储备点，确保镇街一级应急物资储备全覆盖</w:t>
      </w:r>
      <w:r>
        <w:rPr>
          <w:rFonts w:ascii="Times New Roman" w:hAnsi="Times New Roman" w:eastAsia="方正仿宋_GBK"/>
          <w:sz w:val="32"/>
          <w:highlight w:val="none"/>
        </w:rPr>
        <w:t>。</w:t>
      </w:r>
    </w:p>
    <w:tbl>
      <w:tblPr>
        <w:tblStyle w:val="11"/>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14:paraId="4337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nil"/>
              <w:left w:val="nil"/>
              <w:bottom w:val="single" w:color="auto" w:sz="4" w:space="0"/>
              <w:right w:val="nil"/>
            </w:tcBorders>
            <w:vAlign w:val="top"/>
          </w:tcPr>
          <w:p w14:paraId="0446DB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4" w:lineRule="exact"/>
              <w:ind w:left="0" w:right="0" w:firstLine="0" w:firstLineChars="0"/>
              <w:jc w:val="center"/>
              <w:textAlignment w:val="auto"/>
              <w:rPr>
                <w:rFonts w:hint="default" w:ascii="Times New Roman" w:hAnsi="Times New Roman" w:eastAsia="方正黑体_GBK" w:cs="方正黑体_GBK"/>
                <w:b w:val="0"/>
                <w:bCs w:val="0"/>
                <w:color w:val="000000" w:themeColor="text1"/>
                <w:sz w:val="28"/>
                <w:szCs w:val="28"/>
                <w:highlight w:val="none"/>
                <w:u w:val="none" w:color="auto"/>
                <w:vertAlign w:val="baseli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专栏</w:t>
            </w:r>
            <w:r>
              <w:rPr>
                <w:rFonts w:hint="eastAsia"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 xml:space="preserve">5 </w:t>
            </w:r>
            <w:r>
              <w:rPr>
                <w:rFonts w:hint="default"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 xml:space="preserve"> </w:t>
            </w:r>
            <w:r>
              <w:rPr>
                <w:rFonts w:ascii="Times New Roman" w:hAnsi="Times New Roman" w:eastAsia="方正黑体_GBK"/>
                <w:sz w:val="32"/>
                <w:highlight w:val="none"/>
              </w:rPr>
              <w:t>安全韧性</w:t>
            </w:r>
            <w:r>
              <w:rPr>
                <w:rFonts w:hint="default"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重点</w:t>
            </w:r>
            <w:r>
              <w:rPr>
                <w:rFonts w:hint="eastAsia" w:ascii="Times New Roman" w:hAnsi="Times New Roman" w:eastAsia="方正黑体_GBK" w:cs="Times New Roman"/>
                <w:b w:val="0"/>
                <w:bCs w:val="0"/>
                <w:color w:val="000000" w:themeColor="text1"/>
                <w:sz w:val="32"/>
                <w:szCs w:val="32"/>
                <w:highlight w:val="none"/>
                <w:u w:val="none" w:color="auto"/>
                <w:vertAlign w:val="baseline"/>
                <w:lang w:val="en-US" w:eastAsia="zh-CN"/>
                <w14:textFill>
                  <w14:solidFill>
                    <w14:schemeClr w14:val="tx1"/>
                  </w14:solidFill>
                </w14:textFill>
              </w:rPr>
              <w:t>方向</w:t>
            </w:r>
          </w:p>
        </w:tc>
      </w:tr>
      <w:tr w14:paraId="06F6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single" w:color="auto" w:sz="4" w:space="0"/>
            </w:tcBorders>
            <w:vAlign w:val="top"/>
          </w:tcPr>
          <w:p w14:paraId="760F48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pPr>
            <w:r>
              <w:rPr>
                <w:rFonts w:hint="default" w:ascii="Times New Roman" w:hAnsi="Times New Roman" w:cs="Times New Roman"/>
                <w:b w:val="0"/>
                <w:bCs w:val="0"/>
                <w:color w:val="000000" w:themeColor="text1"/>
                <w:sz w:val="24"/>
                <w:szCs w:val="24"/>
                <w:highlight w:val="none"/>
                <w:u w:val="none" w:color="auto"/>
                <w:vertAlign w:val="baseline"/>
                <w:lang w:val="en-US" w:eastAsia="zh-CN"/>
                <w14:textFill>
                  <w14:solidFill>
                    <w14:schemeClr w14:val="tx1"/>
                  </w14:solidFill>
                </w14:textFill>
              </w:rPr>
              <w:t>1</w:t>
            </w:r>
            <w:r>
              <w:rPr>
                <w:rFonts w:hint="default" w:eastAsia="方正黑体_GBK" w:cs="方正黑体_GBK"/>
                <w:b w:val="0"/>
                <w:bCs w:val="0"/>
                <w:color w:val="000000" w:themeColor="text1"/>
                <w:sz w:val="24"/>
                <w:szCs w:val="24"/>
                <w:highlight w:val="none"/>
                <w:u w:val="none" w:color="auto"/>
                <w:vertAlign w:val="baseline"/>
                <w:lang w:val="en-US" w:eastAsia="zh-CN" w:bidi="ar"/>
                <w14:textFill>
                  <w14:solidFill>
                    <w14:schemeClr w14:val="tx1"/>
                  </w14:solidFill>
                </w14:textFill>
              </w:rPr>
              <w:t>.</w:t>
            </w:r>
            <w:r>
              <w:rPr>
                <w:rFonts w:hint="eastAsia" w:eastAsia="方正黑体_GBK" w:cs="方正黑体_GBK"/>
                <w:b w:val="0"/>
                <w:bCs w:val="0"/>
                <w:color w:val="000000" w:themeColor="text1"/>
                <w:sz w:val="24"/>
                <w:szCs w:val="24"/>
                <w:highlight w:val="none"/>
                <w:u w:val="none" w:color="auto"/>
                <w:vertAlign w:val="baseline"/>
                <w:lang w:val="en-US" w:eastAsia="zh-CN" w:bidi="ar"/>
                <w14:textFill>
                  <w14:solidFill>
                    <w14:schemeClr w14:val="tx1"/>
                  </w14:solidFill>
                </w14:textFill>
              </w:rPr>
              <w:t>水安全保障。</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加强水文数据收集能力，</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新建水位站1处</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改建水文站1处、水位站5处、雨量站21处</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w:t>
            </w:r>
          </w:p>
          <w:p w14:paraId="4B2D25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rPr>
                <w:rFonts w:hint="default" w:ascii="Times New Roman" w:hAnsi="Times New Roman"/>
                <w:b w:val="0"/>
                <w:bCs w:val="0"/>
                <w:color w:val="000000" w:themeColor="text1"/>
                <w:kern w:val="0"/>
                <w:sz w:val="24"/>
                <w:szCs w:val="24"/>
                <w:highlight w:val="none"/>
                <w:u w:val="none" w:color="auto"/>
                <w:lang w:val="en-US" w:eastAsia="zh-CN" w:bidi="ar"/>
                <w14:textFill>
                  <w14:solidFill>
                    <w14:schemeClr w14:val="tx1"/>
                  </w14:solidFill>
                </w14:textFill>
              </w:rPr>
            </w:pPr>
            <w:r>
              <w:rPr>
                <w:rFonts w:hint="eastAsia" w:eastAsia="方正黑体_GBK" w:cs="方正黑体_GBK"/>
                <w:b w:val="0"/>
                <w:bCs w:val="0"/>
                <w:color w:val="000000" w:themeColor="text1"/>
                <w:sz w:val="24"/>
                <w:szCs w:val="24"/>
                <w:highlight w:val="none"/>
                <w:u w:val="none" w:color="auto"/>
                <w:vertAlign w:val="baseline"/>
                <w:lang w:val="en-US" w:eastAsia="zh-CN" w:bidi="ar"/>
                <w14:textFill>
                  <w14:solidFill>
                    <w14:schemeClr w14:val="tx1"/>
                  </w14:solidFill>
                </w14:textFill>
              </w:rPr>
              <w:t>2.防灾减灾应急。</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加强</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基层气象防灾减灾数据</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收集与</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气象灾害监测</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，建设</w:t>
            </w:r>
            <w:r>
              <w:rPr>
                <w:rFonts w:hint="default"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应急物资储备库</w:t>
            </w:r>
            <w:r>
              <w:rPr>
                <w:rFonts w:hint="eastAsia" w:ascii="Times New Roman" w:hAnsi="Times New Roman" w:eastAsia="方正仿宋_GBK" w:cs="方正仿宋_GBK"/>
                <w:b w:val="0"/>
                <w:bCs w:val="0"/>
                <w:color w:val="000000" w:themeColor="text1"/>
                <w:sz w:val="24"/>
                <w:szCs w:val="24"/>
                <w:highlight w:val="none"/>
                <w:u w:val="none" w:color="auto"/>
                <w:lang w:val="en-US" w:eastAsia="zh-CN" w:bidi="ar-SA"/>
                <w14:textFill>
                  <w14:solidFill>
                    <w14:schemeClr w14:val="tx1"/>
                  </w14:solidFill>
                </w14:textFill>
              </w:rPr>
              <w:t>与避难场所，新建或改扩建应急避难场所35处。</w:t>
            </w:r>
          </w:p>
        </w:tc>
      </w:tr>
    </w:tbl>
    <w:p w14:paraId="47621E3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0"/>
        <w:rPr>
          <w:rFonts w:hint="default" w:ascii="Times New Roman" w:hAnsi="Times New Roman" w:eastAsia="方正黑体_GBK"/>
          <w:sz w:val="32"/>
          <w:highlight w:val="none"/>
          <w:lang w:val="en-US" w:eastAsia="zh-CN"/>
        </w:rPr>
      </w:pPr>
      <w:r>
        <w:rPr>
          <w:rFonts w:hint="eastAsia" w:ascii="Times New Roman" w:hAnsi="Times New Roman" w:eastAsia="方正黑体_GBK"/>
          <w:sz w:val="32"/>
          <w:highlight w:val="none"/>
          <w:lang w:val="en-US" w:eastAsia="zh-CN"/>
        </w:rPr>
        <w:t>七、绘就</w:t>
      </w:r>
      <w:r>
        <w:rPr>
          <w:rFonts w:ascii="Times New Roman" w:hAnsi="Times New Roman" w:eastAsia="方正黑体_GBK"/>
          <w:sz w:val="32"/>
          <w:highlight w:val="none"/>
        </w:rPr>
        <w:t>绿色低碳</w:t>
      </w:r>
      <w:r>
        <w:rPr>
          <w:rFonts w:hint="eastAsia" w:ascii="Times New Roman" w:hAnsi="Times New Roman" w:eastAsia="方正黑体_GBK"/>
          <w:sz w:val="32"/>
          <w:highlight w:val="none"/>
          <w:lang w:val="en-US" w:eastAsia="zh-CN"/>
        </w:rPr>
        <w:t>的美丽之城</w:t>
      </w:r>
    </w:p>
    <w:p w14:paraId="0724D54A">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eastAsia="zh-CN"/>
        </w:rPr>
        <w:t>（</w:t>
      </w:r>
      <w:r>
        <w:rPr>
          <w:rFonts w:hint="eastAsia" w:ascii="Times New Roman" w:hAnsi="Times New Roman" w:eastAsia="方正楷体_GBK"/>
          <w:sz w:val="32"/>
          <w:highlight w:val="none"/>
          <w:lang w:val="en-US" w:eastAsia="zh-CN"/>
        </w:rPr>
        <w:t>一</w:t>
      </w:r>
      <w:r>
        <w:rPr>
          <w:rFonts w:hint="eastAsia" w:ascii="Times New Roman" w:hAnsi="Times New Roman" w:eastAsia="方正楷体_GBK"/>
          <w:sz w:val="32"/>
          <w:highlight w:val="none"/>
          <w:lang w:eastAsia="zh-CN"/>
        </w:rPr>
        <w:t>）</w:t>
      </w:r>
      <w:r>
        <w:rPr>
          <w:rFonts w:ascii="Times New Roman" w:hAnsi="Times New Roman" w:eastAsia="方正楷体_GBK"/>
          <w:sz w:val="32"/>
          <w:highlight w:val="none"/>
        </w:rPr>
        <w:t>推进绿色生态治理</w:t>
      </w:r>
    </w:p>
    <w:p w14:paraId="42EFF3E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rPr>
        <w:t>推进山水林田湖草沙一体化保护</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eastAsia="zh-CN"/>
        </w:rPr>
        <w:t>严守生态保护红线，</w:t>
      </w:r>
      <w:r>
        <w:rPr>
          <w:rFonts w:ascii="Times New Roman" w:hAnsi="Times New Roman" w:eastAsia="方正仿宋_GBK"/>
          <w:sz w:val="32"/>
          <w:highlight w:val="none"/>
        </w:rPr>
        <w:t>系统保护好长江岸线等重要生态系统</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持续开展</w:t>
      </w:r>
      <w:r>
        <w:rPr>
          <w:rFonts w:hint="eastAsia" w:ascii="Times New Roman" w:hAnsi="Times New Roman" w:eastAsia="方正仿宋_GBK"/>
          <w:sz w:val="32"/>
          <w:highlight w:val="none"/>
          <w:lang w:eastAsia="zh-CN"/>
        </w:rPr>
        <w:t>“小微湿地+”</w:t>
      </w:r>
      <w:r>
        <w:rPr>
          <w:rFonts w:ascii="Times New Roman" w:hAnsi="Times New Roman" w:eastAsia="方正仿宋_GBK"/>
          <w:sz w:val="32"/>
          <w:highlight w:val="none"/>
        </w:rPr>
        <w:t>保护修复，统筹推进水土流失和矿山修复治理，完成废弃矿山修复面积100公顷以上。</w:t>
      </w:r>
      <w:r>
        <w:rPr>
          <w:rFonts w:hint="eastAsia" w:ascii="方正楷体_GBK" w:hAnsi="方正楷体_GBK" w:eastAsia="方正楷体_GBK" w:cs="方正楷体_GBK"/>
          <w:sz w:val="32"/>
          <w:highlight w:val="none"/>
        </w:rPr>
        <w:t>深化</w:t>
      </w:r>
      <w:r>
        <w:rPr>
          <w:rFonts w:hint="eastAsia" w:ascii="方正楷体_GBK" w:hAnsi="方正楷体_GBK" w:eastAsia="方正楷体_GBK" w:cs="方正楷体_GBK"/>
          <w:sz w:val="32"/>
          <w:highlight w:val="none"/>
          <w:lang w:val="en-US" w:eastAsia="zh-CN"/>
        </w:rPr>
        <w:t>河流系统</w:t>
      </w:r>
      <w:r>
        <w:rPr>
          <w:rFonts w:hint="eastAsia" w:ascii="方正楷体_GBK" w:hAnsi="方正楷体_GBK" w:eastAsia="方正楷体_GBK" w:cs="方正楷体_GBK"/>
          <w:sz w:val="32"/>
          <w:highlight w:val="none"/>
        </w:rPr>
        <w:t>治理</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全面深化河长制，推进区级河流</w:t>
      </w:r>
      <w:r>
        <w:rPr>
          <w:rFonts w:hint="eastAsia" w:ascii="Times New Roman" w:hAnsi="Times New Roman" w:eastAsia="方正仿宋_GBK"/>
          <w:sz w:val="32"/>
          <w:highlight w:val="none"/>
          <w:lang w:eastAsia="zh-CN"/>
        </w:rPr>
        <w:t>“一河一策”</w:t>
      </w:r>
      <w:r>
        <w:rPr>
          <w:rFonts w:hint="eastAsia" w:ascii="Times New Roman" w:hAnsi="Times New Roman" w:eastAsia="方正仿宋_GBK"/>
          <w:sz w:val="32"/>
          <w:highlight w:val="none"/>
          <w:lang w:val="en-US" w:eastAsia="zh-CN"/>
        </w:rPr>
        <w:t>管理</w:t>
      </w:r>
      <w:r>
        <w:rPr>
          <w:rFonts w:ascii="Times New Roman" w:hAnsi="Times New Roman" w:eastAsia="方正仿宋_GBK"/>
          <w:sz w:val="32"/>
          <w:highlight w:val="none"/>
        </w:rPr>
        <w:t>，</w:t>
      </w:r>
      <w:r>
        <w:rPr>
          <w:rFonts w:hint="eastAsia" w:ascii="Times New Roman" w:hAnsi="Times New Roman" w:eastAsia="方正仿宋_GBK"/>
          <w:sz w:val="32"/>
          <w:highlight w:val="none"/>
        </w:rPr>
        <w:t>强化水域岸线分区分类管控，常态化推进河道</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清四乱</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整治入河排污口</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防治水土流失</w:t>
      </w:r>
      <w:r>
        <w:rPr>
          <w:rFonts w:hint="eastAsia" w:ascii="Times New Roman" w:hAnsi="Times New Roman" w:eastAsia="方正仿宋_GBK"/>
          <w:sz w:val="32"/>
          <w:highlight w:val="none"/>
          <w:lang w:eastAsia="zh-CN"/>
        </w:rPr>
        <w:t>。</w:t>
      </w:r>
      <w:r>
        <w:rPr>
          <w:rFonts w:hint="eastAsia" w:ascii="方正楷体_GBK" w:hAnsi="方正楷体_GBK" w:eastAsia="方正楷体_GBK" w:cs="方正楷体_GBK"/>
          <w:sz w:val="32"/>
          <w:highlight w:val="none"/>
        </w:rPr>
        <w:t>深化治水治气治土攻坚</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加强系统保护、源头防控</w:t>
      </w:r>
      <w:r>
        <w:rPr>
          <w:rFonts w:hint="eastAsia" w:ascii="Times New Roman" w:hAnsi="Times New Roman" w:eastAsia="方正仿宋_GBK"/>
          <w:sz w:val="32"/>
          <w:highlight w:val="none"/>
          <w:lang w:eastAsia="zh-CN"/>
        </w:rPr>
        <w:t>，</w:t>
      </w:r>
      <w:r>
        <w:rPr>
          <w:rFonts w:hint="default" w:ascii="Times New Roman" w:hAnsi="Times New Roman" w:eastAsia="方正仿宋_GBK"/>
          <w:sz w:val="32"/>
          <w:highlight w:val="none"/>
          <w:lang w:val="en-US" w:eastAsia="zh-CN"/>
        </w:rPr>
        <w:t>完成9个镇级污水处理厂尾水治理，巩固</w:t>
      </w:r>
      <w:r>
        <w:rPr>
          <w:rFonts w:hint="eastAsia" w:ascii="Times New Roman" w:hAnsi="Times New Roman" w:eastAsia="方正仿宋_GBK"/>
          <w:sz w:val="32"/>
          <w:highlight w:val="none"/>
          <w:lang w:val="en-US" w:eastAsia="zh-CN"/>
        </w:rPr>
        <w:t>城乡</w:t>
      </w:r>
      <w:r>
        <w:rPr>
          <w:rFonts w:hint="default" w:ascii="Times New Roman" w:hAnsi="Times New Roman" w:eastAsia="方正仿宋_GBK"/>
          <w:sz w:val="32"/>
          <w:highlight w:val="none"/>
          <w:lang w:val="en-US" w:eastAsia="zh-CN"/>
        </w:rPr>
        <w:t>黑臭水体治理成效</w:t>
      </w:r>
      <w:r>
        <w:rPr>
          <w:rFonts w:hint="eastAsia" w:ascii="Times New Roman" w:hAnsi="Times New Roman" w:eastAsia="方正仿宋_GBK"/>
          <w:sz w:val="32"/>
          <w:highlight w:val="none"/>
          <w:lang w:val="en-US" w:eastAsia="zh-CN"/>
        </w:rPr>
        <w:t>，</w:t>
      </w:r>
      <w:r>
        <w:rPr>
          <w:rFonts w:hint="eastAsia" w:ascii="Times New Roman" w:hAnsi="Times New Roman" w:eastAsia="方正仿宋_GBK"/>
          <w:sz w:val="32"/>
          <w:highlight w:val="none"/>
          <w:lang w:eastAsia="zh-CN"/>
        </w:rPr>
        <w:t>加强土壤污染源头防控，深化国四及以下柴油货车淘汰，降低</w:t>
      </w:r>
      <w:r>
        <w:rPr>
          <w:rFonts w:hint="eastAsia" w:ascii="Times New Roman" w:hAnsi="Times New Roman" w:eastAsia="方正仿宋_GBK"/>
          <w:sz w:val="32"/>
          <w:highlight w:val="none"/>
          <w:lang w:val="en-US" w:eastAsia="zh-CN"/>
        </w:rPr>
        <w:t>PM</w:t>
      </w:r>
      <w:r>
        <w:rPr>
          <w:rFonts w:hint="eastAsia" w:ascii="Times New Roman" w:hAnsi="Times New Roman" w:eastAsia="方正仿宋_GBK"/>
          <w:sz w:val="32"/>
          <w:highlight w:val="none"/>
          <w:lang w:eastAsia="zh-CN"/>
        </w:rPr>
        <w:t>2.5浓度。</w:t>
      </w:r>
    </w:p>
    <w:p w14:paraId="1A543654">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rPr>
        <w:t>（</w:t>
      </w:r>
      <w:r>
        <w:rPr>
          <w:rFonts w:hint="eastAsia" w:ascii="Times New Roman" w:hAnsi="Times New Roman" w:eastAsia="方正楷体_GBK"/>
          <w:sz w:val="32"/>
          <w:highlight w:val="none"/>
          <w:lang w:val="en-US" w:eastAsia="zh-CN"/>
        </w:rPr>
        <w:t>二</w:t>
      </w:r>
      <w:r>
        <w:rPr>
          <w:rFonts w:hint="eastAsia" w:ascii="Times New Roman" w:hAnsi="Times New Roman" w:eastAsia="方正楷体_GBK"/>
          <w:sz w:val="32"/>
          <w:highlight w:val="none"/>
        </w:rPr>
        <w:t>）</w:t>
      </w:r>
      <w:r>
        <w:rPr>
          <w:rFonts w:ascii="Times New Roman" w:hAnsi="Times New Roman" w:eastAsia="方正楷体_GBK"/>
          <w:sz w:val="32"/>
          <w:highlight w:val="none"/>
        </w:rPr>
        <w:t>深化城乡风貌治理</w:t>
      </w:r>
    </w:p>
    <w:p w14:paraId="7514BF0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eastAsia="方正仿宋_GBK"/>
          <w:lang w:val="en-US" w:eastAsia="zh-CN"/>
        </w:rPr>
      </w:pPr>
      <w:r>
        <w:rPr>
          <w:rFonts w:hint="eastAsia" w:ascii="方正楷体_GBK" w:hAnsi="方正楷体_GBK" w:eastAsia="方正楷体_GBK" w:cs="方正楷体_GBK"/>
          <w:sz w:val="32"/>
          <w:highlight w:val="none"/>
        </w:rPr>
        <w:t>推进龙乡特色大美风貌治理</w:t>
      </w:r>
      <w:r>
        <w:rPr>
          <w:rFonts w:hint="eastAsia" w:ascii="方正楷体_GBK" w:hAnsi="方正楷体_GBK" w:eastAsia="方正楷体_GBK" w:cs="方正楷体_GBK"/>
          <w:sz w:val="32"/>
          <w:highlight w:val="none"/>
          <w:lang w:eastAsia="zh-CN"/>
        </w:rPr>
        <w:t>。</w:t>
      </w:r>
      <w:r>
        <w:rPr>
          <w:rFonts w:ascii="Times New Roman" w:hAnsi="Times New Roman" w:eastAsia="方正仿宋_GBK"/>
          <w:sz w:val="32"/>
          <w:highlight w:val="none"/>
        </w:rPr>
        <w:t>加强城市天际线、第五立面等风貌规划管控，提质打造</w:t>
      </w:r>
      <w:r>
        <w:rPr>
          <w:rFonts w:hint="eastAsia" w:ascii="Times New Roman" w:hAnsi="Times New Roman" w:eastAsia="方正仿宋_GBK"/>
          <w:sz w:val="32"/>
          <w:highlight w:val="none"/>
        </w:rPr>
        <w:t>高速互通</w:t>
      </w:r>
      <w:r>
        <w:rPr>
          <w:rFonts w:hint="eastAsia" w:ascii="Times New Roman" w:hAnsi="Times New Roman" w:eastAsia="方正仿宋_GBK"/>
          <w:sz w:val="32"/>
          <w:highlight w:val="none"/>
          <w:lang w:val="en-US" w:eastAsia="zh-CN"/>
        </w:rPr>
        <w:t>景观廊道与</w:t>
      </w:r>
      <w:r>
        <w:rPr>
          <w:rFonts w:ascii="方正仿宋_GBK" w:hAnsi="方正仿宋_GBK" w:eastAsia="方正仿宋_GBK"/>
          <w:b w:val="0"/>
          <w:sz w:val="32"/>
        </w:rPr>
        <w:t>淮远河等滨河绿道</w:t>
      </w:r>
      <w:r>
        <w:rPr>
          <w:rFonts w:ascii="Times New Roman" w:hAnsi="Times New Roman" w:eastAsia="方正仿宋_GBK"/>
          <w:sz w:val="32"/>
          <w:highlight w:val="none"/>
        </w:rPr>
        <w:t>，</w:t>
      </w:r>
      <w:r>
        <w:rPr>
          <w:rFonts w:ascii="方正仿宋_GBK" w:hAnsi="方正仿宋_GBK" w:eastAsia="方正仿宋_GBK"/>
          <w:b w:val="0"/>
          <w:sz w:val="32"/>
        </w:rPr>
        <w:t>打造环城靓丽风景线</w:t>
      </w:r>
      <w:r>
        <w:rPr>
          <w:rFonts w:hint="eastAsia" w:ascii="方正仿宋_GBK" w:hAnsi="方正仿宋_GBK" w:eastAsia="方正仿宋_GBK"/>
          <w:b w:val="0"/>
          <w:sz w:val="32"/>
          <w:lang w:eastAsia="zh-CN"/>
        </w:rPr>
        <w:t>，</w:t>
      </w:r>
      <w:r>
        <w:rPr>
          <w:rFonts w:hint="eastAsia" w:ascii="Times New Roman" w:hAnsi="Times New Roman" w:eastAsia="方正仿宋_GBK"/>
          <w:sz w:val="32"/>
          <w:highlight w:val="none"/>
        </w:rPr>
        <w:t>塑造整体协调清新</w:t>
      </w:r>
      <w:r>
        <w:rPr>
          <w:rFonts w:hint="eastAsia" w:ascii="Times New Roman" w:hAnsi="Times New Roman" w:eastAsia="方正仿宋_GBK"/>
          <w:sz w:val="32"/>
          <w:highlight w:val="none"/>
          <w:lang w:val="en-US" w:eastAsia="zh-CN"/>
        </w:rPr>
        <w:t>的</w:t>
      </w:r>
      <w:r>
        <w:rPr>
          <w:rFonts w:hint="eastAsia" w:ascii="Times New Roman" w:hAnsi="Times New Roman" w:eastAsia="方正仿宋_GBK"/>
          <w:sz w:val="32"/>
          <w:highlight w:val="none"/>
        </w:rPr>
        <w:t>城市空间肌理</w:t>
      </w:r>
      <w:r>
        <w:rPr>
          <w:rFonts w:hint="eastAsia" w:ascii="Times New Roman" w:hAnsi="Times New Roman" w:eastAsia="方正仿宋_GBK"/>
          <w:sz w:val="32"/>
          <w:highlight w:val="none"/>
          <w:lang w:eastAsia="zh-CN"/>
        </w:rPr>
        <w:t>。</w:t>
      </w:r>
      <w:r>
        <w:rPr>
          <w:rFonts w:hint="eastAsia" w:ascii="方正楷体_GBK" w:hAnsi="方正楷体_GBK" w:eastAsia="方正楷体_GBK" w:cs="方正楷体_GBK"/>
          <w:sz w:val="32"/>
          <w:highlight w:val="none"/>
          <w:lang w:val="en-US" w:eastAsia="zh-CN"/>
        </w:rPr>
        <w:t>推进</w:t>
      </w:r>
      <w:r>
        <w:rPr>
          <w:rFonts w:hint="eastAsia" w:ascii="方正楷体_GBK" w:hAnsi="方正楷体_GBK" w:eastAsia="方正楷体_GBK" w:cs="方正楷体_GBK"/>
          <w:sz w:val="32"/>
          <w:highlight w:val="none"/>
        </w:rPr>
        <w:t>城市</w:t>
      </w:r>
      <w:r>
        <w:rPr>
          <w:rFonts w:hint="eastAsia" w:ascii="方正楷体_GBK" w:hAnsi="方正楷体_GBK" w:eastAsia="方正楷体_GBK" w:cs="方正楷体_GBK"/>
          <w:sz w:val="32"/>
          <w:highlight w:val="none"/>
          <w:lang w:val="en-US" w:eastAsia="zh-CN"/>
        </w:rPr>
        <w:t>绿化</w:t>
      </w:r>
      <w:r>
        <w:rPr>
          <w:rFonts w:hint="eastAsia" w:ascii="方正楷体_GBK" w:hAnsi="方正楷体_GBK" w:eastAsia="方正楷体_GBK" w:cs="方正楷体_GBK"/>
          <w:sz w:val="32"/>
          <w:highlight w:val="none"/>
        </w:rPr>
        <w:t>提质增量</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rPr>
        <w:t>实施</w:t>
      </w:r>
      <w:r>
        <w:rPr>
          <w:rFonts w:hint="eastAsia" w:ascii="Times New Roman" w:hAnsi="Times New Roman" w:eastAsia="方正仿宋_GBK"/>
          <w:sz w:val="32"/>
          <w:highlight w:val="none"/>
          <w:lang w:val="en-US" w:eastAsia="zh-CN"/>
        </w:rPr>
        <w:t>城区</w:t>
      </w:r>
      <w:r>
        <w:rPr>
          <w:rFonts w:hint="default" w:ascii="Times New Roman" w:hAnsi="Times New Roman" w:eastAsia="方正仿宋_GBK"/>
          <w:sz w:val="32"/>
          <w:highlight w:val="none"/>
          <w:lang w:val="en-US" w:eastAsia="zh-CN"/>
        </w:rPr>
        <w:t>绿化品质提升</w:t>
      </w:r>
      <w:r>
        <w:rPr>
          <w:rFonts w:hint="eastAsia" w:ascii="Times New Roman" w:hAnsi="Times New Roman" w:eastAsia="方正仿宋_GBK"/>
          <w:sz w:val="32"/>
          <w:highlight w:val="none"/>
        </w:rPr>
        <w:t>，完成130万平方米公共绿化管护</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lang w:val="en-US" w:eastAsia="zh-CN"/>
        </w:rPr>
        <w:t>完善</w:t>
      </w:r>
      <w:r>
        <w:rPr>
          <w:rFonts w:hint="eastAsia" w:ascii="Times New Roman" w:hAnsi="Times New Roman" w:eastAsia="方正仿宋_GBK"/>
          <w:sz w:val="32"/>
          <w:highlight w:val="none"/>
        </w:rPr>
        <w:t>四级</w:t>
      </w:r>
      <w:r>
        <w:rPr>
          <w:rFonts w:hint="eastAsia" w:ascii="Times New Roman" w:hAnsi="Times New Roman" w:eastAsia="方正仿宋_GBK"/>
          <w:sz w:val="32"/>
          <w:highlight w:val="none"/>
          <w:lang w:val="en-US" w:eastAsia="zh-CN"/>
        </w:rPr>
        <w:t>公园</w:t>
      </w:r>
      <w:r>
        <w:rPr>
          <w:rFonts w:hint="eastAsia" w:ascii="Times New Roman" w:hAnsi="Times New Roman" w:eastAsia="方正仿宋_GBK"/>
          <w:sz w:val="32"/>
          <w:highlight w:val="none"/>
        </w:rPr>
        <w:t>体系，推进老旧公园更新和绿地开放共享，</w:t>
      </w:r>
      <w:r>
        <w:rPr>
          <w:rFonts w:hint="eastAsia" w:ascii="Times New Roman" w:hAnsi="Times New Roman" w:eastAsia="方正仿宋_GBK"/>
          <w:sz w:val="32"/>
          <w:highlight w:val="none"/>
          <w:lang w:val="en-US" w:eastAsia="zh-CN"/>
        </w:rPr>
        <w:t>推进山城绿道与口袋公园建设，</w:t>
      </w:r>
      <w:r>
        <w:rPr>
          <w:rFonts w:hint="eastAsia" w:ascii="Times New Roman" w:hAnsi="Times New Roman" w:eastAsia="方正仿宋_GBK"/>
          <w:sz w:val="32"/>
          <w:highlight w:val="none"/>
        </w:rPr>
        <w:t>新增城市绿地100万平方米</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人均公园面积达15平方米</w:t>
      </w:r>
      <w:r>
        <w:rPr>
          <w:rFonts w:hint="eastAsia" w:ascii="Times New Roman" w:hAnsi="Times New Roman" w:eastAsia="方正仿宋_GBK"/>
          <w:sz w:val="32"/>
          <w:highlight w:val="none"/>
          <w:lang w:eastAsia="zh-CN"/>
        </w:rPr>
        <w:t>。</w:t>
      </w:r>
      <w:r>
        <w:rPr>
          <w:rFonts w:hint="eastAsia" w:ascii="方正楷体_GBK" w:hAnsi="方正楷体_GBK" w:eastAsia="方正楷体_GBK" w:cs="方正楷体_GBK"/>
          <w:sz w:val="32"/>
          <w:highlight w:val="none"/>
          <w:lang w:val="en-US" w:eastAsia="zh-CN"/>
        </w:rPr>
        <w:t>提升灯光照明治理效能。</w:t>
      </w:r>
      <w:r>
        <w:rPr>
          <w:rFonts w:hint="eastAsia" w:ascii="Times New Roman" w:hAnsi="Times New Roman" w:eastAsia="方正仿宋_GBK"/>
          <w:sz w:val="32"/>
          <w:highlight w:val="none"/>
        </w:rPr>
        <w:t>推进</w:t>
      </w:r>
      <w:r>
        <w:rPr>
          <w:rFonts w:hint="eastAsia" w:ascii="Times New Roman" w:hAnsi="Times New Roman" w:eastAsia="方正仿宋_GBK"/>
          <w:sz w:val="32"/>
          <w:highlight w:val="none"/>
          <w:lang w:eastAsia="zh-CN"/>
        </w:rPr>
        <w:t>“渝城灯靓”</w:t>
      </w:r>
      <w:r>
        <w:rPr>
          <w:rFonts w:hint="eastAsia" w:ascii="Times New Roman" w:hAnsi="Times New Roman" w:eastAsia="方正仿宋_GBK"/>
          <w:sz w:val="32"/>
          <w:highlight w:val="none"/>
        </w:rPr>
        <w:t>数字化应用，拓展城市照明</w:t>
      </w:r>
      <w:r>
        <w:rPr>
          <w:rFonts w:hint="eastAsia" w:ascii="Times New Roman" w:hAnsi="Times New Roman" w:eastAsia="方正仿宋_GBK"/>
          <w:sz w:val="32"/>
          <w:highlight w:val="none"/>
          <w:lang w:eastAsia="zh-CN"/>
        </w:rPr>
        <w:t>“一把闸刀”</w:t>
      </w:r>
      <w:r>
        <w:rPr>
          <w:rFonts w:hint="eastAsia" w:ascii="Times New Roman" w:hAnsi="Times New Roman" w:eastAsia="方正仿宋_GBK"/>
          <w:sz w:val="32"/>
          <w:highlight w:val="none"/>
        </w:rPr>
        <w:t>集中控制</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实施城市照明绿色低碳改造，</w:t>
      </w:r>
      <w:r>
        <w:rPr>
          <w:rFonts w:hint="eastAsia" w:ascii="Times New Roman" w:hAnsi="Times New Roman" w:eastAsia="方正仿宋_GBK"/>
          <w:sz w:val="32"/>
          <w:highlight w:val="none"/>
        </w:rPr>
        <w:t>加快推进城市智慧灯杆建设，</w:t>
      </w:r>
      <w:r>
        <w:rPr>
          <w:rFonts w:ascii="Times New Roman" w:hAnsi="Times New Roman" w:eastAsia="方正仿宋_GBK"/>
          <w:sz w:val="32"/>
          <w:highlight w:val="none"/>
        </w:rPr>
        <w:t>合理推进</w:t>
      </w:r>
      <w:r>
        <w:rPr>
          <w:rFonts w:hint="eastAsia" w:ascii="Times New Roman" w:hAnsi="Times New Roman" w:eastAsia="方正仿宋_GBK"/>
          <w:sz w:val="32"/>
          <w:highlight w:val="none"/>
          <w:lang w:eastAsia="zh-CN"/>
        </w:rPr>
        <w:t>“多杆合一”</w:t>
      </w:r>
      <w:r>
        <w:rPr>
          <w:rFonts w:ascii="Times New Roman" w:hAnsi="Times New Roman" w:eastAsia="方正仿宋_GBK"/>
          <w:sz w:val="32"/>
          <w:highlight w:val="none"/>
        </w:rPr>
        <w:t>，建成区道路亮灯率达99</w:t>
      </w:r>
      <w:r>
        <w:rPr>
          <w:rFonts w:hint="eastAsia" w:ascii="Times New Roman" w:hAnsi="Times New Roman" w:eastAsia="方正仿宋_GBK"/>
          <w:sz w:val="32"/>
          <w:highlight w:val="none"/>
          <w:lang w:val="en-US" w:eastAsia="zh-CN"/>
        </w:rPr>
        <w:t>%</w:t>
      </w:r>
      <w:r>
        <w:rPr>
          <w:rFonts w:ascii="Times New Roman" w:hAnsi="Times New Roman" w:eastAsia="方正仿宋_GBK"/>
          <w:sz w:val="32"/>
          <w:highlight w:val="none"/>
        </w:rPr>
        <w:t>以上</w:t>
      </w:r>
      <w:r>
        <w:rPr>
          <w:rFonts w:hint="eastAsia" w:ascii="Times New Roman" w:hAnsi="Times New Roman" w:eastAsia="方正仿宋_GBK"/>
          <w:sz w:val="32"/>
          <w:highlight w:val="none"/>
          <w:lang w:eastAsia="zh-CN"/>
        </w:rPr>
        <w:t>。</w:t>
      </w:r>
    </w:p>
    <w:p w14:paraId="1D33A52A">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rPr>
        <w:t>（</w:t>
      </w:r>
      <w:r>
        <w:rPr>
          <w:rFonts w:hint="eastAsia" w:ascii="Times New Roman" w:hAnsi="Times New Roman" w:eastAsia="方正楷体_GBK"/>
          <w:sz w:val="32"/>
          <w:highlight w:val="none"/>
          <w:lang w:val="en-US" w:eastAsia="zh-CN"/>
        </w:rPr>
        <w:t>三</w:t>
      </w:r>
      <w:r>
        <w:rPr>
          <w:rFonts w:hint="eastAsia" w:ascii="Times New Roman" w:hAnsi="Times New Roman" w:eastAsia="方正楷体_GBK"/>
          <w:sz w:val="32"/>
          <w:highlight w:val="none"/>
        </w:rPr>
        <w:t>）</w:t>
      </w:r>
      <w:r>
        <w:rPr>
          <w:rFonts w:hint="eastAsia" w:ascii="Times New Roman" w:hAnsi="Times New Roman" w:eastAsia="方正楷体_GBK"/>
          <w:sz w:val="32"/>
          <w:highlight w:val="none"/>
          <w:lang w:val="en-US" w:eastAsia="zh-CN"/>
        </w:rPr>
        <w:t>加强全域环境综合治理</w:t>
      </w:r>
    </w:p>
    <w:p w14:paraId="4CC34E1C">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rPr>
        <w:t>深化城市环境卫生治理</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rPr>
        <w:t>聚焦主次干道、商圈、市场等重点区域，开展环境卫生提质行动</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保持城区环卫机扫率100</w:t>
      </w:r>
      <w:r>
        <w:rPr>
          <w:rFonts w:hint="eastAsia" w:ascii="Times New Roman" w:hAnsi="Times New Roman" w:eastAsia="方正仿宋_GBK"/>
          <w:sz w:val="32"/>
          <w:highlight w:val="none"/>
          <w:lang w:val="en-US" w:eastAsia="zh-CN"/>
        </w:rPr>
        <w:t>%，</w:t>
      </w:r>
      <w:r>
        <w:rPr>
          <w:rFonts w:ascii="Times New Roman" w:hAnsi="Times New Roman" w:eastAsia="方正仿宋_GBK"/>
          <w:sz w:val="32"/>
          <w:highlight w:val="none"/>
        </w:rPr>
        <w:t>新改建25座公厕</w:t>
      </w:r>
      <w:r>
        <w:rPr>
          <w:rFonts w:hint="eastAsia" w:ascii="Times New Roman" w:hAnsi="Times New Roman" w:eastAsia="方正仿宋_GBK"/>
          <w:sz w:val="32"/>
          <w:highlight w:val="none"/>
          <w:lang w:eastAsia="zh-CN"/>
        </w:rPr>
        <w:t>，健</w:t>
      </w:r>
      <w:r>
        <w:rPr>
          <w:rFonts w:hint="default" w:ascii="Times New Roman" w:hAnsi="Times New Roman" w:eastAsia="方正仿宋_GBK"/>
          <w:sz w:val="32"/>
          <w:highlight w:val="none"/>
          <w:lang w:val="en-US" w:eastAsia="zh-CN"/>
        </w:rPr>
        <w:t>全城乡生活垃圾分类处理设施和收集转运处置体系</w:t>
      </w:r>
      <w:r>
        <w:rPr>
          <w:rFonts w:hint="eastAsia" w:ascii="Times New Roman" w:hAnsi="Times New Roman" w:eastAsia="方正仿宋_GBK"/>
          <w:sz w:val="32"/>
          <w:highlight w:val="none"/>
        </w:rPr>
        <w:t>。</w:t>
      </w:r>
      <w:r>
        <w:rPr>
          <w:rFonts w:hint="eastAsia" w:ascii="方正楷体_GBK" w:hAnsi="方正楷体_GBK" w:eastAsia="方正楷体_GBK" w:cs="方正楷体_GBK"/>
          <w:sz w:val="32"/>
          <w:highlight w:val="none"/>
        </w:rPr>
        <w:t>优化城市公共空间秩序管理</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rPr>
        <w:t>加强城乡接合部、城中村、农贸市场、背街小巷等重点区域环境整治</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深化空中</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飞线</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、户外广告招牌、占道外摆等专项治理，</w:t>
      </w:r>
      <w:r>
        <w:rPr>
          <w:rFonts w:hint="eastAsia" w:ascii="Times New Roman" w:hAnsi="Times New Roman" w:eastAsia="方正仿宋_GBK"/>
          <w:sz w:val="32"/>
          <w:highlight w:val="none"/>
          <w:lang w:val="en-US" w:eastAsia="zh-CN"/>
        </w:rPr>
        <w:t>整治</w:t>
      </w:r>
      <w:r>
        <w:rPr>
          <w:rFonts w:hint="eastAsia" w:ascii="Times New Roman" w:hAnsi="Times New Roman" w:eastAsia="方正仿宋_GBK"/>
          <w:sz w:val="32"/>
          <w:highlight w:val="none"/>
        </w:rPr>
        <w:t>更新</w:t>
      </w:r>
      <w:r>
        <w:rPr>
          <w:rFonts w:hint="eastAsia" w:ascii="Times New Roman" w:hAnsi="Times New Roman" w:eastAsia="方正仿宋_GBK"/>
          <w:sz w:val="32"/>
          <w:highlight w:val="none"/>
          <w:lang w:val="en-US" w:eastAsia="zh-CN"/>
        </w:rPr>
        <w:t>人车行道、</w:t>
      </w:r>
      <w:r>
        <w:rPr>
          <w:rFonts w:hint="eastAsia" w:ascii="Times New Roman" w:hAnsi="Times New Roman" w:eastAsia="方正仿宋_GBK"/>
          <w:sz w:val="32"/>
          <w:highlight w:val="none"/>
        </w:rPr>
        <w:t>非机动车位</w:t>
      </w:r>
      <w:r>
        <w:rPr>
          <w:rFonts w:hint="eastAsia" w:ascii="Times New Roman" w:hAnsi="Times New Roman" w:eastAsia="方正仿宋_GBK"/>
          <w:sz w:val="32"/>
          <w:highlight w:val="none"/>
          <w:lang w:val="en-US" w:eastAsia="zh-CN"/>
        </w:rPr>
        <w:t>与道路</w:t>
      </w:r>
      <w:r>
        <w:rPr>
          <w:rFonts w:hint="eastAsia" w:ascii="Times New Roman" w:hAnsi="Times New Roman" w:eastAsia="方正仿宋_GBK"/>
          <w:sz w:val="32"/>
          <w:highlight w:val="none"/>
        </w:rPr>
        <w:t>附属设施</w:t>
      </w:r>
      <w:r>
        <w:rPr>
          <w:rFonts w:hint="eastAsia" w:ascii="Times New Roman" w:hAnsi="Times New Roman" w:eastAsia="方正仿宋_GBK"/>
          <w:sz w:val="32"/>
          <w:highlight w:val="none"/>
          <w:lang w:val="en-US" w:eastAsia="zh-CN"/>
        </w:rPr>
        <w:t>实施</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优化</w:t>
      </w:r>
      <w:r>
        <w:rPr>
          <w:rFonts w:hint="eastAsia" w:ascii="Times New Roman" w:hAnsi="Times New Roman" w:eastAsia="方正仿宋_GBK"/>
          <w:sz w:val="32"/>
          <w:highlight w:val="none"/>
          <w:lang w:val="en-US" w:eastAsia="zh-CN"/>
        </w:rPr>
        <w:t>学校</w:t>
      </w:r>
      <w:r>
        <w:rPr>
          <w:rFonts w:hint="eastAsia" w:ascii="Times New Roman" w:hAnsi="Times New Roman" w:eastAsia="方正仿宋_GBK"/>
          <w:sz w:val="32"/>
          <w:highlight w:val="none"/>
        </w:rPr>
        <w:t>医院周边环境</w:t>
      </w:r>
      <w:r>
        <w:rPr>
          <w:rFonts w:hint="eastAsia" w:ascii="Times New Roman" w:hAnsi="Times New Roman" w:eastAsia="方正仿宋_GBK"/>
          <w:sz w:val="32"/>
          <w:highlight w:val="none"/>
          <w:lang w:eastAsia="zh-CN"/>
        </w:rPr>
        <w:t>。</w:t>
      </w:r>
      <w:r>
        <w:rPr>
          <w:rFonts w:hint="eastAsia" w:ascii="方正楷体_GBK" w:hAnsi="方正楷体_GBK" w:eastAsia="方正楷体_GBK" w:cs="方正楷体_GBK"/>
          <w:sz w:val="32"/>
          <w:highlight w:val="none"/>
        </w:rPr>
        <w:t>深化</w:t>
      </w:r>
      <w:r>
        <w:rPr>
          <w:rFonts w:hint="eastAsia" w:ascii="方正楷体_GBK" w:hAnsi="方正楷体_GBK" w:eastAsia="方正楷体_GBK" w:cs="方正楷体_GBK"/>
          <w:sz w:val="32"/>
          <w:highlight w:val="none"/>
          <w:lang w:val="en-US" w:eastAsia="zh-CN"/>
        </w:rPr>
        <w:t>城市管理综合行政执法。</w:t>
      </w:r>
      <w:r>
        <w:rPr>
          <w:rFonts w:hint="eastAsia" w:ascii="Times New Roman" w:hAnsi="Times New Roman" w:eastAsia="方正仿宋_GBK"/>
          <w:sz w:val="32"/>
          <w:highlight w:val="none"/>
          <w:lang w:val="en-US" w:eastAsia="zh-CN"/>
        </w:rPr>
        <w:t>持续</w:t>
      </w:r>
      <w:r>
        <w:rPr>
          <w:rFonts w:hint="eastAsia" w:ascii="Times New Roman" w:hAnsi="Times New Roman" w:eastAsia="方正仿宋_GBK"/>
          <w:sz w:val="32"/>
          <w:highlight w:val="none"/>
        </w:rPr>
        <w:t>推进</w:t>
      </w:r>
      <w:r>
        <w:rPr>
          <w:rFonts w:hint="eastAsia" w:ascii="Times New Roman" w:hAnsi="Times New Roman" w:eastAsia="方正仿宋_GBK"/>
          <w:sz w:val="32"/>
          <w:highlight w:val="none"/>
          <w:lang w:eastAsia="zh-CN"/>
        </w:rPr>
        <w:t>“城市治理进社区”</w:t>
      </w:r>
      <w:r>
        <w:rPr>
          <w:rFonts w:hint="eastAsia" w:ascii="Times New Roman" w:hAnsi="Times New Roman" w:eastAsia="方正仿宋_GBK"/>
          <w:sz w:val="32"/>
          <w:highlight w:val="none"/>
        </w:rPr>
        <w:t>，健全网格管理</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吹哨报到</w:t>
      </w:r>
      <w:r>
        <w:rPr>
          <w:rFonts w:hint="eastAsia" w:ascii="Times New Roman" w:hAnsi="Times New Roman" w:eastAsia="方正仿宋_GBK"/>
          <w:sz w:val="32"/>
          <w:highlight w:val="none"/>
          <w:lang w:val="en-US" w:eastAsia="zh-CN"/>
        </w:rPr>
        <w:t>等</w:t>
      </w:r>
      <w:r>
        <w:rPr>
          <w:rFonts w:hint="eastAsia" w:ascii="Times New Roman" w:hAnsi="Times New Roman" w:eastAsia="方正仿宋_GBK"/>
          <w:sz w:val="32"/>
          <w:highlight w:val="none"/>
        </w:rPr>
        <w:t>工作机制</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抓好固废、违建、设施、绿化、秩序专项执法行动</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加强执法信息化建设</w:t>
      </w:r>
      <w:r>
        <w:rPr>
          <w:rFonts w:hint="eastAsia" w:ascii="Times New Roman" w:hAnsi="Times New Roman" w:eastAsia="方正仿宋_GBK"/>
          <w:sz w:val="32"/>
          <w:highlight w:val="none"/>
          <w:lang w:val="en-US" w:eastAsia="zh-CN"/>
        </w:rPr>
        <w:t>与</w:t>
      </w:r>
      <w:r>
        <w:rPr>
          <w:rFonts w:hint="eastAsia" w:ascii="Times New Roman" w:hAnsi="Times New Roman" w:eastAsia="方正仿宋_GBK"/>
          <w:sz w:val="32"/>
          <w:highlight w:val="none"/>
        </w:rPr>
        <w:t>数字化监管。</w:t>
      </w:r>
    </w:p>
    <w:p w14:paraId="31C44C6B">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val="en-US" w:eastAsia="zh-CN"/>
        </w:rPr>
        <w:t>（四）推行绿色低碳发展方式</w:t>
      </w:r>
    </w:p>
    <w:p w14:paraId="0E90D1F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rPr>
      </w:pPr>
      <w:r>
        <w:rPr>
          <w:rFonts w:hint="eastAsia" w:ascii="方正楷体_GBK" w:hAnsi="方正楷体_GBK" w:eastAsia="方正楷体_GBK" w:cs="方正楷体_GBK"/>
          <w:sz w:val="32"/>
          <w:highlight w:val="none"/>
        </w:rPr>
        <w:t>推动绿色基础设施建设</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lang w:val="en-US" w:eastAsia="zh-CN"/>
        </w:rPr>
        <w:t>推动本地新能源开发，</w:t>
      </w:r>
      <w:r>
        <w:rPr>
          <w:rFonts w:hint="eastAsia" w:ascii="Times New Roman" w:hAnsi="Times New Roman" w:eastAsia="方正仿宋_GBK"/>
          <w:sz w:val="32"/>
          <w:highlight w:val="none"/>
        </w:rPr>
        <w:t>探索落地绿色先进技术示范应用，</w:t>
      </w:r>
      <w:r>
        <w:rPr>
          <w:rFonts w:hint="eastAsia" w:ascii="Times New Roman" w:hAnsi="Times New Roman" w:eastAsia="方正仿宋_GBK"/>
          <w:sz w:val="32"/>
          <w:highlight w:val="none"/>
          <w:lang w:val="en-US" w:eastAsia="zh-CN"/>
        </w:rPr>
        <w:t>支持</w:t>
      </w:r>
      <w:r>
        <w:rPr>
          <w:rFonts w:ascii="Times New Roman" w:hAnsi="Times New Roman" w:eastAsia="方正仿宋_GBK"/>
          <w:sz w:val="32"/>
          <w:highlight w:val="none"/>
        </w:rPr>
        <w:t>高新区实施循环化改造</w:t>
      </w:r>
      <w:r>
        <w:rPr>
          <w:rFonts w:hint="eastAsia" w:ascii="Times New Roman" w:hAnsi="Times New Roman" w:eastAsia="方正仿宋_GBK"/>
          <w:sz w:val="32"/>
          <w:highlight w:val="none"/>
          <w:lang w:val="en-US" w:eastAsia="zh-CN"/>
        </w:rPr>
        <w:t>与</w:t>
      </w:r>
      <w:r>
        <w:rPr>
          <w:rFonts w:ascii="Times New Roman" w:hAnsi="Times New Roman" w:eastAsia="方正仿宋_GBK"/>
          <w:sz w:val="32"/>
          <w:highlight w:val="none"/>
        </w:rPr>
        <w:t>零碳园区创建试点</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lang w:val="en-US" w:eastAsia="zh-CN"/>
        </w:rPr>
        <w:t>实施</w:t>
      </w:r>
      <w:r>
        <w:rPr>
          <w:rFonts w:hint="eastAsia" w:ascii="Times New Roman" w:hAnsi="Times New Roman" w:eastAsia="方正仿宋_GBK"/>
          <w:sz w:val="32"/>
          <w:highlight w:val="none"/>
        </w:rPr>
        <w:t>建材等高耗能行业节能降碳改造，推动产业结构绿色低碳转型升级。</w:t>
      </w:r>
      <w:r>
        <w:rPr>
          <w:rFonts w:hint="eastAsia" w:ascii="方正楷体_GBK" w:hAnsi="方正楷体_GBK" w:eastAsia="方正楷体_GBK" w:cs="方正楷体_GBK"/>
          <w:sz w:val="32"/>
          <w:highlight w:val="none"/>
        </w:rPr>
        <w:t>全域推进</w:t>
      </w:r>
      <w:r>
        <w:rPr>
          <w:rFonts w:hint="eastAsia" w:ascii="方正楷体_GBK" w:hAnsi="方正楷体_GBK" w:eastAsia="方正仿宋_GBK" w:cs="方正楷体_GBK"/>
          <w:sz w:val="32"/>
          <w:highlight w:val="none"/>
          <w:lang w:eastAsia="zh-CN"/>
        </w:rPr>
        <w:t>“</w:t>
      </w:r>
      <w:r>
        <w:rPr>
          <w:rFonts w:hint="eastAsia" w:ascii="方正楷体_GBK" w:hAnsi="方正楷体_GBK" w:eastAsia="方正楷体_GBK" w:cs="方正楷体_GBK"/>
          <w:sz w:val="32"/>
          <w:highlight w:val="none"/>
          <w:lang w:eastAsia="zh-CN"/>
        </w:rPr>
        <w:t>无废城市</w:t>
      </w:r>
      <w:r>
        <w:rPr>
          <w:rFonts w:hint="eastAsia" w:ascii="方正楷体_GBK" w:hAnsi="方正楷体_GBK" w:eastAsia="方正仿宋_GBK" w:cs="方正楷体_GBK"/>
          <w:sz w:val="32"/>
          <w:highlight w:val="none"/>
          <w:lang w:eastAsia="zh-CN"/>
        </w:rPr>
        <w:t>”</w:t>
      </w:r>
      <w:r>
        <w:rPr>
          <w:rFonts w:hint="eastAsia" w:ascii="方正楷体_GBK" w:hAnsi="方正楷体_GBK" w:eastAsia="方正楷体_GBK" w:cs="方正楷体_GBK"/>
          <w:sz w:val="32"/>
          <w:highlight w:val="none"/>
        </w:rPr>
        <w:t>建设</w:t>
      </w:r>
      <w:r>
        <w:rPr>
          <w:rFonts w:hint="eastAsia" w:ascii="方正楷体_GBK" w:hAnsi="方正楷体_GBK" w:eastAsia="方正楷体_GBK" w:cs="方正楷体_GBK"/>
          <w:sz w:val="32"/>
          <w:highlight w:val="none"/>
          <w:lang w:eastAsia="zh-CN"/>
        </w:rPr>
        <w:t>。</w:t>
      </w:r>
      <w:r>
        <w:rPr>
          <w:rFonts w:hint="eastAsia" w:ascii="Times New Roman" w:hAnsi="Times New Roman" w:eastAsia="方正仿宋_GBK"/>
          <w:sz w:val="32"/>
          <w:highlight w:val="none"/>
        </w:rPr>
        <w:t>深化生活垃圾资源化利用，建成厨余垃圾、污泥无害化处置设施</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保持城区生活垃圾</w:t>
      </w:r>
      <w:r>
        <w:rPr>
          <w:rFonts w:hint="eastAsia" w:ascii="Times New Roman" w:hAnsi="Times New Roman" w:eastAsia="方正仿宋_GBK"/>
          <w:sz w:val="32"/>
          <w:highlight w:val="none"/>
          <w:lang w:eastAsia="zh-CN"/>
        </w:rPr>
        <w:t>“全焚烧、零填埋”</w:t>
      </w:r>
      <w:r>
        <w:rPr>
          <w:rFonts w:hint="eastAsia" w:ascii="Times New Roman" w:hAnsi="Times New Roman" w:eastAsia="方正仿宋_GBK"/>
          <w:sz w:val="32"/>
          <w:highlight w:val="none"/>
        </w:rPr>
        <w:t>，</w:t>
      </w:r>
      <w:r>
        <w:rPr>
          <w:rFonts w:hint="default" w:ascii="Times New Roman" w:hAnsi="Times New Roman" w:eastAsia="方正仿宋_GBK"/>
          <w:sz w:val="32"/>
          <w:highlight w:val="none"/>
          <w:lang w:val="en-US" w:eastAsia="zh-CN"/>
        </w:rPr>
        <w:t>城市生活垃圾回收利用率达45%</w:t>
      </w:r>
      <w:r>
        <w:rPr>
          <w:rFonts w:hint="eastAsia" w:ascii="Times New Roman" w:hAnsi="Times New Roman" w:eastAsia="方正仿宋_GBK"/>
          <w:sz w:val="32"/>
          <w:highlight w:val="none"/>
          <w:lang w:val="en-US" w:eastAsia="zh-CN"/>
        </w:rPr>
        <w:t>，</w:t>
      </w:r>
      <w:r>
        <w:rPr>
          <w:rFonts w:hint="eastAsia" w:ascii="Times New Roman" w:hAnsi="Times New Roman" w:eastAsia="方正仿宋_GBK"/>
          <w:sz w:val="32"/>
          <w:highlight w:val="none"/>
        </w:rPr>
        <w:t>城市生活污泥无害化处置</w:t>
      </w:r>
      <w:r>
        <w:rPr>
          <w:rFonts w:hint="eastAsia" w:ascii="Times New Roman" w:hAnsi="Times New Roman" w:eastAsia="方正仿宋_GBK"/>
          <w:sz w:val="32"/>
          <w:highlight w:val="none"/>
          <w:lang w:val="en-US" w:eastAsia="zh-CN"/>
        </w:rPr>
        <w:t>率</w:t>
      </w:r>
      <w:r>
        <w:rPr>
          <w:rFonts w:hint="default" w:ascii="Times New Roman" w:hAnsi="Times New Roman" w:eastAsia="方正仿宋_GBK"/>
          <w:sz w:val="32"/>
          <w:highlight w:val="none"/>
          <w:lang w:val="en-US" w:eastAsia="zh-CN"/>
        </w:rPr>
        <w:t>达</w:t>
      </w:r>
      <w:r>
        <w:rPr>
          <w:rFonts w:hint="eastAsia" w:ascii="Times New Roman" w:hAnsi="Times New Roman" w:eastAsia="方正仿宋_GBK"/>
          <w:sz w:val="32"/>
          <w:highlight w:val="none"/>
        </w:rPr>
        <w:t>100</w:t>
      </w:r>
      <w:r>
        <w:rPr>
          <w:rFonts w:hint="eastAsia" w:ascii="Times New Roman" w:hAnsi="Times New Roman" w:eastAsia="方正仿宋_GBK"/>
          <w:sz w:val="32"/>
          <w:highlight w:val="none"/>
          <w:lang w:val="en-US" w:eastAsia="zh-CN"/>
        </w:rPr>
        <w:t>%</w:t>
      </w:r>
      <w:r>
        <w:rPr>
          <w:rFonts w:hint="eastAsia" w:ascii="Times New Roman" w:hAnsi="Times New Roman" w:eastAsia="方正仿宋_GBK"/>
          <w:sz w:val="32"/>
          <w:highlight w:val="none"/>
        </w:rPr>
        <w:t>。加快建筑垃圾</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rPr>
        <w:t>工业固废综合利用，推动焚烧飞灰无害化处置。提升医疗废物处置能力，健全危废管理体系</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lang w:val="en-US" w:eastAsia="zh-CN"/>
        </w:rPr>
        <w:t>建成</w:t>
      </w:r>
      <w:r>
        <w:rPr>
          <w:rFonts w:hint="default" w:ascii="Times New Roman" w:hAnsi="Times New Roman" w:eastAsia="方正仿宋_GBK"/>
          <w:sz w:val="32"/>
          <w:highlight w:val="none"/>
          <w:lang w:val="en-US" w:eastAsia="zh-CN"/>
        </w:rPr>
        <w:t>1</w:t>
      </w:r>
      <w:r>
        <w:rPr>
          <w:rFonts w:hint="eastAsia" w:ascii="Times New Roman" w:hAnsi="Times New Roman" w:eastAsia="方正仿宋_GBK"/>
          <w:sz w:val="32"/>
          <w:highlight w:val="none"/>
          <w:lang w:val="en-US" w:eastAsia="zh-CN"/>
        </w:rPr>
        <w:t>00</w:t>
      </w:r>
      <w:r>
        <w:rPr>
          <w:rFonts w:hint="default" w:ascii="Times New Roman" w:hAnsi="Times New Roman" w:eastAsia="方正仿宋_GBK"/>
          <w:sz w:val="32"/>
          <w:highlight w:val="none"/>
          <w:lang w:val="en-US" w:eastAsia="zh-CN"/>
        </w:rPr>
        <w:t>个</w:t>
      </w:r>
      <w:r>
        <w:rPr>
          <w:rFonts w:hint="eastAsia" w:ascii="Times New Roman" w:hAnsi="Times New Roman" w:eastAsia="方正仿宋_GBK"/>
          <w:sz w:val="32"/>
          <w:highlight w:val="none"/>
          <w:lang w:val="en-US" w:eastAsia="zh-CN"/>
        </w:rPr>
        <w:t>“</w:t>
      </w:r>
      <w:r>
        <w:rPr>
          <w:rFonts w:hint="default" w:ascii="Times New Roman" w:hAnsi="Times New Roman" w:eastAsia="方正仿宋_GBK"/>
          <w:sz w:val="32"/>
          <w:highlight w:val="none"/>
          <w:lang w:val="en-US" w:eastAsia="zh-CN"/>
        </w:rPr>
        <w:t>无废细胞</w:t>
      </w:r>
      <w:r>
        <w:rPr>
          <w:rFonts w:hint="eastAsia" w:ascii="Times New Roman" w:hAnsi="Times New Roman" w:eastAsia="方正仿宋_GBK"/>
          <w:sz w:val="32"/>
          <w:highlight w:val="none"/>
          <w:lang w:val="en-US" w:eastAsia="zh-CN"/>
        </w:rPr>
        <w:t>”</w:t>
      </w:r>
      <w:r>
        <w:rPr>
          <w:rFonts w:hint="eastAsia" w:ascii="Times New Roman" w:hAnsi="Times New Roman" w:eastAsia="方正仿宋_GBK"/>
          <w:sz w:val="32"/>
          <w:highlight w:val="none"/>
        </w:rPr>
        <w:t>。</w:t>
      </w:r>
    </w:p>
    <w:tbl>
      <w:tblPr>
        <w:tblStyle w:val="11"/>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14:paraId="6F99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0" w:type="dxa"/>
            <w:tcBorders>
              <w:top w:val="nil"/>
              <w:left w:val="nil"/>
              <w:bottom w:val="single" w:color="auto" w:sz="4" w:space="0"/>
              <w:right w:val="nil"/>
            </w:tcBorders>
          </w:tcPr>
          <w:p w14:paraId="333EAE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4" w:lineRule="exact"/>
              <w:ind w:left="0" w:leftChars="0" w:right="0" w:firstLine="0" w:firstLineChars="0"/>
              <w:jc w:val="center"/>
              <w:textAlignment w:val="auto"/>
              <w:rPr>
                <w:rFonts w:hint="default" w:ascii="Times New Roman" w:hAnsi="Times New Roman"/>
                <w:b w:val="0"/>
                <w:bCs w:val="0"/>
                <w:color w:val="000000" w:themeColor="text1"/>
                <w:highlight w:val="none"/>
                <w:u w:val="none" w:color="auto"/>
                <w:vertAlign w:val="baseline"/>
                <w:lang w:val="en-US" w:eastAsia="zh-CN"/>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6 </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b w:val="0"/>
                <w:bCs w:val="0"/>
                <w:color w:val="000000" w:themeColor="text1"/>
                <w:sz w:val="32"/>
                <w:szCs w:val="22"/>
                <w:highlight w:val="none"/>
                <w:u w:val="none" w:color="auto"/>
                <w:lang w:val="en-US" w:eastAsia="zh-CN" w:bidi="ar"/>
                <w14:textFill>
                  <w14:solidFill>
                    <w14:schemeClr w14:val="tx1"/>
                  </w14:solidFill>
                </w14:textFill>
              </w:rPr>
              <w:t>绿色低碳</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重点</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方向</w:t>
            </w:r>
          </w:p>
        </w:tc>
      </w:tr>
      <w:tr w14:paraId="3254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30" w:type="dxa"/>
            <w:tcBorders>
              <w:top w:val="single" w:color="auto" w:sz="4" w:space="0"/>
            </w:tcBorders>
          </w:tcPr>
          <w:p w14:paraId="2FBE88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4" w:lineRule="exact"/>
              <w:ind w:left="0" w:right="0" w:firstLine="562"/>
              <w:textAlignment w:val="auto"/>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sz w:val="24"/>
                <w:szCs w:val="24"/>
                <w:highlight w:val="none"/>
                <w:u w:val="none" w:color="auto"/>
                <w:lang w:val="en-US" w:eastAsia="zh-CN" w:bidi="ar"/>
                <w14:textFill>
                  <w14:solidFill>
                    <w14:schemeClr w14:val="tx1"/>
                  </w14:solidFill>
                </w14:textFill>
              </w:rPr>
              <w:t>1.山水林田湖草沙保护。</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建设国家储备林</w:t>
            </w:r>
            <w:r>
              <w:rPr>
                <w:rFonts w:hint="eastAsia" w:ascii="Times New Roman" w:hAnsi="Times New Roman" w:eastAsia="方正仿宋_GBK" w:cs="方正仿宋_GBK"/>
                <w:color w:val="000000" w:themeColor="text1"/>
                <w:sz w:val="24"/>
                <w:szCs w:val="24"/>
                <w:highlight w:val="none"/>
                <w:u w:val="none" w:color="auto"/>
                <w:lang w:val="en-US" w:eastAsia="zh-CN" w:bidi="ar"/>
                <w14:textFill>
                  <w14:solidFill>
                    <w14:schemeClr w14:val="tx1"/>
                  </w14:solidFill>
                </w14:textFill>
              </w:rPr>
              <w:t>5</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万亩，实施森林质量提升</w:t>
            </w:r>
            <w:r>
              <w:rPr>
                <w:rFonts w:hint="eastAsia" w:ascii="Times New Roman" w:hAnsi="Times New Roman" w:eastAsia="方正仿宋_GBK" w:cs="方正仿宋_GBK"/>
                <w:color w:val="000000" w:themeColor="text1"/>
                <w:sz w:val="24"/>
                <w:szCs w:val="24"/>
                <w:highlight w:val="none"/>
                <w:u w:val="none" w:color="auto"/>
                <w:lang w:val="en-US" w:eastAsia="zh-CN" w:bidi="ar"/>
                <w14:textFill>
                  <w14:solidFill>
                    <w14:schemeClr w14:val="tx1"/>
                  </w14:solidFill>
                </w14:textFill>
              </w:rPr>
              <w:t>5</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万亩、国土绿化综合项目</w:t>
            </w:r>
            <w:r>
              <w:rPr>
                <w:rFonts w:hint="eastAsia" w:ascii="Times New Roman" w:hAnsi="Times New Roman" w:eastAsia="方正仿宋_GBK" w:cs="方正仿宋_GBK"/>
                <w:color w:val="000000" w:themeColor="text1"/>
                <w:sz w:val="24"/>
                <w:szCs w:val="24"/>
                <w:highlight w:val="none"/>
                <w:u w:val="none" w:color="auto"/>
                <w:lang w:val="en-US" w:eastAsia="zh-CN" w:bidi="ar"/>
                <w14:textFill>
                  <w14:solidFill>
                    <w14:schemeClr w14:val="tx1"/>
                  </w14:solidFill>
                </w14:textFill>
              </w:rPr>
              <w:t>6</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万亩。推动防洪护岸综合整治与铜梁污水处理厂建设。</w:t>
            </w:r>
          </w:p>
          <w:p w14:paraId="4D3213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4" w:lineRule="exact"/>
              <w:ind w:left="0" w:right="0" w:firstLine="562"/>
              <w:textAlignment w:val="auto"/>
              <w:rPr>
                <w:rFonts w:hint="default" w:ascii="Times New Roman" w:hAnsi="Times New Roman" w:cs="Times New Roman"/>
                <w:lang w:val="en-US" w:eastAsia="zh-CN"/>
              </w:rPr>
            </w:pPr>
            <w:r>
              <w:rPr>
                <w:rFonts w:hint="eastAsia" w:ascii="Times New Roman" w:hAnsi="Times New Roman" w:eastAsia="方正黑体_GBK" w:cs="方正黑体_GBK"/>
                <w:b w:val="0"/>
                <w:bCs w:val="0"/>
                <w:color w:val="000000" w:themeColor="text1"/>
                <w:sz w:val="24"/>
                <w:szCs w:val="24"/>
                <w:highlight w:val="none"/>
                <w:u w:val="none" w:color="auto"/>
                <w:lang w:val="en-US" w:eastAsia="zh-CN" w:bidi="ar"/>
                <w14:textFill>
                  <w14:solidFill>
                    <w14:schemeClr w14:val="tx1"/>
                  </w14:solidFill>
                </w14:textFill>
              </w:rPr>
              <w:t>2.城市绿化提质增量</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。建设</w:t>
            </w:r>
            <w:r>
              <w:rPr>
                <w:rFonts w:hint="default" w:ascii="Times New Roman" w:hAnsi="Times New Roman" w:eastAsia="方正仿宋_GBK" w:cs="Times New Roman"/>
                <w:color w:val="000000" w:themeColor="text1"/>
                <w:sz w:val="24"/>
                <w:szCs w:val="24"/>
                <w:highlight w:val="none"/>
                <w:u w:val="none" w:color="auto"/>
                <w:lang w:val="en-US" w:eastAsia="zh-CN" w:bidi="ar"/>
                <w14:textFill>
                  <w14:solidFill>
                    <w14:schemeClr w14:val="tx1"/>
                  </w14:solidFill>
                </w14:textFill>
              </w:rPr>
              <w:t>山城绿道5公里</w:t>
            </w:r>
            <w:r>
              <w:rPr>
                <w:rFonts w:hint="eastAsia" w:ascii="Times New Roman" w:hAnsi="Times New Roman" w:eastAsia="方正仿宋_GBK" w:cs="Times New Roman"/>
                <w:color w:val="000000" w:themeColor="text1"/>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color w:val="000000" w:themeColor="text1"/>
                <w:sz w:val="24"/>
                <w:szCs w:val="24"/>
                <w:highlight w:val="none"/>
                <w:u w:val="none" w:color="auto"/>
                <w:lang w:val="en-US" w:eastAsia="zh-CN" w:bidi="ar"/>
                <w14:textFill>
                  <w14:solidFill>
                    <w14:schemeClr w14:val="tx1"/>
                  </w14:solidFill>
                </w14:textFill>
              </w:rPr>
              <w:t>口袋公园10个</w:t>
            </w:r>
            <w:r>
              <w:rPr>
                <w:rFonts w:hint="eastAsia" w:ascii="Times New Roman" w:hAnsi="Times New Roman" w:eastAsia="方正仿宋_GBK" w:cs="Times New Roman"/>
                <w:color w:val="000000" w:themeColor="text1"/>
                <w:sz w:val="24"/>
                <w:szCs w:val="24"/>
                <w:highlight w:val="none"/>
                <w:u w:val="none" w:color="auto"/>
                <w:lang w:val="en-US" w:eastAsia="zh-CN" w:bidi="ar"/>
                <w14:textFill>
                  <w14:solidFill>
                    <w14:schemeClr w14:val="tx1"/>
                  </w14:solidFill>
                </w14:textFill>
              </w:rPr>
              <w:t>，完成“五横五纵”</w:t>
            </w:r>
            <w:r>
              <w:rPr>
                <w:rFonts w:hint="default" w:ascii="Times New Roman" w:hAnsi="Times New Roman" w:eastAsia="方正仿宋_GBK" w:cs="Times New Roman"/>
                <w:color w:val="000000" w:themeColor="text1"/>
                <w:sz w:val="24"/>
                <w:szCs w:val="24"/>
                <w:highlight w:val="none"/>
                <w:u w:val="none" w:color="auto"/>
                <w:lang w:val="en-US" w:eastAsia="zh-CN" w:bidi="ar"/>
                <w14:textFill>
                  <w14:solidFill>
                    <w14:schemeClr w14:val="tx1"/>
                  </w14:solidFill>
                </w14:textFill>
              </w:rPr>
              <w:t>主干道绿化品质提升</w:t>
            </w:r>
            <w:r>
              <w:rPr>
                <w:rFonts w:hint="eastAsia" w:ascii="Times New Roman" w:hAnsi="Times New Roman" w:eastAsia="方正仿宋_GBK" w:cs="Times New Roman"/>
                <w:color w:val="000000" w:themeColor="text1"/>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color w:val="000000" w:themeColor="text1"/>
                <w:sz w:val="24"/>
                <w:szCs w:val="24"/>
                <w:highlight w:val="none"/>
                <w:u w:val="none" w:color="auto"/>
                <w:lang w:val="en-US" w:eastAsia="zh-CN" w:bidi="ar"/>
                <w14:textFill>
                  <w14:solidFill>
                    <w14:schemeClr w14:val="tx1"/>
                  </w14:solidFill>
                </w14:textFill>
              </w:rPr>
              <w:t>坡坎崖绿化美化、增花添彩、提质补缺共20万平方米。</w:t>
            </w:r>
          </w:p>
          <w:p w14:paraId="30B5B0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4" w:lineRule="exact"/>
              <w:ind w:left="0" w:right="0" w:firstLine="562"/>
              <w:textAlignment w:val="auto"/>
              <w:rPr>
                <w:rFonts w:hint="default"/>
                <w:highlight w:val="none"/>
                <w:lang w:val="en-US" w:eastAsia="zh-CN"/>
              </w:rPr>
            </w:pPr>
            <w:r>
              <w:rPr>
                <w:rFonts w:hint="eastAsia" w:ascii="Times New Roman" w:hAnsi="Times New Roman" w:eastAsia="方正黑体_GBK" w:cs="Times New Roman"/>
                <w:b w:val="0"/>
                <w:bCs w:val="0"/>
                <w:color w:val="000000" w:themeColor="text1"/>
                <w:sz w:val="24"/>
                <w:szCs w:val="24"/>
                <w:highlight w:val="none"/>
                <w:u w:val="none" w:color="auto"/>
                <w:lang w:val="en-US" w:eastAsia="zh-CN" w:bidi="ar"/>
                <w14:textFill>
                  <w14:solidFill>
                    <w14:schemeClr w14:val="tx1"/>
                  </w14:solidFill>
                </w14:textFill>
              </w:rPr>
              <w:t>3</w:t>
            </w:r>
            <w:r>
              <w:rPr>
                <w:rFonts w:hint="default" w:ascii="Times New Roman" w:hAnsi="Times New Roman" w:eastAsia="方正黑体_GBK" w:cs="Times New Roman"/>
                <w:b w:val="0"/>
                <w:bCs w:val="0"/>
                <w:color w:val="000000" w:themeColor="text1"/>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黑体_GBK" w:cs="Times New Roman"/>
                <w:b w:val="0"/>
                <w:bCs w:val="0"/>
                <w:color w:val="000000" w:themeColor="text1"/>
                <w:sz w:val="24"/>
                <w:szCs w:val="24"/>
                <w:highlight w:val="none"/>
                <w:u w:val="none" w:color="auto"/>
                <w:lang w:val="en-US" w:eastAsia="zh-CN" w:bidi="ar"/>
                <w14:textFill>
                  <w14:solidFill>
                    <w14:schemeClr w14:val="tx1"/>
                  </w14:solidFill>
                </w14:textFill>
              </w:rPr>
              <w:t>城市环境综合治理</w:t>
            </w:r>
            <w:r>
              <w:rPr>
                <w:rFonts w:hint="default" w:ascii="Times New Roman" w:hAnsi="Times New Roman" w:eastAsia="方正黑体_GBK" w:cs="Times New Roman"/>
                <w:b w:val="0"/>
                <w:bCs w:val="0"/>
                <w:color w:val="000000" w:themeColor="text1"/>
                <w:sz w:val="24"/>
                <w:szCs w:val="24"/>
                <w:highlight w:val="none"/>
                <w:u w:val="none" w:color="auto"/>
                <w:lang w:val="en-US" w:eastAsia="zh-CN" w:bidi="ar"/>
                <w14:textFill>
                  <w14:solidFill>
                    <w14:schemeClr w14:val="tx1"/>
                  </w14:solidFill>
                </w14:textFill>
              </w:rPr>
              <w:t>。</w:t>
            </w:r>
            <w:r>
              <w:rPr>
                <w:rFonts w:hint="default"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设置</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w:t>
            </w:r>
            <w:r>
              <w:rPr>
                <w:rFonts w:hint="default"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潮汐摊区</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方正仿宋_GBK"/>
                <w:color w:val="000000" w:themeColor="text1"/>
                <w:sz w:val="24"/>
                <w:szCs w:val="24"/>
                <w:highlight w:val="none"/>
                <w:u w:val="none" w:color="auto"/>
                <w:lang w:val="en-US" w:eastAsia="zh-CN" w:bidi="ar"/>
                <w14:textFill>
                  <w14:solidFill>
                    <w14:schemeClr w14:val="tx1"/>
                  </w14:solidFill>
                </w14:textFill>
              </w:rPr>
              <w:t>17</w:t>
            </w:r>
            <w:r>
              <w:rPr>
                <w:rFonts w:hint="default"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个</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，建设建筑垃圾消纳场</w:t>
            </w:r>
            <w:r>
              <w:rPr>
                <w:rFonts w:hint="eastAsia" w:ascii="Times New Roman" w:hAnsi="Times New Roman" w:eastAsia="方正仿宋_GBK" w:cs="方正仿宋_GBK"/>
                <w:color w:val="000000" w:themeColor="text1"/>
                <w:sz w:val="24"/>
                <w:szCs w:val="24"/>
                <w:highlight w:val="none"/>
                <w:u w:val="none" w:color="auto"/>
                <w:lang w:val="en-US" w:eastAsia="zh-CN" w:bidi="ar"/>
                <w14:textFill>
                  <w14:solidFill>
                    <w14:schemeClr w14:val="tx1"/>
                  </w14:solidFill>
                </w14:textFill>
              </w:rPr>
              <w:t>2</w:t>
            </w:r>
            <w:r>
              <w:rPr>
                <w:rFonts w:hint="eastAsia" w:ascii="方正仿宋_GBK" w:hAnsi="方正仿宋_GBK" w:eastAsia="方正仿宋_GBK" w:cs="方正仿宋_GBK"/>
                <w:color w:val="000000" w:themeColor="text1"/>
                <w:sz w:val="24"/>
                <w:szCs w:val="24"/>
                <w:highlight w:val="none"/>
                <w:u w:val="none" w:color="auto"/>
                <w:lang w:val="en-US" w:eastAsia="zh-CN" w:bidi="ar"/>
                <w14:textFill>
                  <w14:solidFill>
                    <w14:schemeClr w14:val="tx1"/>
                  </w14:solidFill>
                </w14:textFill>
              </w:rPr>
              <w:t>座。</w:t>
            </w:r>
          </w:p>
        </w:tc>
      </w:tr>
    </w:tbl>
    <w:p w14:paraId="41E6659F">
      <w:pPr>
        <w:keepNext w:val="0"/>
        <w:keepLines w:val="0"/>
        <w:pageBreakBefore w:val="0"/>
        <w:widowControl w:val="0"/>
        <w:numPr>
          <w:ilvl w:val="0"/>
          <w:numId w:val="1"/>
        </w:numPr>
        <w:kinsoku/>
        <w:wordWrap/>
        <w:overflowPunct/>
        <w:topLinePunct w:val="0"/>
        <w:autoSpaceDE/>
        <w:autoSpaceDN/>
        <w:bidi w:val="0"/>
        <w:adjustRightInd/>
        <w:snapToGrid/>
        <w:spacing w:after="0" w:line="600" w:lineRule="exact"/>
        <w:ind w:firstLine="640" w:firstLineChars="200"/>
        <w:jc w:val="both"/>
        <w:textAlignment w:val="auto"/>
        <w:outlineLvl w:val="0"/>
        <w:rPr>
          <w:rFonts w:hint="eastAsia" w:ascii="Times New Roman" w:hAnsi="Times New Roman" w:eastAsia="方正黑体_GBK"/>
          <w:sz w:val="32"/>
          <w:highlight w:val="none"/>
          <w:lang w:val="en-US" w:eastAsia="zh-CN"/>
        </w:rPr>
      </w:pPr>
      <w:r>
        <w:rPr>
          <w:rFonts w:hint="eastAsia" w:ascii="Times New Roman" w:hAnsi="Times New Roman" w:eastAsia="方正黑体_GBK"/>
          <w:sz w:val="32"/>
          <w:highlight w:val="none"/>
          <w:lang w:val="en-US" w:eastAsia="zh-CN"/>
        </w:rPr>
        <w:t>构建数智赋能的智慧之城</w:t>
      </w:r>
    </w:p>
    <w:p w14:paraId="3A995FE2">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val="en-US" w:eastAsia="zh-CN"/>
        </w:rPr>
        <w:t>（一）全面加强数智底座建设</w:t>
      </w:r>
    </w:p>
    <w:p w14:paraId="46C41FB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ascii="方正仿宋_GBK" w:hAnsi="方正仿宋_GBK" w:eastAsia="方正仿宋_GBK"/>
          <w:b w:val="0"/>
          <w:sz w:val="32"/>
          <w:highlight w:val="none"/>
        </w:rPr>
      </w:pPr>
      <w:r>
        <w:rPr>
          <w:rFonts w:hint="eastAsia" w:ascii="方正楷体_GBK" w:hAnsi="方正楷体_GBK" w:eastAsia="方正楷体_GBK" w:cs="方正楷体_GBK"/>
          <w:sz w:val="32"/>
          <w:highlight w:val="none"/>
        </w:rPr>
        <w:t>推进高质量数据</w:t>
      </w:r>
      <w:r>
        <w:rPr>
          <w:rFonts w:hint="eastAsia" w:ascii="方正楷体_GBK" w:hAnsi="方正楷体_GBK" w:eastAsia="方正楷体_GBK" w:cs="方正楷体_GBK"/>
          <w:sz w:val="32"/>
          <w:highlight w:val="none"/>
          <w:lang w:val="en-US" w:eastAsia="zh-CN"/>
        </w:rPr>
        <w:t>系统</w:t>
      </w:r>
      <w:r>
        <w:rPr>
          <w:rFonts w:hint="eastAsia" w:ascii="方正楷体_GBK" w:hAnsi="方正楷体_GBK" w:eastAsia="方正楷体_GBK" w:cs="方正楷体_GBK"/>
          <w:sz w:val="32"/>
          <w:highlight w:val="none"/>
        </w:rPr>
        <w:t>建设</w:t>
      </w:r>
      <w:r>
        <w:rPr>
          <w:rFonts w:hint="eastAsia" w:ascii="方正楷体_GBK" w:hAnsi="方正楷体_GBK" w:eastAsia="方正楷体_GBK" w:cs="方正楷体_GBK"/>
          <w:sz w:val="32"/>
          <w:highlight w:val="none"/>
          <w:lang w:eastAsia="zh-CN"/>
        </w:rPr>
        <w:t>。</w:t>
      </w:r>
      <w:r>
        <w:rPr>
          <w:rFonts w:hint="default" w:ascii="Times New Roman" w:hAnsi="Times New Roman" w:eastAsia="方正仿宋_GBK"/>
          <w:sz w:val="32"/>
          <w:highlight w:val="none"/>
          <w:lang w:val="en-US" w:eastAsia="zh-CN"/>
        </w:rPr>
        <w:t>提升公共数据全生命周期管理能力</w:t>
      </w:r>
      <w:r>
        <w:rPr>
          <w:rFonts w:hint="eastAsia" w:ascii="Times New Roman" w:hAnsi="Times New Roman" w:eastAsia="方正仿宋_GBK"/>
          <w:sz w:val="32"/>
          <w:highlight w:val="none"/>
          <w:lang w:val="en-US" w:eastAsia="zh-CN"/>
        </w:rPr>
        <w:t>，建成高质量数据集2个，</w:t>
      </w:r>
      <w:r>
        <w:rPr>
          <w:rFonts w:ascii="Times New Roman" w:hAnsi="Times New Roman" w:eastAsia="方正仿宋_GBK"/>
          <w:sz w:val="32"/>
          <w:highlight w:val="none"/>
        </w:rPr>
        <w:t>推进数据共享达500类</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强化数据标准化建设，数据治理合格率保持在95%以上。</w:t>
      </w:r>
      <w:r>
        <w:rPr>
          <w:rFonts w:hint="eastAsia" w:ascii="方正楷体_GBK" w:hAnsi="方正楷体_GBK" w:eastAsia="方正楷体_GBK" w:cs="方正楷体_GBK"/>
          <w:sz w:val="32"/>
          <w:highlight w:val="none"/>
          <w:lang w:val="en-US" w:eastAsia="zh-CN"/>
        </w:rPr>
        <w:t>加快建设智联感知体系。</w:t>
      </w:r>
      <w:r>
        <w:rPr>
          <w:rFonts w:hint="eastAsia" w:ascii="Times New Roman" w:hAnsi="Times New Roman" w:eastAsia="方正仿宋_GBK"/>
          <w:sz w:val="32"/>
          <w:highlight w:val="none"/>
          <w:lang w:val="en-US" w:eastAsia="zh-CN"/>
        </w:rPr>
        <w:t>持续</w:t>
      </w:r>
      <w:r>
        <w:rPr>
          <w:rFonts w:ascii="Times New Roman" w:hAnsi="Times New Roman" w:eastAsia="方正仿宋_GBK"/>
          <w:sz w:val="32"/>
          <w:highlight w:val="none"/>
        </w:rPr>
        <w:t>布局无人机、传感器等</w:t>
      </w:r>
      <w:r>
        <w:rPr>
          <w:rFonts w:hint="eastAsia" w:ascii="Times New Roman" w:hAnsi="Times New Roman" w:eastAsia="方正仿宋_GBK"/>
          <w:sz w:val="32"/>
          <w:highlight w:val="none"/>
          <w:lang w:val="en-US" w:eastAsia="zh-CN"/>
        </w:rPr>
        <w:t>物联感知设备</w:t>
      </w:r>
      <w:r>
        <w:rPr>
          <w:rFonts w:ascii="Times New Roman" w:hAnsi="Times New Roman" w:eastAsia="方正仿宋_GBK"/>
          <w:sz w:val="32"/>
          <w:highlight w:val="none"/>
        </w:rPr>
        <w:t>，实现重点风险点位全监测</w:t>
      </w:r>
      <w:r>
        <w:rPr>
          <w:rFonts w:hint="eastAsia" w:ascii="Times New Roman" w:hAnsi="Times New Roman" w:eastAsia="方正仿宋_GBK"/>
          <w:sz w:val="32"/>
          <w:highlight w:val="none"/>
          <w:lang w:eastAsia="zh-CN"/>
        </w:rPr>
        <w:t>，</w:t>
      </w:r>
      <w:r>
        <w:rPr>
          <w:rFonts w:ascii="Times New Roman" w:hAnsi="Times New Roman" w:eastAsia="方正仿宋_GBK"/>
          <w:sz w:val="32"/>
          <w:highlight w:val="none"/>
        </w:rPr>
        <w:t>累计接入感知设备数53万个，</w:t>
      </w:r>
      <w:r>
        <w:rPr>
          <w:rFonts w:hint="eastAsia" w:ascii="Times New Roman" w:hAnsi="Times New Roman" w:eastAsia="方正仿宋_GBK"/>
          <w:sz w:val="32"/>
          <w:highlight w:val="none"/>
          <w:lang w:val="en-US" w:eastAsia="zh-CN"/>
        </w:rPr>
        <w:t>重点领域接入率达96%以上</w:t>
      </w:r>
      <w:r>
        <w:rPr>
          <w:rFonts w:ascii="Times New Roman" w:hAnsi="Times New Roman" w:eastAsia="方正仿宋_GBK"/>
          <w:sz w:val="32"/>
          <w:highlight w:val="none"/>
        </w:rPr>
        <w:t>。</w:t>
      </w:r>
      <w:r>
        <w:rPr>
          <w:rFonts w:hint="eastAsia" w:ascii="方正楷体_GBK" w:hAnsi="方正楷体_GBK" w:eastAsia="方正楷体_GBK" w:cs="方正楷体_GBK"/>
          <w:sz w:val="32"/>
          <w:highlight w:val="none"/>
          <w:lang w:val="en-US" w:eastAsia="zh-CN"/>
        </w:rPr>
        <w:t>构建数字治理系统集成体系。</w:t>
      </w:r>
      <w:r>
        <w:rPr>
          <w:rFonts w:ascii="方正仿宋_GBK" w:hAnsi="方正仿宋_GBK" w:eastAsia="方正仿宋_GBK"/>
          <w:b w:val="0"/>
          <w:sz w:val="32"/>
          <w:highlight w:val="none"/>
        </w:rPr>
        <w:t>推进数字孪生系统建设，</w:t>
      </w:r>
      <w:r>
        <w:rPr>
          <w:rFonts w:hint="eastAsia" w:ascii="方正仿宋_GBK" w:hAnsi="方正仿宋_GBK" w:eastAsia="方正仿宋_GBK"/>
          <w:b w:val="0"/>
          <w:sz w:val="32"/>
          <w:highlight w:val="none"/>
          <w:lang w:val="en-US" w:eastAsia="zh-CN"/>
        </w:rPr>
        <w:t>加强</w:t>
      </w:r>
      <w:r>
        <w:rPr>
          <w:rFonts w:ascii="方正仿宋_GBK" w:hAnsi="方正仿宋_GBK" w:eastAsia="方正仿宋_GBK"/>
          <w:b w:val="0"/>
          <w:sz w:val="32"/>
          <w:highlight w:val="none"/>
        </w:rPr>
        <w:t>管线矢量数据、城市运行管理数据以及三维数据归集，增强治理预测分析和决策能力。推动算力、算法、数据、知识体系在三级治理中心和不同业务系统间有序调度和智能协同。</w:t>
      </w:r>
    </w:p>
    <w:p w14:paraId="3096347E">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val="en-US" w:eastAsia="zh-CN"/>
        </w:rPr>
        <w:t>（二）发挥智慧中枢主轴功能</w:t>
      </w:r>
    </w:p>
    <w:p w14:paraId="4D335BB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Times New Roman" w:hAnsi="Times New Roman" w:eastAsia="方正仿宋_GBK"/>
          <w:sz w:val="32"/>
          <w:highlight w:val="none"/>
          <w:lang w:val="en-US" w:eastAsia="zh-CN"/>
        </w:rPr>
      </w:pPr>
      <w:r>
        <w:rPr>
          <w:rFonts w:hint="eastAsia" w:ascii="方正楷体_GBK" w:hAnsi="方正楷体_GBK" w:eastAsia="方正楷体_GBK" w:cs="方正楷体_GBK"/>
          <w:sz w:val="32"/>
          <w:highlight w:val="none"/>
          <w:lang w:val="en-US" w:eastAsia="zh-CN"/>
        </w:rPr>
        <w:t>推广应用一体化</w:t>
      </w:r>
      <w:r>
        <w:rPr>
          <w:rFonts w:hint="eastAsia" w:ascii="方正楷体_GBK" w:hAnsi="方正楷体_GBK" w:eastAsia="方正楷体_GBK" w:cs="方正楷体_GBK"/>
          <w:sz w:val="32"/>
          <w:highlight w:val="none"/>
        </w:rPr>
        <w:t>智能化公共数据平台</w:t>
      </w:r>
      <w:r>
        <w:rPr>
          <w:rFonts w:hint="eastAsia" w:ascii="方正楷体_GBK" w:hAnsi="方正楷体_GBK" w:eastAsia="方正楷体_GBK" w:cs="方正楷体_GBK"/>
          <w:sz w:val="32"/>
          <w:highlight w:val="none"/>
          <w:lang w:eastAsia="zh-CN"/>
        </w:rPr>
        <w:t>。</w:t>
      </w:r>
      <w:r>
        <w:rPr>
          <w:rFonts w:hint="default" w:ascii="Times New Roman" w:hAnsi="Times New Roman" w:eastAsia="方正仿宋_GBK" w:cs="Times New Roman"/>
          <w:sz w:val="32"/>
          <w:szCs w:val="32"/>
          <w:lang w:eastAsia="zh-CN"/>
        </w:rPr>
        <w:t>引导区级部门和镇街</w:t>
      </w:r>
      <w:r>
        <w:rPr>
          <w:rFonts w:hint="eastAsia" w:ascii="Times New Roman" w:hAnsi="Times New Roman" w:eastAsia="方正仿宋_GBK" w:cs="Times New Roman"/>
          <w:sz w:val="32"/>
          <w:szCs w:val="32"/>
          <w:lang w:val="en-US" w:eastAsia="zh-CN"/>
        </w:rPr>
        <w:t>加强</w:t>
      </w:r>
      <w:r>
        <w:rPr>
          <w:rFonts w:hint="default" w:ascii="Times New Roman" w:hAnsi="Times New Roman" w:eastAsia="方正仿宋_GBK" w:cs="Times New Roman"/>
          <w:sz w:val="32"/>
          <w:szCs w:val="32"/>
          <w:lang w:eastAsia="zh-CN"/>
        </w:rPr>
        <w:t>“一张图”</w:t>
      </w:r>
      <w:r>
        <w:rPr>
          <w:rFonts w:hint="eastAsia" w:ascii="Times New Roman" w:hAnsi="Times New Roman" w:eastAsia="方正仿宋_GBK" w:cs="Times New Roman"/>
          <w:sz w:val="32"/>
          <w:szCs w:val="32"/>
          <w:lang w:val="en-US" w:eastAsia="zh-CN"/>
        </w:rPr>
        <w:t>及</w:t>
      </w:r>
      <w:r>
        <w:rPr>
          <w:rFonts w:hint="default" w:ascii="Times New Roman" w:hAnsi="Times New Roman" w:eastAsia="方正仿宋_GBK" w:cs="Times New Roman"/>
          <w:sz w:val="32"/>
          <w:szCs w:val="32"/>
          <w:lang w:eastAsia="zh-CN"/>
        </w:rPr>
        <w:t>IRS系统</w:t>
      </w:r>
      <w:r>
        <w:rPr>
          <w:rFonts w:hint="eastAsia" w:ascii="Times New Roman" w:hAnsi="Times New Roman" w:eastAsia="方正仿宋_GBK" w:cs="Times New Roman"/>
          <w:sz w:val="32"/>
          <w:szCs w:val="32"/>
          <w:lang w:val="en-US" w:eastAsia="zh-CN"/>
        </w:rPr>
        <w:t>应用，强化感知资源共享，</w:t>
      </w:r>
      <w:r>
        <w:rPr>
          <w:rFonts w:hint="default" w:ascii="方正仿宋_GBK" w:hAnsi="方正仿宋_GBK" w:eastAsia="方正仿宋_GBK"/>
          <w:b w:val="0"/>
          <w:sz w:val="32"/>
          <w:highlight w:val="none"/>
        </w:rPr>
        <w:t>开发共性适用的应用支撑组件</w:t>
      </w:r>
      <w:r>
        <w:rPr>
          <w:rFonts w:hint="eastAsia" w:ascii="方正仿宋_GBK" w:hAnsi="方正仿宋_GBK" w:eastAsia="方正仿宋_GBK"/>
          <w:b w:val="0"/>
          <w:sz w:val="32"/>
          <w:highlight w:val="none"/>
          <w:lang w:eastAsia="zh-CN"/>
        </w:rPr>
        <w:t>，</w:t>
      </w:r>
      <w:r>
        <w:rPr>
          <w:rFonts w:ascii="方正仿宋_GBK" w:hAnsi="方正仿宋_GBK" w:eastAsia="方正仿宋_GBK"/>
          <w:b w:val="0"/>
          <w:sz w:val="32"/>
          <w:highlight w:val="none"/>
        </w:rPr>
        <w:t>推动数字化应用集约建设。</w:t>
      </w:r>
      <w:r>
        <w:rPr>
          <w:rFonts w:hint="eastAsia" w:ascii="方正楷体_GBK" w:hAnsi="方正楷体_GBK" w:eastAsia="方正楷体_GBK" w:cs="方正楷体_GBK"/>
          <w:sz w:val="32"/>
          <w:highlight w:val="none"/>
          <w:lang w:val="en-US" w:eastAsia="zh-CN"/>
        </w:rPr>
        <w:t>强化</w:t>
      </w:r>
      <w:r>
        <w:rPr>
          <w:rFonts w:hint="eastAsia" w:ascii="方正楷体_GBK" w:hAnsi="方正楷体_GBK" w:eastAsia="方正楷体_GBK" w:cs="方正楷体_GBK"/>
          <w:sz w:val="32"/>
          <w:highlight w:val="none"/>
        </w:rPr>
        <w:t>城市运行和治理中心实战</w:t>
      </w:r>
      <w:r>
        <w:rPr>
          <w:rFonts w:hint="eastAsia" w:ascii="方正楷体_GBK" w:hAnsi="方正楷体_GBK" w:eastAsia="方正楷体_GBK" w:cs="方正楷体_GBK"/>
          <w:sz w:val="32"/>
          <w:highlight w:val="none"/>
          <w:lang w:val="en-US" w:eastAsia="zh-CN"/>
        </w:rPr>
        <w:t>功能。</w:t>
      </w:r>
      <w:r>
        <w:rPr>
          <w:rFonts w:ascii="方正仿宋_GBK" w:hAnsi="方正仿宋_GBK" w:eastAsia="方正仿宋_GBK"/>
          <w:b w:val="0"/>
          <w:sz w:val="32"/>
          <w:highlight w:val="none"/>
        </w:rPr>
        <w:t>全量贯通市级应用</w:t>
      </w:r>
      <w:r>
        <w:rPr>
          <w:rFonts w:hint="eastAsia" w:ascii="方正仿宋_GBK" w:hAnsi="方正仿宋_GBK" w:eastAsia="方正仿宋_GBK"/>
          <w:b w:val="0"/>
          <w:sz w:val="32"/>
          <w:highlight w:val="none"/>
          <w:lang w:eastAsia="zh-CN"/>
        </w:rPr>
        <w:t>，</w:t>
      </w:r>
      <w:r>
        <w:rPr>
          <w:rFonts w:ascii="Times New Roman" w:hAnsi="Times New Roman" w:eastAsia="方正仿宋_GBK"/>
          <w:sz w:val="32"/>
          <w:highlight w:val="none"/>
        </w:rPr>
        <w:t>迭代完善区级驾驶舱，实现八大板块KPI指标可评价占比80%以上。健全区带镇街、应急演练、事件流转机制</w:t>
      </w:r>
      <w:r>
        <w:rPr>
          <w:rFonts w:hint="eastAsia" w:ascii="Times New Roman" w:hAnsi="Times New Roman" w:eastAsia="方正仿宋_GBK"/>
          <w:sz w:val="32"/>
          <w:highlight w:val="none"/>
          <w:lang w:eastAsia="zh-CN"/>
        </w:rPr>
        <w:t>，完善区城市治理办与区治理中心联动机制，</w:t>
      </w:r>
      <w:r>
        <w:rPr>
          <w:rFonts w:ascii="Times New Roman" w:hAnsi="Times New Roman" w:eastAsia="方正仿宋_GBK"/>
          <w:sz w:val="32"/>
          <w:highlight w:val="none"/>
        </w:rPr>
        <w:t>构建</w:t>
      </w:r>
      <w:r>
        <w:rPr>
          <w:rFonts w:hint="eastAsia" w:ascii="Times New Roman" w:hAnsi="Times New Roman" w:eastAsia="方正仿宋_GBK"/>
          <w:sz w:val="32"/>
          <w:highlight w:val="none"/>
          <w:lang w:val="en-US" w:eastAsia="zh-CN"/>
        </w:rPr>
        <w:t>闭环处理</w:t>
      </w:r>
      <w:r>
        <w:rPr>
          <w:rFonts w:ascii="Times New Roman" w:hAnsi="Times New Roman" w:eastAsia="方正仿宋_GBK"/>
          <w:sz w:val="32"/>
          <w:highlight w:val="none"/>
        </w:rPr>
        <w:t>流程</w:t>
      </w:r>
      <w:r>
        <w:rPr>
          <w:rFonts w:hint="eastAsia" w:ascii="Times New Roman" w:hAnsi="Times New Roman" w:eastAsia="方正仿宋_GBK"/>
          <w:sz w:val="32"/>
          <w:highlight w:val="none"/>
          <w:lang w:eastAsia="zh-CN"/>
        </w:rPr>
        <w:t>，</w:t>
      </w:r>
      <w:r>
        <w:rPr>
          <w:rFonts w:hint="eastAsia" w:ascii="Times New Roman" w:hAnsi="Times New Roman" w:eastAsia="方正仿宋_GBK"/>
          <w:sz w:val="32"/>
          <w:highlight w:val="none"/>
          <w:lang w:val="en-US" w:eastAsia="zh-CN"/>
        </w:rPr>
        <w:t>推动解决各类“大城市病”问题</w:t>
      </w:r>
      <w:r>
        <w:rPr>
          <w:rFonts w:ascii="Times New Roman" w:hAnsi="Times New Roman" w:eastAsia="方正仿宋_GBK"/>
          <w:sz w:val="32"/>
          <w:highlight w:val="none"/>
        </w:rPr>
        <w:t>。</w:t>
      </w:r>
      <w:r>
        <w:rPr>
          <w:rFonts w:hint="eastAsia" w:ascii="方正楷体_GBK" w:hAnsi="方正楷体_GBK" w:eastAsia="方正楷体_GBK" w:cs="方正楷体_GBK"/>
          <w:sz w:val="32"/>
          <w:highlight w:val="none"/>
          <w:lang w:val="en-US" w:eastAsia="zh-CN"/>
        </w:rPr>
        <w:t>提升基层智治协同体系能力。</w:t>
      </w:r>
      <w:r>
        <w:rPr>
          <w:rFonts w:hint="eastAsia" w:ascii="Times New Roman" w:hAnsi="Times New Roman" w:eastAsia="方正仿宋_GBK"/>
          <w:color w:val="111F2C"/>
          <w:sz w:val="32"/>
          <w:szCs w:val="32"/>
          <w:highlight w:val="none"/>
          <w:lang w:bidi="ar"/>
        </w:rPr>
        <w:t>迭代“一表通”数字平台，完善为基层减负长效机制。</w:t>
      </w:r>
      <w:r>
        <w:rPr>
          <w:rFonts w:ascii="方正仿宋_GBK" w:hAnsi="方正仿宋_GBK" w:eastAsia="方正仿宋_GBK"/>
          <w:b w:val="0"/>
          <w:sz w:val="32"/>
          <w:highlight w:val="none"/>
        </w:rPr>
        <w:t>搭建</w:t>
      </w:r>
      <w:r>
        <w:rPr>
          <w:rFonts w:hint="eastAsia" w:ascii="方正仿宋_GBK" w:hAnsi="方正仿宋_GBK" w:eastAsia="方正仿宋_GBK"/>
          <w:b w:val="0"/>
          <w:sz w:val="32"/>
          <w:highlight w:val="none"/>
          <w:lang w:eastAsia="zh-CN"/>
        </w:rPr>
        <w:t>“百姓议事厅”</w:t>
      </w:r>
      <w:r>
        <w:rPr>
          <w:rFonts w:ascii="方正仿宋_GBK" w:hAnsi="方正仿宋_GBK" w:eastAsia="方正仿宋_GBK"/>
          <w:b w:val="0"/>
          <w:sz w:val="32"/>
          <w:highlight w:val="none"/>
        </w:rPr>
        <w:t>等线上线下协商平台，引导居民共议共决</w:t>
      </w:r>
      <w:r>
        <w:rPr>
          <w:rFonts w:hint="eastAsia" w:ascii="方正仿宋_GBK" w:hAnsi="方正仿宋_GBK" w:eastAsia="方正仿宋_GBK"/>
          <w:b w:val="0"/>
          <w:sz w:val="32"/>
          <w:highlight w:val="none"/>
          <w:lang w:eastAsia="zh-CN"/>
        </w:rPr>
        <w:t>，</w:t>
      </w:r>
      <w:r>
        <w:rPr>
          <w:rFonts w:ascii="方正仿宋_GBK" w:hAnsi="方正仿宋_GBK" w:eastAsia="方正仿宋_GBK"/>
          <w:b w:val="0"/>
          <w:sz w:val="32"/>
          <w:highlight w:val="none"/>
        </w:rPr>
        <w:t>推动基层治理力量整合协同，实现基层治理数据互联互通。</w:t>
      </w:r>
    </w:p>
    <w:p w14:paraId="53DB87D7">
      <w:pPr>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1"/>
        <w:rPr>
          <w:rFonts w:hint="eastAsia" w:ascii="Times New Roman" w:hAnsi="Times New Roman" w:eastAsia="方正楷体_GBK"/>
          <w:sz w:val="32"/>
          <w:highlight w:val="none"/>
          <w:lang w:val="en-US" w:eastAsia="zh-CN"/>
        </w:rPr>
      </w:pPr>
      <w:r>
        <w:rPr>
          <w:rFonts w:hint="eastAsia" w:ascii="Times New Roman" w:hAnsi="Times New Roman" w:eastAsia="方正楷体_GBK"/>
          <w:sz w:val="32"/>
          <w:highlight w:val="none"/>
          <w:lang w:val="en-US" w:eastAsia="zh-CN"/>
        </w:rPr>
        <w:t>（三）推进</w:t>
      </w:r>
      <w:r>
        <w:rPr>
          <w:rFonts w:hint="eastAsia" w:ascii="Times New Roman" w:hAnsi="Times New Roman" w:eastAsia="方正楷体_GBK"/>
          <w:sz w:val="32"/>
          <w:highlight w:val="none"/>
        </w:rPr>
        <w:t>人工智能</w:t>
      </w:r>
      <w:r>
        <w:rPr>
          <w:rFonts w:hint="eastAsia" w:ascii="Times New Roman" w:hAnsi="Times New Roman" w:eastAsia="方正楷体_GBK"/>
          <w:sz w:val="32"/>
          <w:highlight w:val="none"/>
          <w:lang w:val="en-US" w:eastAsia="zh-CN"/>
        </w:rPr>
        <w:t>赋能城市治理</w:t>
      </w:r>
    </w:p>
    <w:p w14:paraId="50D1F49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方正仿宋_GBK" w:hAnsi="方正仿宋_GBK" w:eastAsia="方正仿宋_GBK"/>
          <w:b w:val="0"/>
          <w:sz w:val="32"/>
          <w:highlight w:val="none"/>
          <w:lang w:eastAsia="zh-CN"/>
        </w:rPr>
      </w:pPr>
      <w:r>
        <w:rPr>
          <w:rFonts w:hint="eastAsia" w:ascii="方正楷体_GBK" w:hAnsi="方正楷体_GBK" w:eastAsia="方正楷体_GBK" w:cs="方正楷体_GBK"/>
          <w:sz w:val="32"/>
          <w:highlight w:val="none"/>
        </w:rPr>
        <w:t>构建智能化安全治理体系</w:t>
      </w:r>
      <w:r>
        <w:rPr>
          <w:rFonts w:hint="eastAsia" w:ascii="方正楷体_GBK" w:hAnsi="方正楷体_GBK" w:eastAsia="方正楷体_GBK" w:cs="方正楷体_GBK"/>
          <w:sz w:val="32"/>
          <w:highlight w:val="none"/>
          <w:lang w:eastAsia="zh-CN"/>
        </w:rPr>
        <w:t>。</w:t>
      </w:r>
      <w:r>
        <w:rPr>
          <w:rFonts w:hint="eastAsia" w:ascii="方正仿宋_GBK" w:hAnsi="方正仿宋_GBK" w:eastAsia="方正仿宋_GBK"/>
          <w:b w:val="0"/>
          <w:sz w:val="32"/>
          <w:highlight w:val="none"/>
          <w:lang w:val="en-US" w:eastAsia="zh-CN"/>
        </w:rPr>
        <w:t>结合</w:t>
      </w:r>
      <w:r>
        <w:rPr>
          <w:rFonts w:ascii="方正仿宋_GBK" w:hAnsi="方正仿宋_GBK" w:eastAsia="方正仿宋_GBK"/>
          <w:b w:val="0"/>
          <w:sz w:val="32"/>
          <w:highlight w:val="none"/>
        </w:rPr>
        <w:t>物联感知数据，动态监测公共安全</w:t>
      </w:r>
      <w:r>
        <w:rPr>
          <w:rFonts w:hint="eastAsia" w:ascii="方正仿宋_GBK" w:hAnsi="方正仿宋_GBK" w:eastAsia="方正仿宋_GBK"/>
          <w:b w:val="0"/>
          <w:sz w:val="32"/>
          <w:highlight w:val="none"/>
          <w:lang w:eastAsia="zh-CN"/>
        </w:rPr>
        <w:t>、</w:t>
      </w:r>
      <w:r>
        <w:rPr>
          <w:rFonts w:hint="eastAsia" w:ascii="方正仿宋_GBK" w:hAnsi="方正仿宋_GBK" w:eastAsia="方正仿宋_GBK"/>
          <w:b w:val="0"/>
          <w:sz w:val="32"/>
          <w:highlight w:val="none"/>
          <w:lang w:val="en-US" w:eastAsia="zh-CN"/>
        </w:rPr>
        <w:t>气象灾害</w:t>
      </w:r>
      <w:r>
        <w:rPr>
          <w:rFonts w:ascii="方正仿宋_GBK" w:hAnsi="方正仿宋_GBK" w:eastAsia="方正仿宋_GBK"/>
          <w:b w:val="0"/>
          <w:sz w:val="32"/>
          <w:highlight w:val="none"/>
        </w:rPr>
        <w:t>等关键领域指标</w:t>
      </w:r>
      <w:r>
        <w:rPr>
          <w:rFonts w:hint="eastAsia" w:ascii="方正仿宋_GBK" w:hAnsi="方正仿宋_GBK" w:eastAsia="方正仿宋_GBK"/>
          <w:b w:val="0"/>
          <w:sz w:val="32"/>
          <w:highlight w:val="none"/>
          <w:lang w:eastAsia="zh-CN"/>
        </w:rPr>
        <w:t>，构建城市生命体征感知与智能预警体系，</w:t>
      </w:r>
      <w:r>
        <w:rPr>
          <w:rFonts w:ascii="方正仿宋_GBK" w:hAnsi="方正仿宋_GBK" w:eastAsia="方正仿宋_GBK"/>
          <w:b w:val="0"/>
          <w:sz w:val="32"/>
          <w:highlight w:val="none"/>
        </w:rPr>
        <w:t>推动</w:t>
      </w:r>
      <w:r>
        <w:rPr>
          <w:rFonts w:hint="eastAsia" w:ascii="方正仿宋_GBK" w:hAnsi="方正仿宋_GBK" w:eastAsia="方正仿宋_GBK"/>
          <w:b w:val="0"/>
          <w:sz w:val="32"/>
          <w:highlight w:val="none"/>
        </w:rPr>
        <w:t>建筑施工、交通等领域安全</w:t>
      </w:r>
      <w:r>
        <w:rPr>
          <w:rFonts w:ascii="方正仿宋_GBK" w:hAnsi="方正仿宋_GBK" w:eastAsia="方正仿宋_GBK"/>
          <w:b w:val="0"/>
          <w:sz w:val="32"/>
          <w:highlight w:val="none"/>
        </w:rPr>
        <w:t>治理向主动预防</w:t>
      </w:r>
      <w:r>
        <w:rPr>
          <w:rFonts w:hint="eastAsia" w:ascii="方正仿宋_GBK" w:hAnsi="方正仿宋_GBK" w:eastAsia="方正仿宋_GBK"/>
          <w:b w:val="0"/>
          <w:sz w:val="32"/>
          <w:highlight w:val="none"/>
          <w:lang w:val="en-US" w:eastAsia="zh-CN"/>
        </w:rPr>
        <w:t>转型</w:t>
      </w:r>
      <w:r>
        <w:rPr>
          <w:rFonts w:ascii="方正仿宋_GBK" w:hAnsi="方正仿宋_GBK" w:eastAsia="方正仿宋_GBK"/>
          <w:b w:val="0"/>
          <w:sz w:val="32"/>
          <w:highlight w:val="none"/>
        </w:rPr>
        <w:t>。</w:t>
      </w:r>
      <w:r>
        <w:rPr>
          <w:rFonts w:hint="eastAsia" w:ascii="方正楷体_GBK" w:hAnsi="方正楷体_GBK" w:eastAsia="方正楷体_GBK" w:cs="方正楷体_GBK"/>
          <w:sz w:val="32"/>
          <w:highlight w:val="none"/>
        </w:rPr>
        <w:t>提升智能化城市运维体系</w:t>
      </w:r>
      <w:r>
        <w:rPr>
          <w:rFonts w:hint="eastAsia" w:ascii="方正楷体_GBK" w:hAnsi="方正楷体_GBK" w:eastAsia="方正楷体_GBK" w:cs="方正楷体_GBK"/>
          <w:sz w:val="32"/>
          <w:highlight w:val="none"/>
          <w:lang w:eastAsia="zh-CN"/>
        </w:rPr>
        <w:t>。</w:t>
      </w:r>
      <w:r>
        <w:rPr>
          <w:rFonts w:hint="eastAsia" w:ascii="方正仿宋_GBK" w:hAnsi="方正仿宋_GBK" w:eastAsia="方正仿宋_GBK"/>
          <w:b w:val="0"/>
          <w:sz w:val="32"/>
          <w:highlight w:val="none"/>
          <w:lang w:eastAsia="zh-CN"/>
        </w:rPr>
        <w:t>推动市容环卫、设施维护等城市运维业务系统化整合，</w:t>
      </w:r>
      <w:r>
        <w:rPr>
          <w:rFonts w:hint="eastAsia" w:ascii="方正仿宋_GBK" w:hAnsi="方正仿宋_GBK" w:eastAsia="方正仿宋_GBK"/>
          <w:b w:val="0"/>
          <w:sz w:val="32"/>
          <w:highlight w:val="none"/>
          <w:lang w:val="en-US" w:eastAsia="zh-CN"/>
        </w:rPr>
        <w:t>强化</w:t>
      </w:r>
      <w:r>
        <w:rPr>
          <w:rFonts w:hint="eastAsia" w:ascii="Times New Roman" w:hAnsi="Times New Roman" w:eastAsia="方正仿宋_GBK" w:cs="Times New Roman"/>
          <w:b w:val="0"/>
          <w:sz w:val="32"/>
          <w:highlight w:val="none"/>
          <w:lang w:val="en-US" w:eastAsia="zh-CN"/>
        </w:rPr>
        <w:t>设施实时感知与精准养护，</w:t>
      </w:r>
      <w:r>
        <w:rPr>
          <w:rFonts w:hint="eastAsia" w:ascii="方正仿宋_GBK" w:hAnsi="方正仿宋_GBK" w:eastAsia="方正仿宋_GBK"/>
          <w:b w:val="0"/>
          <w:sz w:val="32"/>
          <w:highlight w:val="none"/>
          <w:lang w:eastAsia="zh-CN"/>
        </w:rPr>
        <w:t>建成区水电气讯市政设施普查覆盖率达</w:t>
      </w:r>
      <w:r>
        <w:rPr>
          <w:rFonts w:hint="default" w:ascii="Times New Roman" w:hAnsi="Times New Roman" w:eastAsia="方正仿宋_GBK" w:cs="Times New Roman"/>
          <w:b w:val="0"/>
          <w:sz w:val="32"/>
          <w:highlight w:val="none"/>
          <w:lang w:eastAsia="zh-CN"/>
        </w:rPr>
        <w:t>100%。</w:t>
      </w:r>
      <w:r>
        <w:rPr>
          <w:rFonts w:hint="eastAsia" w:ascii="Times New Roman" w:hAnsi="Times New Roman" w:eastAsia="方正仿宋_GBK" w:cs="Times New Roman"/>
          <w:b w:val="0"/>
          <w:sz w:val="32"/>
          <w:highlight w:val="none"/>
          <w:lang w:val="en-US" w:eastAsia="zh-CN"/>
        </w:rPr>
        <w:t>探索</w:t>
      </w:r>
      <w:r>
        <w:rPr>
          <w:rFonts w:hint="default" w:ascii="Times New Roman" w:hAnsi="Times New Roman" w:eastAsia="方正仿宋_GBK" w:cs="Times New Roman"/>
          <w:b w:val="0"/>
          <w:sz w:val="32"/>
          <w:highlight w:val="none"/>
          <w:lang w:eastAsia="zh-CN"/>
        </w:rPr>
        <w:t>打造区级</w:t>
      </w:r>
      <w:r>
        <w:rPr>
          <w:rFonts w:hint="eastAsia" w:ascii="Times New Roman" w:hAnsi="Times New Roman" w:eastAsia="方正仿宋_GBK" w:cs="Times New Roman"/>
          <w:b w:val="0"/>
          <w:sz w:val="32"/>
          <w:highlight w:val="none"/>
          <w:lang w:eastAsia="zh-CN"/>
        </w:rPr>
        <w:t>“</w:t>
      </w:r>
      <w:r>
        <w:rPr>
          <w:rFonts w:hint="default" w:ascii="Times New Roman" w:hAnsi="Times New Roman" w:eastAsia="方正仿宋_GBK" w:cs="Times New Roman"/>
          <w:b w:val="0"/>
          <w:sz w:val="32"/>
          <w:highlight w:val="none"/>
          <w:lang w:eastAsia="zh-CN"/>
        </w:rPr>
        <w:t>一网统飞</w:t>
      </w:r>
      <w:r>
        <w:rPr>
          <w:rFonts w:hint="eastAsia" w:ascii="Times New Roman" w:hAnsi="Times New Roman" w:eastAsia="方正仿宋_GBK" w:cs="Times New Roman"/>
          <w:b w:val="0"/>
          <w:sz w:val="32"/>
          <w:highlight w:val="none"/>
          <w:lang w:eastAsia="zh-CN"/>
        </w:rPr>
        <w:t>”</w:t>
      </w:r>
      <w:r>
        <w:rPr>
          <w:rFonts w:hint="default" w:ascii="Times New Roman" w:hAnsi="Times New Roman" w:eastAsia="方正仿宋_GBK" w:cs="Times New Roman"/>
          <w:b w:val="0"/>
          <w:sz w:val="32"/>
          <w:highlight w:val="none"/>
          <w:lang w:eastAsia="zh-CN"/>
        </w:rPr>
        <w:t>平台</w:t>
      </w:r>
      <w:r>
        <w:rPr>
          <w:rFonts w:hint="eastAsia" w:ascii="Times New Roman" w:hAnsi="Times New Roman" w:eastAsia="方正仿宋_GBK" w:cs="Times New Roman"/>
          <w:b w:val="0"/>
          <w:sz w:val="32"/>
          <w:highlight w:val="none"/>
          <w:lang w:eastAsia="zh-CN"/>
        </w:rPr>
        <w:t>，</w:t>
      </w:r>
      <w:r>
        <w:rPr>
          <w:rFonts w:hint="eastAsia" w:ascii="Times New Roman" w:hAnsi="Times New Roman" w:eastAsia="方正仿宋_GBK" w:cs="Times New Roman"/>
          <w:b w:val="0"/>
          <w:sz w:val="32"/>
          <w:highlight w:val="none"/>
          <w:lang w:val="en-US" w:eastAsia="zh-CN"/>
        </w:rPr>
        <w:t>拓展综合巡查、低空物流、应急救援等应用场景建设。</w:t>
      </w:r>
      <w:r>
        <w:rPr>
          <w:rFonts w:hint="eastAsia" w:ascii="方正楷体_GBK" w:hAnsi="方正楷体_GBK" w:eastAsia="方正楷体_GBK" w:cs="方正楷体_GBK"/>
          <w:sz w:val="32"/>
          <w:highlight w:val="none"/>
        </w:rPr>
        <w:t>强化智能化市民服务体系</w:t>
      </w:r>
      <w:r>
        <w:rPr>
          <w:rFonts w:hint="eastAsia" w:ascii="方正楷体_GBK" w:hAnsi="方正楷体_GBK" w:eastAsia="方正楷体_GBK" w:cs="方正楷体_GBK"/>
          <w:sz w:val="32"/>
          <w:highlight w:val="none"/>
          <w:lang w:eastAsia="zh-CN"/>
        </w:rPr>
        <w:t>。</w:t>
      </w:r>
      <w:r>
        <w:rPr>
          <w:rFonts w:hint="eastAsia" w:ascii="方正仿宋_GBK" w:hAnsi="方正仿宋_GBK" w:eastAsia="方正仿宋_GBK"/>
          <w:b w:val="0"/>
          <w:sz w:val="32"/>
          <w:highlight w:val="none"/>
          <w:lang w:val="en-US" w:eastAsia="zh-CN"/>
        </w:rPr>
        <w:t>推动建立整合物业管理、设施保修、环境监测等</w:t>
      </w:r>
      <w:r>
        <w:rPr>
          <w:rFonts w:hint="eastAsia" w:ascii="方正仿宋_GBK" w:hAnsi="方正仿宋_GBK" w:eastAsia="方正仿宋_GBK"/>
          <w:b w:val="0"/>
          <w:sz w:val="32"/>
          <w:highlight w:val="none"/>
          <w:lang w:eastAsia="zh-CN"/>
        </w:rPr>
        <w:t>数据的“社区智慧运维中心”。完善“暖心政务帮帮办”服务，</w:t>
      </w:r>
      <w:r>
        <w:rPr>
          <w:rFonts w:hint="eastAsia" w:ascii="方正仿宋_GBK" w:hAnsi="方正仿宋_GBK" w:eastAsia="方正仿宋_GBK"/>
          <w:b w:val="0"/>
          <w:sz w:val="32"/>
          <w:highlight w:val="none"/>
          <w:lang w:val="en-US" w:eastAsia="zh-CN"/>
        </w:rPr>
        <w:t>提升</w:t>
      </w:r>
      <w:r>
        <w:rPr>
          <w:rFonts w:hint="default" w:ascii="Times New Roman" w:hAnsi="Times New Roman" w:eastAsia="方正仿宋_GBK" w:cs="Times New Roman"/>
          <w:b w:val="0"/>
          <w:sz w:val="32"/>
          <w:highlight w:val="none"/>
          <w:lang w:val="en-US" w:eastAsia="zh-CN"/>
        </w:rPr>
        <w:t>AI+</w:t>
      </w:r>
      <w:r>
        <w:rPr>
          <w:rFonts w:hint="eastAsia" w:ascii="方正仿宋_GBK" w:hAnsi="方正仿宋_GBK" w:eastAsia="方正仿宋_GBK"/>
          <w:b w:val="0"/>
          <w:sz w:val="32"/>
          <w:highlight w:val="none"/>
          <w:lang w:val="en-US" w:eastAsia="zh-CN"/>
        </w:rPr>
        <w:t>企业群众诉求闭环处置能力</w:t>
      </w:r>
      <w:r>
        <w:rPr>
          <w:rFonts w:hint="eastAsia" w:ascii="方正仿宋_GBK" w:hAnsi="方正仿宋_GBK" w:eastAsia="方正仿宋_GBK"/>
          <w:b w:val="0"/>
          <w:sz w:val="32"/>
          <w:highlight w:val="none"/>
          <w:lang w:eastAsia="zh-CN"/>
        </w:rPr>
        <w:t>，</w:t>
      </w:r>
      <w:r>
        <w:rPr>
          <w:rFonts w:hint="eastAsia" w:ascii="方正仿宋_GBK" w:hAnsi="方正仿宋_GBK" w:eastAsia="方正仿宋_GBK"/>
          <w:b w:val="0"/>
          <w:sz w:val="32"/>
          <w:highlight w:val="none"/>
          <w:lang w:val="en-US" w:eastAsia="zh-CN"/>
        </w:rPr>
        <w:t>优化</w:t>
      </w:r>
      <w:r>
        <w:rPr>
          <w:rFonts w:hint="eastAsia" w:ascii="方正仿宋_GBK" w:hAnsi="方正仿宋_GBK" w:eastAsia="方正仿宋_GBK"/>
          <w:b w:val="0"/>
          <w:sz w:val="32"/>
          <w:highlight w:val="none"/>
          <w:lang w:eastAsia="zh-CN"/>
        </w:rPr>
        <w:t>市民服务体验。</w:t>
      </w:r>
    </w:p>
    <w:tbl>
      <w:tblPr>
        <w:tblStyle w:val="11"/>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70A4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nil"/>
              <w:left w:val="nil"/>
              <w:bottom w:val="single" w:color="auto" w:sz="4" w:space="0"/>
              <w:right w:val="nil"/>
            </w:tcBorders>
            <w:vAlign w:val="top"/>
          </w:tcPr>
          <w:p w14:paraId="5DFA1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4" w:lineRule="exact"/>
              <w:ind w:left="0" w:right="0" w:firstLine="0" w:firstLineChars="0"/>
              <w:jc w:val="center"/>
              <w:textAlignment w:val="auto"/>
              <w:rPr>
                <w:rFonts w:hint="eastAsia"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专栏7  数智治理重点发展方向</w:t>
            </w:r>
          </w:p>
        </w:tc>
      </w:tr>
      <w:tr w14:paraId="18CA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026BF0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firstLine="480" w:firstLineChars="200"/>
              <w:jc w:val="both"/>
              <w:textAlignment w:val="auto"/>
              <w:rPr>
                <w:rFonts w:hint="default" w:eastAsia="方正仿宋_GBK"/>
                <w:highlight w:val="none"/>
                <w:lang w:val="en-US" w:eastAsia="zh-CN"/>
              </w:rPr>
            </w:pPr>
            <w:r>
              <w:rPr>
                <w:rFonts w:hint="default" w:ascii="Times New Roman" w:hAnsi="Times New Roman" w:eastAsia="方正仿宋_GBK" w:cs="Times New Roman"/>
                <w:b w:val="0"/>
                <w:bCs w:val="0"/>
                <w:color w:val="000000" w:themeColor="text1"/>
                <w:kern w:val="2"/>
                <w:sz w:val="24"/>
                <w:szCs w:val="21"/>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i w:val="0"/>
                <w:iCs w:val="0"/>
                <w:caps w:val="0"/>
                <w:color w:val="000000" w:themeColor="text1"/>
                <w:spacing w:val="0"/>
                <w:sz w:val="24"/>
                <w:szCs w:val="21"/>
                <w:highlight w:val="none"/>
                <w:u w:val="none" w:color="auto"/>
                <w:shd w:val="clear" w:fill="auto"/>
                <w:lang w:val="en-US" w:eastAsia="zh-CN" w:bidi="ar"/>
                <w14:textFill>
                  <w14:solidFill>
                    <w14:schemeClr w14:val="tx1"/>
                  </w14:solidFill>
                </w14:textFill>
              </w:rPr>
              <w:t>人工智能+综合应用</w:t>
            </w:r>
            <w:r>
              <w:rPr>
                <w:rFonts w:hint="eastAsia" w:ascii="Times New Roman" w:hAnsi="Times New Roman" w:eastAsia="方正黑体_GBK" w:cs="方正黑体_GBK"/>
                <w:b w:val="0"/>
                <w:bCs w:val="0"/>
                <w:i w:val="0"/>
                <w:iCs w:val="0"/>
                <w:caps w:val="0"/>
                <w:color w:val="000000" w:themeColor="text1"/>
                <w:spacing w:val="0"/>
                <w:sz w:val="24"/>
                <w:szCs w:val="21"/>
                <w:highlight w:val="none"/>
                <w:u w:val="none" w:color="auto"/>
                <w:shd w:val="clear" w:fill="auto"/>
                <w:lang w:eastAsia="zh-CN" w:bidi="ar"/>
                <w14:textFill>
                  <w14:solidFill>
                    <w14:schemeClr w14:val="tx1"/>
                  </w14:solidFill>
                </w14:textFill>
              </w:rPr>
              <w:t>。</w:t>
            </w:r>
            <w:r>
              <w:rPr>
                <w:rFonts w:hint="eastAsia" w:ascii="Times New Roman" w:hAnsi="Times New Roman" w:eastAsia="方正仿宋_GBK" w:cs="Times New Roman"/>
                <w:b w:val="0"/>
                <w:bCs w:val="0"/>
                <w:i w:val="0"/>
                <w:iCs w:val="0"/>
                <w:caps w:val="0"/>
                <w:color w:val="000000" w:themeColor="text1"/>
                <w:spacing w:val="0"/>
                <w:sz w:val="24"/>
                <w:szCs w:val="21"/>
                <w:highlight w:val="none"/>
                <w:u w:val="none" w:color="auto"/>
                <w:shd w:val="clear" w:fill="FFFFFF"/>
                <w:lang w:val="en-US" w:eastAsia="zh-CN" w:bidi="ar"/>
                <w14:textFill>
                  <w14:solidFill>
                    <w14:schemeClr w14:val="tx1"/>
                  </w14:solidFill>
                </w14:textFill>
              </w:rPr>
              <w:t>贯通“工程渣土治理利用”“渝畅停”等市级应用9个，配置城市行道树隐患处置、公园举办大型活动保障等智能预案29个。</w:t>
            </w:r>
            <w:r>
              <w:rPr>
                <w:rFonts w:hint="default" w:ascii="Times New Roman" w:hAnsi="Times New Roman" w:eastAsia="方正仿宋_GBK" w:cs="Times New Roman"/>
                <w:b w:val="0"/>
                <w:bCs w:val="0"/>
                <w:i w:val="0"/>
                <w:iCs w:val="0"/>
                <w:caps w:val="0"/>
                <w:color w:val="000000" w:themeColor="text1"/>
                <w:spacing w:val="0"/>
                <w:sz w:val="24"/>
                <w:szCs w:val="21"/>
                <w:highlight w:val="none"/>
                <w:u w:val="none" w:color="auto"/>
                <w:shd w:val="clear" w:fill="FFFFFF"/>
                <w:lang w:bidi="ar"/>
                <w14:textFill>
                  <w14:solidFill>
                    <w14:schemeClr w14:val="tx1"/>
                  </w14:solidFill>
                </w14:textFill>
              </w:rPr>
              <w:t>迭代升级</w:t>
            </w:r>
            <w:r>
              <w:rPr>
                <w:rFonts w:hint="eastAsia" w:ascii="Times New Roman" w:hAnsi="Times New Roman" w:eastAsia="方正仿宋_GBK" w:cs="Times New Roman"/>
                <w:b w:val="0"/>
                <w:bCs w:val="0"/>
                <w:i w:val="0"/>
                <w:iCs w:val="0"/>
                <w:caps w:val="0"/>
                <w:color w:val="000000" w:themeColor="text1"/>
                <w:spacing w:val="0"/>
                <w:sz w:val="24"/>
                <w:szCs w:val="21"/>
                <w:highlight w:val="none"/>
                <w:u w:val="none" w:color="auto"/>
                <w:shd w:val="clear" w:fill="FFFFFF"/>
                <w:lang w:eastAsia="zh-CN" w:bidi="ar"/>
                <w14:textFill>
                  <w14:solidFill>
                    <w14:schemeClr w14:val="tx1"/>
                  </w14:solidFill>
                </w14:textFill>
              </w:rPr>
              <w:t>“足球赛事”“企业服务·有求必应无事不扰”</w:t>
            </w:r>
            <w:r>
              <w:rPr>
                <w:rFonts w:hint="eastAsia" w:ascii="Times New Roman" w:hAnsi="Times New Roman" w:eastAsia="方正仿宋_GBK" w:cs="Times New Roman"/>
                <w:b w:val="0"/>
                <w:bCs w:val="0"/>
                <w:i w:val="0"/>
                <w:iCs w:val="0"/>
                <w:caps w:val="0"/>
                <w:color w:val="000000" w:themeColor="text1"/>
                <w:spacing w:val="0"/>
                <w:sz w:val="24"/>
                <w:szCs w:val="21"/>
                <w:highlight w:val="none"/>
                <w:u w:val="none" w:color="auto"/>
                <w:shd w:val="clear" w:fill="FFFFFF"/>
                <w:lang w:val="en-US" w:eastAsia="zh-CN" w:bidi="ar"/>
                <w14:textFill>
                  <w14:solidFill>
                    <w14:schemeClr w14:val="tx1"/>
                  </w14:solidFill>
                </w14:textFill>
              </w:rPr>
              <w:t>等</w:t>
            </w:r>
            <w:r>
              <w:rPr>
                <w:rFonts w:hint="default" w:ascii="Times New Roman" w:hAnsi="Times New Roman" w:eastAsia="方正仿宋_GBK" w:cs="Times New Roman"/>
                <w:b w:val="0"/>
                <w:bCs w:val="0"/>
                <w:i w:val="0"/>
                <w:iCs w:val="0"/>
                <w:caps w:val="0"/>
                <w:color w:val="000000" w:themeColor="text1"/>
                <w:spacing w:val="0"/>
                <w:sz w:val="24"/>
                <w:szCs w:val="21"/>
                <w:highlight w:val="none"/>
                <w:u w:val="none" w:color="auto"/>
                <w:shd w:val="clear" w:fill="FFFFFF"/>
                <w:lang w:bidi="ar"/>
                <w14:textFill>
                  <w14:solidFill>
                    <w14:schemeClr w14:val="tx1"/>
                  </w14:solidFill>
                </w14:textFill>
              </w:rPr>
              <w:t>AI+综合场景</w:t>
            </w:r>
          </w:p>
        </w:tc>
      </w:tr>
    </w:tbl>
    <w:p w14:paraId="374E5573">
      <w:pPr>
        <w:keepNext w:val="0"/>
        <w:keepLines w:val="0"/>
        <w:pageBreakBefore w:val="0"/>
        <w:widowControl w:val="0"/>
        <w:kinsoku/>
        <w:wordWrap/>
        <w:overflowPunct/>
        <w:topLinePunct w:val="0"/>
        <w:autoSpaceDE/>
        <w:autoSpaceDN/>
        <w:bidi w:val="0"/>
        <w:adjustRightInd/>
        <w:snapToGrid/>
        <w:spacing w:after="0" w:line="600" w:lineRule="exact"/>
        <w:ind w:right="0" w:rightChars="0" w:firstLine="640" w:firstLineChars="200"/>
        <w:jc w:val="both"/>
        <w:textAlignment w:val="auto"/>
        <w:outlineLvl w:val="0"/>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九、实施保障</w:t>
      </w:r>
    </w:p>
    <w:p w14:paraId="279DA7B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lang w:eastAsia="zh-CN"/>
        </w:rPr>
      </w:pPr>
      <w:r>
        <w:rPr>
          <w:rFonts w:hint="eastAsia" w:ascii="方正仿宋_GBK" w:hAnsi="方正仿宋_GBK" w:eastAsia="方正仿宋_GBK"/>
          <w:b w:val="0"/>
          <w:sz w:val="32"/>
          <w:highlight w:val="none"/>
          <w:lang w:eastAsia="zh-CN"/>
        </w:rPr>
        <w:t>发挥市城市治理委员会统筹作用，</w:t>
      </w:r>
      <w:r>
        <w:rPr>
          <w:rFonts w:ascii="方正仿宋_GBK" w:hAnsi="方正仿宋_GBK" w:eastAsia="方正仿宋_GBK"/>
          <w:b w:val="0"/>
          <w:sz w:val="32"/>
          <w:highlight w:val="none"/>
        </w:rPr>
        <w:t>健全跨部门协同</w:t>
      </w:r>
      <w:r>
        <w:rPr>
          <w:rFonts w:hint="eastAsia" w:ascii="方正仿宋_GBK" w:hAnsi="方正仿宋_GBK" w:eastAsia="方正仿宋_GBK"/>
          <w:b w:val="0"/>
          <w:sz w:val="32"/>
          <w:highlight w:val="none"/>
          <w:lang w:val="en-US" w:eastAsia="zh-CN"/>
        </w:rPr>
        <w:t>推进</w:t>
      </w:r>
      <w:r>
        <w:rPr>
          <w:rFonts w:ascii="方正仿宋_GBK" w:hAnsi="方正仿宋_GBK" w:eastAsia="方正仿宋_GBK"/>
          <w:b w:val="0"/>
          <w:sz w:val="32"/>
          <w:highlight w:val="none"/>
        </w:rPr>
        <w:t>机制</w:t>
      </w:r>
      <w:r>
        <w:rPr>
          <w:rFonts w:hint="eastAsia" w:ascii="方正仿宋_GBK" w:hAnsi="方正仿宋_GBK" w:eastAsia="方正仿宋_GBK"/>
          <w:b w:val="0"/>
          <w:sz w:val="32"/>
          <w:highlight w:val="none"/>
          <w:lang w:eastAsia="zh-CN"/>
        </w:rPr>
        <w:t>，制定可操作的工作安排和推进措施，强化责任分解落实，</w:t>
      </w:r>
      <w:r>
        <w:rPr>
          <w:rFonts w:hint="eastAsia" w:ascii="方正仿宋_GBK" w:hAnsi="方正仿宋_GBK" w:eastAsia="方正仿宋_GBK"/>
          <w:b w:val="0"/>
          <w:sz w:val="32"/>
          <w:highlight w:val="none"/>
          <w:lang w:val="en-US" w:eastAsia="zh-CN"/>
        </w:rPr>
        <w:t>各部门要切实履行责任</w:t>
      </w:r>
      <w:r>
        <w:rPr>
          <w:rFonts w:hint="eastAsia" w:ascii="方正仿宋_GBK" w:hAnsi="方正仿宋_GBK" w:eastAsia="方正仿宋_GBK"/>
          <w:b w:val="0"/>
          <w:sz w:val="32"/>
          <w:highlight w:val="none"/>
          <w:lang w:eastAsia="zh-CN"/>
        </w:rPr>
        <w:t>，细化落实本规划确定的重点任务，加强年度计划与本规划的衔接落实，</w:t>
      </w:r>
      <w:r>
        <w:rPr>
          <w:rFonts w:hint="eastAsia" w:ascii="方正仿宋_GBK" w:hAnsi="方正仿宋_GBK" w:eastAsia="方正仿宋_GBK"/>
          <w:b w:val="0"/>
          <w:sz w:val="32"/>
          <w:highlight w:val="none"/>
          <w:lang w:val="en-US" w:eastAsia="zh-CN"/>
        </w:rPr>
        <w:t>形成工作合力</w:t>
      </w:r>
      <w:r>
        <w:rPr>
          <w:rFonts w:hint="eastAsia" w:ascii="方正仿宋_GBK" w:hAnsi="方正仿宋_GBK" w:eastAsia="方正仿宋_GBK"/>
          <w:b w:val="0"/>
          <w:sz w:val="32"/>
          <w:highlight w:val="none"/>
          <w:lang w:eastAsia="zh-CN"/>
        </w:rPr>
        <w:t>。</w:t>
      </w:r>
      <w:r>
        <w:rPr>
          <w:rFonts w:hint="eastAsia" w:ascii="方正仿宋_GBK" w:hAnsi="方正仿宋_GBK" w:eastAsia="方正仿宋_GBK"/>
          <w:sz w:val="32"/>
          <w:highlight w:val="none"/>
          <w:lang w:val="en-US" w:eastAsia="zh-CN"/>
        </w:rPr>
        <w:t>加大规划实施资金、人力保障</w:t>
      </w:r>
      <w:r>
        <w:rPr>
          <w:rFonts w:hint="eastAsia" w:ascii="方正仿宋_GBK" w:hAnsi="方正仿宋_GBK" w:eastAsia="方正仿宋_GBK"/>
          <w:sz w:val="32"/>
          <w:highlight w:val="none"/>
          <w:lang w:eastAsia="zh-CN"/>
        </w:rPr>
        <w:t>，优先投向</w:t>
      </w:r>
      <w:r>
        <w:rPr>
          <w:rFonts w:hint="eastAsia" w:ascii="方正仿宋_GBK" w:hAnsi="方正仿宋_GBK" w:eastAsia="方正仿宋_GBK"/>
          <w:sz w:val="32"/>
          <w:highlight w:val="none"/>
          <w:lang w:val="en-US" w:eastAsia="zh-CN"/>
        </w:rPr>
        <w:t>规划确定的</w:t>
      </w:r>
      <w:r>
        <w:rPr>
          <w:rFonts w:hint="eastAsia" w:ascii="方正仿宋_GBK" w:hAnsi="方正仿宋_GBK" w:eastAsia="方正仿宋_GBK"/>
          <w:sz w:val="32"/>
          <w:highlight w:val="none"/>
          <w:lang w:eastAsia="zh-CN"/>
        </w:rPr>
        <w:t>重大任务、重大政策和重大项目，健全人才</w:t>
      </w:r>
      <w:r>
        <w:rPr>
          <w:rFonts w:hint="eastAsia" w:ascii="方正仿宋_GBK" w:hAnsi="方正仿宋_GBK" w:eastAsia="方正仿宋_GBK"/>
          <w:sz w:val="32"/>
          <w:highlight w:val="none"/>
          <w:lang w:val="en-US" w:eastAsia="zh-CN"/>
        </w:rPr>
        <w:t>引育留用、</w:t>
      </w:r>
      <w:r>
        <w:rPr>
          <w:rFonts w:hint="eastAsia" w:ascii="方正仿宋_GBK" w:hAnsi="方正仿宋_GBK" w:eastAsia="方正仿宋_GBK"/>
          <w:sz w:val="32"/>
          <w:highlight w:val="none"/>
          <w:lang w:eastAsia="zh-CN"/>
        </w:rPr>
        <w:t>评价激励全链条机制，建设高素质城市治理队伍。</w:t>
      </w:r>
      <w:r>
        <w:rPr>
          <w:rFonts w:ascii="方正仿宋_GBK" w:hAnsi="方正仿宋_GBK" w:eastAsia="方正仿宋_GBK"/>
          <w:b w:val="0"/>
          <w:sz w:val="32"/>
          <w:highlight w:val="none"/>
        </w:rPr>
        <w:t>实施动态监测分析、中期评估、总结评估</w:t>
      </w:r>
      <w:r>
        <w:rPr>
          <w:rFonts w:hint="eastAsia" w:ascii="方正仿宋_GBK" w:hAnsi="方正仿宋_GBK" w:eastAsia="方正仿宋_GBK"/>
          <w:b w:val="0"/>
          <w:sz w:val="32"/>
          <w:highlight w:val="none"/>
          <w:lang w:eastAsia="zh-CN"/>
        </w:rPr>
        <w:t>，</w:t>
      </w:r>
      <w:r>
        <w:rPr>
          <w:rFonts w:ascii="方正仿宋_GBK" w:hAnsi="方正仿宋_GBK" w:eastAsia="方正仿宋_GBK"/>
          <w:b w:val="0"/>
          <w:sz w:val="32"/>
          <w:highlight w:val="none"/>
        </w:rPr>
        <w:t>完善规划实施考核，</w:t>
      </w:r>
      <w:r>
        <w:rPr>
          <w:rFonts w:hint="eastAsia" w:ascii="方正仿宋_GBK" w:hAnsi="方正仿宋_GBK" w:eastAsia="方正仿宋_GBK"/>
          <w:b w:val="0"/>
          <w:sz w:val="32"/>
          <w:highlight w:val="none"/>
          <w:lang w:val="en-US" w:eastAsia="zh-CN"/>
        </w:rPr>
        <w:t>强化考核激励与责任传导</w:t>
      </w:r>
      <w:r>
        <w:rPr>
          <w:rFonts w:ascii="方正仿宋_GBK" w:hAnsi="方正仿宋_GBK" w:eastAsia="方正仿宋_GBK"/>
          <w:b w:val="0"/>
          <w:sz w:val="32"/>
          <w:highlight w:val="none"/>
        </w:rPr>
        <w:t>。</w:t>
      </w:r>
      <w:r>
        <w:rPr>
          <w:rFonts w:hint="eastAsia" w:ascii="方正仿宋_GBK" w:hAnsi="方正仿宋_GBK" w:eastAsia="方正仿宋_GBK"/>
          <w:b w:val="0"/>
          <w:sz w:val="32"/>
          <w:highlight w:val="none"/>
        </w:rPr>
        <w:t>强化评估结果运用</w:t>
      </w:r>
      <w:r>
        <w:rPr>
          <w:rFonts w:hint="eastAsia" w:ascii="方正仿宋_GBK" w:hAnsi="方正仿宋_GBK" w:eastAsia="方正仿宋_GBK"/>
          <w:b w:val="0"/>
          <w:sz w:val="32"/>
          <w:highlight w:val="none"/>
          <w:lang w:eastAsia="zh-CN"/>
        </w:rPr>
        <w:t>，根据实际情况动态优化任务举措，接受社会各界监督，</w:t>
      </w:r>
      <w:r>
        <w:rPr>
          <w:rFonts w:hint="eastAsia" w:ascii="方正仿宋_GBK" w:hAnsi="方正仿宋_GBK" w:eastAsia="方正仿宋_GBK" w:cstheme="minorBidi"/>
          <w:b w:val="0"/>
          <w:sz w:val="32"/>
          <w:szCs w:val="22"/>
          <w:highlight w:val="none"/>
          <w:lang w:val="en-US" w:eastAsia="zh-CN" w:bidi="ar-SA"/>
        </w:rPr>
        <w:t>及时总结推广有益经验。</w:t>
      </w:r>
    </w:p>
    <w:bookmarkEnd w:id="14"/>
    <w:p w14:paraId="256FD4A0">
      <w:pPr>
        <w:keepNext w:val="0"/>
        <w:keepLines w:val="0"/>
        <w:pageBreakBefore w:val="0"/>
        <w:widowControl w:val="0"/>
        <w:kinsoku/>
        <w:wordWrap/>
        <w:overflowPunct/>
        <w:topLinePunct w:val="0"/>
        <w:autoSpaceDE/>
        <w:autoSpaceDN/>
        <w:bidi w:val="0"/>
        <w:adjustRightInd/>
        <w:snapToGrid/>
        <w:spacing w:after="0" w:line="600" w:lineRule="exact"/>
        <w:ind w:firstLine="440" w:firstLineChars="200"/>
        <w:jc w:val="both"/>
        <w:textAlignment w:val="auto"/>
        <w:rPr>
          <w:rFonts w:hint="eastAsia"/>
          <w:lang w:eastAsia="zh-CN"/>
        </w:rPr>
      </w:pP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13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13F27">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9D6C5">
                          <w:pP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69D6C5">
                    <w:pP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D55191"/>
    <w:multiLevelType w:val="singleLevel"/>
    <w:tmpl w:val="44D55191"/>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30AE0"/>
    <w:rsid w:val="008B6CF2"/>
    <w:rsid w:val="056D6BE4"/>
    <w:rsid w:val="06737FB4"/>
    <w:rsid w:val="06DB2E87"/>
    <w:rsid w:val="07591FC8"/>
    <w:rsid w:val="09DC04F5"/>
    <w:rsid w:val="0F0A7DEB"/>
    <w:rsid w:val="14457ECD"/>
    <w:rsid w:val="15887224"/>
    <w:rsid w:val="15D63059"/>
    <w:rsid w:val="1ACE78CF"/>
    <w:rsid w:val="1E3DD05F"/>
    <w:rsid w:val="223FA7B8"/>
    <w:rsid w:val="226D16D6"/>
    <w:rsid w:val="259A18B2"/>
    <w:rsid w:val="27BD08B3"/>
    <w:rsid w:val="2B701475"/>
    <w:rsid w:val="30240390"/>
    <w:rsid w:val="332323EB"/>
    <w:rsid w:val="3A1148E1"/>
    <w:rsid w:val="3BB47467"/>
    <w:rsid w:val="3BCB5878"/>
    <w:rsid w:val="3C3E10C5"/>
    <w:rsid w:val="3D7F490E"/>
    <w:rsid w:val="3F457307"/>
    <w:rsid w:val="46D92C4C"/>
    <w:rsid w:val="482360E6"/>
    <w:rsid w:val="4BEB40E3"/>
    <w:rsid w:val="4C360219"/>
    <w:rsid w:val="4C7E5C4C"/>
    <w:rsid w:val="4C7F6D10"/>
    <w:rsid w:val="4D7577A6"/>
    <w:rsid w:val="4D930AE0"/>
    <w:rsid w:val="4EC725D2"/>
    <w:rsid w:val="4F265CEA"/>
    <w:rsid w:val="507B4F96"/>
    <w:rsid w:val="51A258E6"/>
    <w:rsid w:val="54951D3F"/>
    <w:rsid w:val="554F6521"/>
    <w:rsid w:val="56864F53"/>
    <w:rsid w:val="574800E6"/>
    <w:rsid w:val="59C52960"/>
    <w:rsid w:val="5D3FD2B8"/>
    <w:rsid w:val="5D774E64"/>
    <w:rsid w:val="5F57D4D6"/>
    <w:rsid w:val="60234C2A"/>
    <w:rsid w:val="6033188F"/>
    <w:rsid w:val="61374F3F"/>
    <w:rsid w:val="63002C90"/>
    <w:rsid w:val="63C01B57"/>
    <w:rsid w:val="65904814"/>
    <w:rsid w:val="66701BEA"/>
    <w:rsid w:val="683E1CE7"/>
    <w:rsid w:val="6A8C27AB"/>
    <w:rsid w:val="6A9F6119"/>
    <w:rsid w:val="6CE2E6E3"/>
    <w:rsid w:val="6CED5115"/>
    <w:rsid w:val="6F333E96"/>
    <w:rsid w:val="7033644C"/>
    <w:rsid w:val="726C5DC7"/>
    <w:rsid w:val="726F2CE8"/>
    <w:rsid w:val="72FF89AE"/>
    <w:rsid w:val="73924073"/>
    <w:rsid w:val="73A11102"/>
    <w:rsid w:val="75A93393"/>
    <w:rsid w:val="7648159B"/>
    <w:rsid w:val="77893CAB"/>
    <w:rsid w:val="7AECDFB6"/>
    <w:rsid w:val="7D8D1771"/>
    <w:rsid w:val="7E9B156F"/>
    <w:rsid w:val="7F7C4B0F"/>
    <w:rsid w:val="7FFEDF22"/>
    <w:rsid w:val="9FF7950D"/>
    <w:rsid w:val="B3FF5635"/>
    <w:rsid w:val="D7DD7A0F"/>
    <w:rsid w:val="DF67DE98"/>
    <w:rsid w:val="DFAB6887"/>
    <w:rsid w:val="DFEC0F8C"/>
    <w:rsid w:val="DFFF9E97"/>
    <w:rsid w:val="E1FFCFED"/>
    <w:rsid w:val="EEF99359"/>
    <w:rsid w:val="F3EF1B85"/>
    <w:rsid w:val="F3EF5778"/>
    <w:rsid w:val="F73F7955"/>
    <w:rsid w:val="FBFDEDAF"/>
    <w:rsid w:val="FD6E5BB4"/>
    <w:rsid w:val="FFFD1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3"/>
    <w:basedOn w:val="1"/>
    <w:next w:val="1"/>
    <w:unhideWhenUsed/>
    <w:qFormat/>
    <w:uiPriority w:val="9"/>
    <w:pPr>
      <w:keepNext/>
      <w:keepLines/>
      <w:spacing w:before="200" w:after="0"/>
      <w:outlineLvl w:val="2"/>
    </w:pPr>
    <w:rPr>
      <w:rFonts w:asciiTheme="majorHAnsi" w:hAnsiTheme="majorHAnsi" w:eastAsiaTheme="majorEastAsia" w:cstheme="majorBidi"/>
      <w:b/>
      <w:bCs/>
      <w:color w:val="4874CB" w:themeColor="accent1"/>
      <w14:textFill>
        <w14:solidFill>
          <w14:schemeClr w14:val="accent1"/>
        </w14:solidFill>
      </w14:textFill>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100" w:leftChars="100" w:right="100" w:rightChars="10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Title"/>
    <w:basedOn w:val="1"/>
    <w:next w:val="1"/>
    <w:qFormat/>
    <w:uiPriority w:val="0"/>
    <w:pPr>
      <w:overflowPunct w:val="0"/>
      <w:topLinePunct/>
      <w:autoSpaceDN w:val="0"/>
      <w:jc w:val="center"/>
    </w:pPr>
    <w:rPr>
      <w:rFonts w:ascii="Times New Roman" w:hAnsi="Times New Roman" w:eastAsia="方正小标宋_GBK"/>
      <w:spacing w:val="-6"/>
      <w:sz w:val="44"/>
      <w:szCs w:val="32"/>
    </w:rPr>
  </w:style>
  <w:style w:type="table" w:styleId="11">
    <w:name w:val="Table Grid"/>
    <w:basedOn w:val="10"/>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d99fce20-f1ea-42eb-b1c4-a6c1daadcc3a</errorID>
      <errorWord>*</errorWord>
      <group>L1_Punc</group>
      <groupName>标点问题</groupName>
      <ability>L2_Punc_CN</ability>
      <abilityName>标点符号问题</abilityName>
      <candidateList/>
      <explain/>
      <paraID>7A233F42</paraID>
      <start>0</start>
      <end>1</end>
      <status>unmodified</status>
      <modifiedWord/>
      <trackRevisions>false</trackRevisions>
    </reviewItem>
    <reviewItem>
      <errorID>5584f5ac-32e4-4951-b970-e4c2edaa5d93</errorID>
      <errorWord>*</errorWord>
      <group>L1_Punc</group>
      <groupName>标点问题</groupName>
      <ability>L2_Punc_CN</ability>
      <abilityName>标点符号问题</abilityName>
      <candidateList/>
      <explain/>
      <paraID>41D47F52</paraID>
      <start>0</start>
      <end>1</end>
      <status>unmodified</status>
      <modifiedWord/>
      <trackRevisions>false</trackRevisions>
    </reviewItem>
    <reviewItem>
      <errorID>76072975-543c-40a0-aa4d-9fd05ed054b3</errorID>
      <errorWord>*</errorWord>
      <group>L1_Punc</group>
      <groupName>标点问题</groupName>
      <ability>L2_Punc_CN</ability>
      <abilityName>标点符号问题</abilityName>
      <candidateList/>
      <explain/>
      <paraID>6E08AD88</paraID>
      <start>0</start>
      <end>1</end>
      <status>unmodified</status>
      <modifiedWord/>
      <trackRevisions>false</trackRevisions>
    </reviewItem>
    <reviewItem>
      <errorID>a30c4e0d-326e-43d6-b76c-20c610c67497</errorID>
      <errorWord>*</errorWord>
      <group>L1_Punc</group>
      <groupName>标点问题</groupName>
      <ability>L2_Punc_CN</ability>
      <abilityName>标点符号问题</abilityName>
      <candidateList/>
      <explain/>
      <paraID>4E18A69F</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496d16-5101-4458-8fd7-f3d098d4c651}">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9641</Words>
  <Characters>9843</Characters>
  <Lines>1</Lines>
  <Paragraphs>1</Paragraphs>
  <TotalTime>9</TotalTime>
  <ScaleCrop>false</ScaleCrop>
  <LinksUpToDate>false</LinksUpToDate>
  <CharactersWithSpaces>9854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2026-06-11T02:05:00Z</dcterms:created>
  <dc:creator>肖阳</dc:creator>
  <cp:lastModifiedBy>肖阳</cp:lastModifiedBy>
  <dcterms:modified xsi:type="dcterms:W3CDTF">2026-07-09T08:31:01Z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134DC8E179E84C43BA45841080482C73_13</vt:lpwstr>
  </property>
  <property fmtid="{D5CDD505-2E9C-101B-9397-08002B2CF9AE}" pid="4" name="KSOTemplateDocerSaveRecord">
    <vt:lpwstr>eyJoZGlkIjoiM2VmMWE0Yzg1YTU4YjQwOTgyNmFlOTRjZGVjM2VlNjYiLCJ1c2VySWQiOiI2MDk2OTA2NjUifQ==</vt:lpwstr>
  </property>
</Properties>
</file>