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64FFD">
      <w:pPr>
        <w:bidi w:val="0"/>
        <w:ind w:left="0" w:leftChars="0" w:firstLine="0" w:firstLineChars="0"/>
        <w:rPr>
          <w:rFonts w:hint="default"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附件2</w:t>
      </w:r>
    </w:p>
    <w:p w14:paraId="081BB763">
      <w:pPr>
        <w:bidi w:val="0"/>
        <w:rPr>
          <w:rFonts w:hint="default" w:ascii="Times New Roman" w:hAnsi="Times New Roman" w:cs="Times New Roman"/>
          <w:lang w:val="en-US" w:eastAsia="zh-CN"/>
        </w:rPr>
      </w:pPr>
    </w:p>
    <w:p w14:paraId="270A7388">
      <w:pPr>
        <w:bidi w:val="0"/>
        <w:rPr>
          <w:rFonts w:hint="default" w:ascii="Times New Roman" w:hAnsi="Times New Roman" w:cs="Times New Roman"/>
          <w:lang w:val="en-US" w:eastAsia="zh-CN"/>
        </w:rPr>
      </w:pPr>
    </w:p>
    <w:p w14:paraId="3B4EB9BC">
      <w:pPr>
        <w:bidi w:val="0"/>
        <w:rPr>
          <w:rFonts w:hint="default" w:ascii="Times New Roman" w:hAnsi="Times New Roman" w:cs="Times New Roman"/>
          <w:lang w:val="en-US" w:eastAsia="zh-CN"/>
        </w:rPr>
      </w:pPr>
    </w:p>
    <w:p w14:paraId="5075F22B">
      <w:pPr>
        <w:bidi w:val="0"/>
        <w:rPr>
          <w:rFonts w:hint="default" w:ascii="Times New Roman" w:hAnsi="Times New Roman" w:cs="Times New Roman"/>
          <w:lang w:val="en-US" w:eastAsia="zh-CN"/>
        </w:rPr>
      </w:pPr>
    </w:p>
    <w:p w14:paraId="15A9CE1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r>
        <w:rPr>
          <w:rFonts w:hint="eastAsia" w:eastAsia="方正小标宋_GBK" w:cs="Times New Roman"/>
          <w:sz w:val="44"/>
          <w:szCs w:val="36"/>
          <w:lang w:val="en-US" w:eastAsia="zh-CN"/>
        </w:rPr>
        <w:t>重庆市</w:t>
      </w:r>
      <w:r>
        <w:rPr>
          <w:rFonts w:hint="default" w:ascii="Times New Roman" w:hAnsi="Times New Roman" w:eastAsia="方正小标宋_GBK" w:cs="Times New Roman"/>
          <w:sz w:val="44"/>
          <w:szCs w:val="36"/>
          <w:lang w:val="en-US" w:eastAsia="zh-CN"/>
        </w:rPr>
        <w:t>铜梁</w:t>
      </w:r>
      <w:r>
        <w:rPr>
          <w:rFonts w:hint="default" w:ascii="Times New Roman" w:hAnsi="Times New Roman" w:eastAsia="方正小标宋_GBK" w:cs="Times New Roman"/>
          <w:sz w:val="44"/>
          <w:szCs w:val="36"/>
        </w:rPr>
        <w:t>区临时占道经营</w:t>
      </w:r>
      <w:r>
        <w:rPr>
          <w:rFonts w:hint="default" w:ascii="Times New Roman" w:hAnsi="Times New Roman" w:eastAsia="方正小标宋_GBK" w:cs="Times New Roman"/>
          <w:sz w:val="44"/>
          <w:szCs w:val="36"/>
          <w:lang w:val="en-US" w:eastAsia="zh-CN"/>
        </w:rPr>
        <w:t>点规划</w:t>
      </w:r>
    </w:p>
    <w:p w14:paraId="0F47EE0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（征求意见稿）</w:t>
      </w:r>
    </w:p>
    <w:p w14:paraId="5A49CC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3B6E5AC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284F8AB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3B22321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6CF6FD9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21C6B6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3229782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322CF90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477B4D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180AF9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13F65FC7">
      <w:pPr>
        <w:rPr>
          <w:rFonts w:hint="default" w:ascii="Times New Roman" w:hAnsi="Times New Roman" w:eastAsia="方正小标宋_GBK" w:cs="Times New Roman"/>
          <w:color w:val="auto"/>
          <w:sz w:val="44"/>
          <w:lang w:val="en-US" w:eastAsia="zh-CN"/>
        </w:rPr>
      </w:pPr>
    </w:p>
    <w:p w14:paraId="49FB1FB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406A37A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sectPr>
          <w:headerReference r:id="rId5" w:type="default"/>
          <w:pgSz w:w="11907" w:h="16840"/>
          <w:pgMar w:top="2098" w:right="1531" w:bottom="1984" w:left="1531" w:header="851" w:footer="992" w:gutter="0"/>
          <w:pgBorders>
            <w:top w:val="none" w:sz="0" w:space="0"/>
            <w:left w:val="none" w:sz="0" w:space="0"/>
            <w:bottom w:val="none" w:sz="0" w:space="0"/>
            <w:right w:val="none" w:sz="0" w:space="0"/>
          </w:pgBorders>
          <w:pgNumType w:fmt="numberInDash"/>
          <w:cols w:space="0" w:num="1"/>
          <w:rtlGutter w:val="0"/>
          <w:docGrid w:linePitch="380" w:charSpace="0"/>
        </w:sectPr>
      </w:pPr>
    </w:p>
    <w:p w14:paraId="5F24949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sz w:val="44"/>
          <w:szCs w:val="36"/>
          <w:lang w:val="en-US" w:eastAsia="zh-CN"/>
        </w:rPr>
      </w:pPr>
    </w:p>
    <w:p w14:paraId="2F99B92D">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方正小标宋_GBK" w:cs="Times New Roman"/>
          <w:sz w:val="44"/>
          <w:szCs w:val="36"/>
          <w:lang w:val="en-US" w:eastAsia="zh-CN"/>
        </w:rPr>
      </w:pPr>
      <w:r>
        <w:rPr>
          <w:rFonts w:hint="default" w:ascii="Times New Roman" w:hAnsi="Times New Roman" w:eastAsia="方正小标宋_GBK" w:cs="Times New Roman"/>
          <w:sz w:val="44"/>
          <w:szCs w:val="36"/>
          <w:lang w:val="en-US" w:eastAsia="zh-CN"/>
        </w:rPr>
        <w:t>总目录</w:t>
      </w:r>
    </w:p>
    <w:p w14:paraId="08D3A39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800" w:leftChars="250"/>
        <w:jc w:val="both"/>
        <w:textAlignment w:val="auto"/>
        <w:rPr>
          <w:rFonts w:hint="default" w:ascii="Times New Roman" w:hAnsi="Times New Roman" w:eastAsia="方正小标宋_GBK" w:cs="Times New Roman"/>
          <w:sz w:val="44"/>
          <w:szCs w:val="36"/>
          <w:lang w:val="en-US" w:eastAsia="zh-CN"/>
        </w:rPr>
      </w:pPr>
      <w:r>
        <w:rPr>
          <w:rFonts w:hint="default" w:ascii="Times New Roman" w:hAnsi="Times New Roman" w:eastAsia="方正小标宋_GBK" w:cs="Times New Roman"/>
          <w:sz w:val="44"/>
          <w:szCs w:val="36"/>
          <w:lang w:val="en-US" w:eastAsia="zh-CN"/>
        </w:rPr>
        <w:t>第一部分 文本</w:t>
      </w:r>
    </w:p>
    <w:p w14:paraId="58AFF51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800" w:leftChars="250"/>
        <w:jc w:val="both"/>
        <w:textAlignment w:val="auto"/>
        <w:rPr>
          <w:rFonts w:hint="default" w:ascii="Times New Roman" w:hAnsi="Times New Roman" w:eastAsia="方正小标宋_GBK" w:cs="Times New Roman"/>
          <w:sz w:val="44"/>
          <w:szCs w:val="36"/>
          <w:lang w:val="en-US" w:eastAsia="zh-CN"/>
        </w:rPr>
      </w:pPr>
      <w:r>
        <w:rPr>
          <w:rFonts w:hint="default" w:ascii="Times New Roman" w:hAnsi="Times New Roman" w:eastAsia="方正小标宋_GBK" w:cs="Times New Roman"/>
          <w:sz w:val="44"/>
          <w:szCs w:val="36"/>
          <w:lang w:val="en-US" w:eastAsia="zh-CN"/>
        </w:rPr>
        <w:t>第二部分 附件1：规划总体分布图</w:t>
      </w:r>
    </w:p>
    <w:p w14:paraId="56BD28B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800" w:leftChars="250"/>
        <w:jc w:val="both"/>
        <w:textAlignment w:val="auto"/>
        <w:rPr>
          <w:rFonts w:hint="default" w:ascii="Times New Roman" w:hAnsi="Times New Roman" w:eastAsia="方正小标宋_GBK" w:cs="Times New Roman"/>
          <w:sz w:val="44"/>
          <w:szCs w:val="36"/>
          <w:lang w:val="en-US" w:eastAsia="zh-CN"/>
        </w:rPr>
      </w:pPr>
      <w:r>
        <w:rPr>
          <w:rFonts w:hint="default" w:ascii="Times New Roman" w:hAnsi="Times New Roman" w:eastAsia="方正小标宋_GBK" w:cs="Times New Roman"/>
          <w:sz w:val="44"/>
          <w:szCs w:val="36"/>
          <w:lang w:val="en-US" w:eastAsia="zh-CN"/>
        </w:rPr>
        <w:t>第二部分 附件2：点位规划设置明细表</w:t>
      </w:r>
    </w:p>
    <w:p w14:paraId="41A468FD">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Times New Roman" w:hAnsi="Times New Roman" w:eastAsia="方正小标宋_GBK" w:cs="Times New Roman"/>
          <w:sz w:val="44"/>
          <w:szCs w:val="36"/>
          <w:lang w:val="en-US" w:eastAsia="zh-CN"/>
        </w:rPr>
      </w:pPr>
    </w:p>
    <w:p w14:paraId="31C8F7D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36"/>
          <w:lang w:val="en-US" w:eastAsia="zh-CN"/>
        </w:rPr>
      </w:pPr>
    </w:p>
    <w:p w14:paraId="7778D27B">
      <w:pPr>
        <w:ind w:left="0" w:leftChars="0" w:firstLine="0" w:firstLineChars="0"/>
        <w:jc w:val="center"/>
        <w:rPr>
          <w:rFonts w:hint="default" w:ascii="Times New Roman" w:hAnsi="Times New Roman" w:eastAsia="方正小标宋_GBK" w:cs="Times New Roman"/>
          <w:color w:val="auto"/>
          <w:sz w:val="32"/>
          <w:szCs w:val="32"/>
          <w:lang w:val="en-US" w:eastAsia="zh-CN"/>
        </w:rPr>
        <w:sectPr>
          <w:pgSz w:w="11907" w:h="16840"/>
          <w:pgMar w:top="2098" w:right="1531" w:bottom="1984" w:left="1531" w:header="851" w:footer="992" w:gutter="0"/>
          <w:pgBorders>
            <w:top w:val="none" w:sz="0" w:space="0"/>
            <w:left w:val="none" w:sz="0" w:space="0"/>
            <w:bottom w:val="none" w:sz="0" w:space="0"/>
            <w:right w:val="none" w:sz="0" w:space="0"/>
          </w:pgBorders>
          <w:pgNumType w:fmt="numberInDash"/>
          <w:cols w:space="0" w:num="1"/>
          <w:rtlGutter w:val="0"/>
          <w:docGrid w:linePitch="380" w:charSpace="0"/>
        </w:sectPr>
      </w:pPr>
    </w:p>
    <w:sdt>
      <w:sdtPr>
        <w:rPr>
          <w:rFonts w:hint="default" w:ascii="Times New Roman" w:hAnsi="Times New Roman" w:eastAsia="宋体" w:cs="Times New Roman"/>
          <w:kern w:val="2"/>
          <w:sz w:val="21"/>
          <w:szCs w:val="24"/>
          <w:lang w:val="en-US" w:eastAsia="zh-CN" w:bidi="ar-SA"/>
        </w:rPr>
        <w:id w:val="147468606"/>
        <w15:color w:val="DBDBDB"/>
        <w:docPartObj>
          <w:docPartGallery w:val="Table of Contents"/>
          <w:docPartUnique/>
        </w:docPartObj>
      </w:sdtPr>
      <w:sdtEndPr>
        <w:rPr>
          <w:rFonts w:hint="default" w:ascii="Times New Roman" w:hAnsi="Times New Roman" w:eastAsia="方正仿宋_GBK" w:cs="Times New Roman"/>
          <w:kern w:val="2"/>
          <w:sz w:val="32"/>
          <w:szCs w:val="24"/>
          <w:lang w:val="en-US" w:eastAsia="zh-CN" w:bidi="ar-SA"/>
        </w:rPr>
      </w:sdtEndPr>
      <w:sdtContent>
        <w:p w14:paraId="0A59E79C">
          <w:pPr>
            <w:spacing w:before="0" w:beforeLines="0" w:after="0" w:afterLines="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方正黑体_GBK" w:cs="Times New Roman"/>
              <w:sz w:val="32"/>
              <w:szCs w:val="40"/>
            </w:rPr>
            <w:t>目录</w:t>
          </w:r>
        </w:p>
        <w:p w14:paraId="1E15188C">
          <w:pPr>
            <w:pStyle w:val="11"/>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TOC \o "1-2" \h \u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HYPERLINK \l _Toc2166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lang w:val="en-US" w:eastAsia="zh-CN"/>
            </w:rPr>
            <w:t>第一章 总则</w:t>
          </w:r>
          <w:r>
            <w:rPr>
              <w:rFonts w:hint="default" w:ascii="Times New Roman" w:hAnsi="Times New Roman" w:eastAsia="方正仿宋_GBK" w:cs="Times New Roman"/>
              <w:b/>
              <w:bCs/>
            </w:rPr>
            <w:tab/>
          </w: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PAGEREF _Toc2166 \h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rPr>
            <w:t>- 1 -</w:t>
          </w:r>
          <w:r>
            <w:rPr>
              <w:rFonts w:hint="default" w:ascii="Times New Roman" w:hAnsi="Times New Roman" w:eastAsia="方正仿宋_GBK" w:cs="Times New Roman"/>
              <w:b/>
              <w:bCs/>
            </w:rPr>
            <w:fldChar w:fldCharType="end"/>
          </w:r>
          <w:r>
            <w:rPr>
              <w:rFonts w:hint="default" w:ascii="Times New Roman" w:hAnsi="Times New Roman" w:eastAsia="方正仿宋_GBK" w:cs="Times New Roman"/>
              <w:b/>
              <w:bCs/>
            </w:rPr>
            <w:fldChar w:fldCharType="end"/>
          </w:r>
        </w:p>
        <w:p w14:paraId="7C1DE277">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_Toc12077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第一条 规划目的</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_Toc12077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- 1 -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47293409">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_Toc11855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第二条 规划依据</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_Toc11855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- 1 -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1FF7711C">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_Toc26437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第三条 规划期限</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_Toc26437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- 1 -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7A6FE283">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_Toc10428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第四条 规划范围</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_Toc10428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- 1 -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129BD7F7">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_Toc12542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第五条 规划原则</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_Toc12542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- 2 -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1A2864C9">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_Toc15670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第六条 规划成果</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_Toc15670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- 3 -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15C86936">
          <w:pPr>
            <w:pStyle w:val="11"/>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HYPERLINK \l _Toc18629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lang w:val="en-US" w:eastAsia="zh-CN"/>
            </w:rPr>
            <w:t>第二章 规划分区与布局</w:t>
          </w:r>
          <w:r>
            <w:rPr>
              <w:rFonts w:hint="default" w:ascii="Times New Roman" w:hAnsi="Times New Roman" w:eastAsia="方正仿宋_GBK" w:cs="Times New Roman"/>
              <w:b/>
              <w:bCs/>
            </w:rPr>
            <w:tab/>
          </w: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PAGEREF _Toc18629 \h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rPr>
            <w:t>- 3 -</w:t>
          </w:r>
          <w:r>
            <w:rPr>
              <w:rFonts w:hint="default" w:ascii="Times New Roman" w:hAnsi="Times New Roman" w:eastAsia="方正仿宋_GBK" w:cs="Times New Roman"/>
              <w:b/>
              <w:bCs/>
            </w:rPr>
            <w:fldChar w:fldCharType="end"/>
          </w:r>
          <w:r>
            <w:rPr>
              <w:rFonts w:hint="default" w:ascii="Times New Roman" w:hAnsi="Times New Roman" w:eastAsia="方正仿宋_GBK" w:cs="Times New Roman"/>
              <w:b/>
              <w:bCs/>
            </w:rPr>
            <w:fldChar w:fldCharType="end"/>
          </w:r>
        </w:p>
        <w:p w14:paraId="15D0A91D">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_Toc30693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第七条 规划分区</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_Toc30693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- 3 -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14E2FB4F">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_Toc3529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第八条 选址要求</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_Toc3529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- 4 -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41166E34">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_Toc22591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第九条 布局要求</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_Toc22591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- 4 -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64B5DD8D">
          <w:pPr>
            <w:pStyle w:val="11"/>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b/>
              <w:bCs/>
            </w:rPr>
          </w:pP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HYPERLINK \l _Toc12969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highlight w:val="none"/>
              <w:lang w:val="en-US" w:eastAsia="zh-CN"/>
            </w:rPr>
            <w:t>第三章 点位设置</w:t>
          </w:r>
          <w:r>
            <w:rPr>
              <w:rFonts w:hint="default" w:ascii="Times New Roman" w:hAnsi="Times New Roman" w:eastAsia="方正仿宋_GBK" w:cs="Times New Roman"/>
              <w:b/>
              <w:bCs/>
            </w:rPr>
            <w:tab/>
          </w: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PAGEREF _Toc12969 \h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rPr>
            <w:t>- 5 -</w:t>
          </w:r>
          <w:r>
            <w:rPr>
              <w:rFonts w:hint="default" w:ascii="Times New Roman" w:hAnsi="Times New Roman" w:eastAsia="方正仿宋_GBK" w:cs="Times New Roman"/>
              <w:b/>
              <w:bCs/>
            </w:rPr>
            <w:fldChar w:fldCharType="end"/>
          </w:r>
          <w:r>
            <w:rPr>
              <w:rFonts w:hint="default" w:ascii="Times New Roman" w:hAnsi="Times New Roman" w:eastAsia="方正仿宋_GBK" w:cs="Times New Roman"/>
              <w:b/>
              <w:bCs/>
            </w:rPr>
            <w:fldChar w:fldCharType="end"/>
          </w:r>
        </w:p>
        <w:p w14:paraId="14420902">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_Toc7034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第十条 点位设置要求</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_Toc7034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- 5 -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27644C23">
          <w:pPr>
            <w:pStyle w:val="11"/>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b/>
              <w:bCs/>
            </w:rPr>
          </w:pP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HYPERLINK \l _Toc18568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highlight w:val="none"/>
              <w:lang w:val="en-US" w:eastAsia="zh-CN"/>
            </w:rPr>
            <w:t xml:space="preserve">第四章 </w:t>
          </w:r>
          <w:r>
            <w:rPr>
              <w:rFonts w:hint="default" w:ascii="Times New Roman" w:hAnsi="Times New Roman" w:eastAsia="方正仿宋_GBK" w:cs="Times New Roman"/>
              <w:b/>
              <w:bCs/>
              <w:lang w:val="en-US" w:eastAsia="zh-CN"/>
            </w:rPr>
            <w:t>规划点位明细</w:t>
          </w:r>
          <w:r>
            <w:rPr>
              <w:rFonts w:hint="default" w:ascii="Times New Roman" w:hAnsi="Times New Roman" w:eastAsia="方正仿宋_GBK" w:cs="Times New Roman"/>
              <w:b/>
              <w:bCs/>
            </w:rPr>
            <w:tab/>
          </w: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PAGEREF _Toc18568 \h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rPr>
            <w:t>- 6 -</w:t>
          </w:r>
          <w:r>
            <w:rPr>
              <w:rFonts w:hint="default" w:ascii="Times New Roman" w:hAnsi="Times New Roman" w:eastAsia="方正仿宋_GBK" w:cs="Times New Roman"/>
              <w:b/>
              <w:bCs/>
            </w:rPr>
            <w:fldChar w:fldCharType="end"/>
          </w:r>
          <w:r>
            <w:rPr>
              <w:rFonts w:hint="default" w:ascii="Times New Roman" w:hAnsi="Times New Roman" w:eastAsia="方正仿宋_GBK" w:cs="Times New Roman"/>
              <w:b/>
              <w:bCs/>
            </w:rPr>
            <w:fldChar w:fldCharType="end"/>
          </w:r>
        </w:p>
        <w:p w14:paraId="2767273C">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_Toc23503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第十一条 点位规划</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_Toc23503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- 6 -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18EDFA5E">
          <w:pPr>
            <w:pStyle w:val="11"/>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b/>
              <w:bCs/>
            </w:rPr>
          </w:pP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HYPERLINK \l _Toc8148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lang w:val="en-US" w:eastAsia="zh-CN"/>
            </w:rPr>
            <w:t>第五章 管理实施</w:t>
          </w:r>
          <w:r>
            <w:rPr>
              <w:rFonts w:hint="default" w:ascii="Times New Roman" w:hAnsi="Times New Roman" w:eastAsia="方正仿宋_GBK" w:cs="Times New Roman"/>
              <w:b/>
              <w:bCs/>
            </w:rPr>
            <w:tab/>
          </w: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PAGEREF _Toc8148 \h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rPr>
            <w:t>- 7 -</w:t>
          </w:r>
          <w:r>
            <w:rPr>
              <w:rFonts w:hint="default" w:ascii="Times New Roman" w:hAnsi="Times New Roman" w:eastAsia="方正仿宋_GBK" w:cs="Times New Roman"/>
              <w:b/>
              <w:bCs/>
            </w:rPr>
            <w:fldChar w:fldCharType="end"/>
          </w:r>
          <w:r>
            <w:rPr>
              <w:rFonts w:hint="default" w:ascii="Times New Roman" w:hAnsi="Times New Roman" w:eastAsia="方正仿宋_GBK" w:cs="Times New Roman"/>
              <w:b/>
              <w:bCs/>
            </w:rPr>
            <w:fldChar w:fldCharType="end"/>
          </w:r>
        </w:p>
        <w:p w14:paraId="1747A5D8">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_Toc12965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第十二条 分级管理</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_Toc12965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- 7 -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76653C40">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_Toc5193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highlight w:val="none"/>
              <w:lang w:val="en-US" w:eastAsia="zh-CN"/>
            </w:rPr>
            <w:t>第十三条 规划动态管理</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_Toc5193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- 8 -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5716B16A">
          <w:pPr>
            <w:pStyle w:val="11"/>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b/>
              <w:bCs/>
            </w:rPr>
          </w:pP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HYPERLINK \l _Toc15626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highlight w:val="none"/>
              <w:lang w:val="en-US" w:eastAsia="zh-CN"/>
            </w:rPr>
            <w:t>第六章 附则</w:t>
          </w:r>
          <w:r>
            <w:rPr>
              <w:rFonts w:hint="default" w:ascii="Times New Roman" w:hAnsi="Times New Roman" w:eastAsia="方正仿宋_GBK" w:cs="Times New Roman"/>
              <w:b/>
              <w:bCs/>
            </w:rPr>
            <w:tab/>
          </w: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PAGEREF _Toc15626 \h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rPr>
            <w:t>- 9 -</w:t>
          </w:r>
          <w:r>
            <w:rPr>
              <w:rFonts w:hint="default" w:ascii="Times New Roman" w:hAnsi="Times New Roman" w:eastAsia="方正仿宋_GBK" w:cs="Times New Roman"/>
              <w:b/>
              <w:bCs/>
            </w:rPr>
            <w:fldChar w:fldCharType="end"/>
          </w:r>
          <w:r>
            <w:rPr>
              <w:rFonts w:hint="default" w:ascii="Times New Roman" w:hAnsi="Times New Roman" w:eastAsia="方正仿宋_GBK" w:cs="Times New Roman"/>
              <w:b/>
              <w:bCs/>
            </w:rPr>
            <w:fldChar w:fldCharType="end"/>
          </w:r>
        </w:p>
        <w:p w14:paraId="25ACC21C">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_Toc17903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第十四条 规划生效</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_Toc17903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- 9 -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4DB09419">
          <w:pPr>
            <w:pStyle w:val="12"/>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_Toc7480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bCs/>
              <w:szCs w:val="32"/>
              <w:lang w:val="en-US" w:eastAsia="zh-CN"/>
            </w:rPr>
            <w:t>第十五条 规划解释</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_Toc7480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- 9 -</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5D751189">
          <w:pPr>
            <w:pStyle w:val="11"/>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b/>
              <w:bCs/>
            </w:rPr>
          </w:pP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HYPERLINK \l _Toc3878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lang w:val="en-US" w:eastAsia="zh-CN"/>
            </w:rPr>
            <w:t>附件1 铜梁区临时占道经营点规划总体分布图</w:t>
          </w:r>
          <w:r>
            <w:rPr>
              <w:rFonts w:hint="default" w:ascii="Times New Roman" w:hAnsi="Times New Roman" w:eastAsia="方正仿宋_GBK" w:cs="Times New Roman"/>
              <w:b/>
              <w:bCs/>
            </w:rPr>
            <w:tab/>
          </w: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PAGEREF _Toc3878 \h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rPr>
            <w:t>- 10 -</w:t>
          </w:r>
          <w:r>
            <w:rPr>
              <w:rFonts w:hint="default" w:ascii="Times New Roman" w:hAnsi="Times New Roman" w:eastAsia="方正仿宋_GBK" w:cs="Times New Roman"/>
              <w:b/>
              <w:bCs/>
            </w:rPr>
            <w:fldChar w:fldCharType="end"/>
          </w:r>
          <w:r>
            <w:rPr>
              <w:rFonts w:hint="default" w:ascii="Times New Roman" w:hAnsi="Times New Roman" w:eastAsia="方正仿宋_GBK" w:cs="Times New Roman"/>
              <w:b/>
              <w:bCs/>
            </w:rPr>
            <w:fldChar w:fldCharType="end"/>
          </w:r>
        </w:p>
        <w:p w14:paraId="3A211A88">
          <w:pPr>
            <w:pStyle w:val="11"/>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b/>
              <w:bCs/>
            </w:rPr>
          </w:pP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HYPERLINK \l _Toc10481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lang w:val="en-US" w:eastAsia="zh-CN"/>
            </w:rPr>
            <w:t>附件2 铜梁区临时占道经营点点位规划设置明细表</w:t>
          </w:r>
          <w:r>
            <w:rPr>
              <w:rFonts w:hint="default" w:ascii="Times New Roman" w:hAnsi="Times New Roman" w:eastAsia="方正仿宋_GBK" w:cs="Times New Roman"/>
              <w:b/>
              <w:bCs/>
            </w:rPr>
            <w:tab/>
          </w:r>
          <w:r>
            <w:rPr>
              <w:rFonts w:hint="default" w:ascii="Times New Roman" w:hAnsi="Times New Roman" w:eastAsia="方正仿宋_GBK" w:cs="Times New Roman"/>
              <w:b/>
              <w:bCs/>
            </w:rPr>
            <w:fldChar w:fldCharType="begin"/>
          </w:r>
          <w:r>
            <w:rPr>
              <w:rFonts w:hint="default" w:ascii="Times New Roman" w:hAnsi="Times New Roman" w:eastAsia="方正仿宋_GBK" w:cs="Times New Roman"/>
              <w:b/>
              <w:bCs/>
            </w:rPr>
            <w:instrText xml:space="preserve"> PAGEREF _Toc10481 \h </w:instrText>
          </w:r>
          <w:r>
            <w:rPr>
              <w:rFonts w:hint="default" w:ascii="Times New Roman" w:hAnsi="Times New Roman" w:eastAsia="方正仿宋_GBK" w:cs="Times New Roman"/>
              <w:b/>
              <w:bCs/>
            </w:rPr>
            <w:fldChar w:fldCharType="separate"/>
          </w:r>
          <w:r>
            <w:rPr>
              <w:rFonts w:hint="default" w:ascii="Times New Roman" w:hAnsi="Times New Roman" w:eastAsia="方正仿宋_GBK" w:cs="Times New Roman"/>
              <w:b/>
              <w:bCs/>
            </w:rPr>
            <w:t>- 11 -</w:t>
          </w:r>
          <w:r>
            <w:rPr>
              <w:rFonts w:hint="default" w:ascii="Times New Roman" w:hAnsi="Times New Roman" w:eastAsia="方正仿宋_GBK" w:cs="Times New Roman"/>
              <w:b/>
              <w:bCs/>
            </w:rPr>
            <w:fldChar w:fldCharType="end"/>
          </w:r>
          <w:r>
            <w:rPr>
              <w:rFonts w:hint="default" w:ascii="Times New Roman" w:hAnsi="Times New Roman" w:eastAsia="方正仿宋_GBK" w:cs="Times New Roman"/>
              <w:b/>
              <w:bCs/>
            </w:rPr>
            <w:fldChar w:fldCharType="end"/>
          </w:r>
        </w:p>
        <w:p w14:paraId="5455F9E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方正仿宋_GBK" w:cs="Times New Roman"/>
              <w:kern w:val="2"/>
              <w:sz w:val="32"/>
              <w:szCs w:val="24"/>
              <w:lang w:val="en-US" w:eastAsia="zh-CN" w:bidi="ar-SA"/>
            </w:rPr>
          </w:pPr>
          <w:r>
            <w:rPr>
              <w:rFonts w:hint="default" w:ascii="Times New Roman" w:hAnsi="Times New Roman" w:eastAsia="方正仿宋_GBK" w:cs="Times New Roman"/>
            </w:rPr>
            <w:fldChar w:fldCharType="end"/>
          </w:r>
        </w:p>
      </w:sdtContent>
    </w:sdt>
    <w:p w14:paraId="5021EF3E">
      <w:pPr>
        <w:rPr>
          <w:rFonts w:hint="default" w:ascii="Times New Roman" w:hAnsi="Times New Roman" w:eastAsia="方正仿宋_GBK" w:cs="Times New Roman"/>
          <w:kern w:val="2"/>
          <w:sz w:val="32"/>
          <w:szCs w:val="24"/>
          <w:lang w:val="en-US" w:eastAsia="zh-CN" w:bidi="ar-SA"/>
        </w:rPr>
        <w:sectPr>
          <w:pgSz w:w="11907" w:h="16840"/>
          <w:pgMar w:top="2098" w:right="1531" w:bottom="1984" w:left="1531" w:header="851" w:footer="992" w:gutter="0"/>
          <w:pgBorders>
            <w:top w:val="none" w:sz="0" w:space="0"/>
            <w:left w:val="none" w:sz="0" w:space="0"/>
            <w:bottom w:val="none" w:sz="0" w:space="0"/>
            <w:right w:val="none" w:sz="0" w:space="0"/>
          </w:pgBorders>
          <w:pgNumType w:fmt="numberInDash"/>
          <w:cols w:space="0" w:num="1"/>
          <w:rtlGutter w:val="0"/>
          <w:docGrid w:linePitch="380" w:charSpace="0"/>
        </w:sectPr>
      </w:pPr>
    </w:p>
    <w:p w14:paraId="79B56204">
      <w:pPr>
        <w:pStyle w:val="2"/>
        <w:bidi w:val="0"/>
        <w:jc w:val="center"/>
        <w:rPr>
          <w:rFonts w:hint="default" w:ascii="Times New Roman" w:hAnsi="Times New Roman" w:cs="Times New Roman"/>
          <w:color w:val="auto"/>
          <w:lang w:val="en-US" w:eastAsia="zh-CN"/>
        </w:rPr>
      </w:pPr>
      <w:bookmarkStart w:id="0" w:name="_Toc2166"/>
      <w:r>
        <w:rPr>
          <w:rFonts w:hint="default" w:ascii="Times New Roman" w:hAnsi="Times New Roman" w:cs="Times New Roman"/>
          <w:color w:val="auto"/>
          <w:lang w:val="en-US" w:eastAsia="zh-CN"/>
        </w:rPr>
        <w:t>第一章 总则</w:t>
      </w:r>
      <w:bookmarkEnd w:id="0"/>
    </w:p>
    <w:p w14:paraId="03102050">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1" w:name="_Toc12077"/>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第一条 规划目的</w:t>
      </w:r>
      <w:bookmarkEnd w:id="1"/>
    </w:p>
    <w:p w14:paraId="045699CB">
      <w:pPr>
        <w:keepNext w:val="0"/>
        <w:keepLines w:val="0"/>
        <w:pageBreakBefore w:val="0"/>
        <w:widowControl w:val="0"/>
        <w:kinsoku/>
        <w:wordWrap/>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bCs/>
          <w:color w:val="000000" w:themeColor="text1"/>
          <w:sz w:val="32"/>
          <w:szCs w:val="32"/>
          <w14:textFill>
            <w14:solidFill>
              <w14:schemeClr w14:val="tx1"/>
            </w14:solidFill>
          </w14:textFill>
        </w:rPr>
      </w:pPr>
      <w:r>
        <w:rPr>
          <w:rFonts w:hint="default" w:ascii="Times New Roman" w:hAnsi="Times New Roman" w:eastAsia="方正仿宋_GBK" w:cs="Times New Roman"/>
          <w:bCs/>
          <w:color w:val="000000" w:themeColor="text1"/>
          <w:sz w:val="32"/>
          <w:szCs w:val="32"/>
          <w14:textFill>
            <w14:solidFill>
              <w14:schemeClr w14:val="tx1"/>
            </w14:solidFill>
          </w14:textFill>
        </w:rPr>
        <w:t>为规范</w:t>
      </w:r>
      <w:r>
        <w:rPr>
          <w:rFonts w:hint="default" w:ascii="Times New Roman" w:hAnsi="Times New Roman" w:cs="Times New Roman"/>
          <w:bCs/>
          <w:color w:val="000000" w:themeColor="text1"/>
          <w:sz w:val="32"/>
          <w:szCs w:val="32"/>
          <w:lang w:val="en-US" w:eastAsia="zh-CN"/>
          <w14:textFill>
            <w14:solidFill>
              <w14:schemeClr w14:val="tx1"/>
            </w14:solidFill>
          </w14:textFill>
        </w:rPr>
        <w:t>铜梁</w:t>
      </w:r>
      <w:r>
        <w:rPr>
          <w:rFonts w:hint="default" w:ascii="Times New Roman" w:hAnsi="Times New Roman" w:eastAsia="方正仿宋_GBK" w:cs="Times New Roman"/>
          <w:bCs/>
          <w:color w:val="000000" w:themeColor="text1"/>
          <w:sz w:val="32"/>
          <w:szCs w:val="32"/>
          <w14:textFill>
            <w14:solidFill>
              <w14:schemeClr w14:val="tx1"/>
            </w14:solidFill>
          </w14:textFill>
        </w:rPr>
        <w:t>区临时占道经营点的设置与管理，提升城市精细化</w:t>
      </w:r>
      <w:r>
        <w:rPr>
          <w:rFonts w:hint="eastAsia" w:cs="Times New Roman"/>
          <w:bCs/>
          <w:color w:val="000000" w:themeColor="text1"/>
          <w:sz w:val="32"/>
          <w:szCs w:val="32"/>
          <w:lang w:eastAsia="zh-CN"/>
          <w14:textFill>
            <w14:solidFill>
              <w14:schemeClr w14:val="tx1"/>
            </w14:solidFill>
          </w14:textFill>
        </w:rPr>
        <w:t>治理</w:t>
      </w:r>
      <w:r>
        <w:rPr>
          <w:rFonts w:hint="default" w:ascii="Times New Roman" w:hAnsi="Times New Roman" w:eastAsia="方正仿宋_GBK" w:cs="Times New Roman"/>
          <w:bCs/>
          <w:color w:val="000000" w:themeColor="text1"/>
          <w:sz w:val="32"/>
          <w:szCs w:val="32"/>
          <w14:textFill>
            <w14:solidFill>
              <w14:schemeClr w14:val="tx1"/>
            </w14:solidFill>
          </w14:textFill>
        </w:rPr>
        <w:t>水平，统筹城市功能与民生需求，</w:t>
      </w:r>
      <w:r>
        <w:rPr>
          <w:rFonts w:hint="default" w:ascii="Times New Roman" w:hAnsi="Times New Roman" w:eastAsia="方正仿宋_GBK" w:cs="Times New Roman"/>
          <w:bCs/>
          <w:color w:val="auto"/>
          <w:szCs w:val="32"/>
          <w:highlight w:val="none"/>
        </w:rPr>
        <w:t>营造整洁、有序、安全、和谐的城市环境</w:t>
      </w:r>
      <w:r>
        <w:rPr>
          <w:rFonts w:hint="default" w:ascii="Times New Roman" w:hAnsi="Times New Roman" w:cs="Times New Roman"/>
          <w:bCs/>
          <w:color w:val="auto"/>
          <w:szCs w:val="32"/>
          <w:highlight w:val="none"/>
          <w:lang w:eastAsia="zh-CN"/>
        </w:rPr>
        <w:t>，</w:t>
      </w:r>
      <w:r>
        <w:rPr>
          <w:rFonts w:hint="default" w:ascii="Times New Roman" w:hAnsi="Times New Roman" w:eastAsia="方正仿宋_GBK" w:cs="Times New Roman"/>
          <w:bCs/>
          <w:color w:val="000000" w:themeColor="text1"/>
          <w:sz w:val="32"/>
          <w:szCs w:val="32"/>
          <w14:textFill>
            <w14:solidFill>
              <w14:schemeClr w14:val="tx1"/>
            </w14:solidFill>
          </w14:textFill>
        </w:rPr>
        <w:t>依据《重庆市临时占道经营点规划设置导则》《重庆市市容环境卫生管理条例》等有关规定，结合</w:t>
      </w:r>
      <w:r>
        <w:rPr>
          <w:rFonts w:hint="default" w:ascii="Times New Roman" w:hAnsi="Times New Roman" w:cs="Times New Roman"/>
          <w:bCs/>
          <w:color w:val="000000" w:themeColor="text1"/>
          <w:sz w:val="32"/>
          <w:szCs w:val="32"/>
          <w:lang w:val="en-US" w:eastAsia="zh-CN"/>
          <w14:textFill>
            <w14:solidFill>
              <w14:schemeClr w14:val="tx1"/>
            </w14:solidFill>
          </w14:textFill>
        </w:rPr>
        <w:t>铜梁</w:t>
      </w:r>
      <w:r>
        <w:rPr>
          <w:rFonts w:hint="default" w:ascii="Times New Roman" w:hAnsi="Times New Roman" w:eastAsia="方正仿宋_GBK" w:cs="Times New Roman"/>
          <w:bCs/>
          <w:color w:val="000000" w:themeColor="text1"/>
          <w:sz w:val="32"/>
          <w:szCs w:val="32"/>
          <w14:textFill>
            <w14:solidFill>
              <w14:schemeClr w14:val="tx1"/>
            </w14:solidFill>
          </w14:textFill>
        </w:rPr>
        <w:t>区实际，制定本规划。</w:t>
      </w:r>
    </w:p>
    <w:p w14:paraId="0A557891">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2" w:name="_Toc11855"/>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第二条 规划依据</w:t>
      </w:r>
      <w:bookmarkEnd w:id="2"/>
    </w:p>
    <w:p w14:paraId="6BDB5871">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1.《重庆市市容环境卫生管理条例》</w:t>
      </w:r>
    </w:p>
    <w:p w14:paraId="79F875D2">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2.《重庆市市政设施管理条例》</w:t>
      </w:r>
    </w:p>
    <w:p w14:paraId="66088318">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3.重庆市城市管理局《关于推进临时占道经营点规划和临时占道经营设置管理方案编制工作》的通知</w:t>
      </w:r>
    </w:p>
    <w:p w14:paraId="466B7854">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4.《重庆市临时占道经营点规划设置导则》</w:t>
      </w:r>
    </w:p>
    <w:p w14:paraId="2B4CECB3">
      <w:pPr>
        <w:spacing w:line="560" w:lineRule="exact"/>
        <w:ind w:firstLine="640" w:firstLineChars="200"/>
        <w:rPr>
          <w:rFonts w:hint="default" w:ascii="Times New Roman" w:hAnsi="Times New Roman" w:eastAsia="方正仿宋_GBK" w:cs="Times New Roman"/>
          <w:bCs/>
          <w:color w:val="auto"/>
          <w:szCs w:val="32"/>
          <w:lang w:val="en-US" w:eastAsia="zh-CN"/>
        </w:rPr>
      </w:pPr>
      <w:r>
        <w:rPr>
          <w:rFonts w:hint="default" w:ascii="Times New Roman" w:hAnsi="Times New Roman" w:cs="Times New Roman"/>
          <w:bCs/>
          <w:color w:val="auto"/>
          <w:szCs w:val="32"/>
          <w:lang w:val="en-US" w:eastAsia="zh-CN"/>
        </w:rPr>
        <w:t>5.其他相关法律法规及政策文件</w:t>
      </w:r>
    </w:p>
    <w:p w14:paraId="51CBD328">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3" w:name="_Toc26437"/>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第三条 规划期限</w:t>
      </w:r>
      <w:bookmarkEnd w:id="3"/>
    </w:p>
    <w:p w14:paraId="0189829E">
      <w:pPr>
        <w:spacing w:line="560" w:lineRule="exact"/>
        <w:ind w:firstLine="640" w:firstLineChars="200"/>
        <w:rPr>
          <w:rFonts w:hint="default" w:ascii="Times New Roman" w:hAnsi="Times New Roman" w:eastAsia="方正仿宋_GBK" w:cs="Times New Roman"/>
          <w:bCs/>
          <w:color w:val="auto"/>
          <w:szCs w:val="32"/>
          <w:lang w:val="en-US" w:eastAsia="zh-CN"/>
        </w:rPr>
      </w:pPr>
      <w:r>
        <w:rPr>
          <w:rFonts w:hint="default" w:ascii="Times New Roman" w:hAnsi="Times New Roman" w:eastAsia="方正仿宋_GBK" w:cs="Times New Roman"/>
          <w:bCs/>
          <w:color w:val="auto"/>
          <w:szCs w:val="32"/>
        </w:rPr>
        <w:t>本规划期限为2026-20</w:t>
      </w:r>
      <w:r>
        <w:rPr>
          <w:rFonts w:hint="default" w:ascii="Times New Roman" w:hAnsi="Times New Roman" w:cs="Times New Roman"/>
          <w:bCs/>
          <w:color w:val="auto"/>
          <w:szCs w:val="32"/>
          <w:lang w:val="en-US" w:eastAsia="zh-CN"/>
        </w:rPr>
        <w:t>30</w:t>
      </w:r>
      <w:r>
        <w:rPr>
          <w:rFonts w:hint="default" w:ascii="Times New Roman" w:hAnsi="Times New Roman" w:eastAsia="方正仿宋_GBK" w:cs="Times New Roman"/>
          <w:bCs/>
          <w:color w:val="auto"/>
          <w:szCs w:val="32"/>
        </w:rPr>
        <w:t>年。</w:t>
      </w:r>
    </w:p>
    <w:p w14:paraId="3B6E528C">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4" w:name="_Toc10428"/>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第四条 规划范围</w:t>
      </w:r>
      <w:bookmarkEnd w:id="4"/>
    </w:p>
    <w:p w14:paraId="78445F9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本规划适用于</w:t>
      </w:r>
      <w:r>
        <w:rPr>
          <w:rFonts w:hint="default" w:ascii="Times New Roman" w:hAnsi="Times New Roman" w:cs="Times New Roman"/>
          <w:color w:val="auto"/>
          <w:kern w:val="0"/>
          <w:sz w:val="32"/>
          <w:szCs w:val="32"/>
          <w:lang w:val="en-US" w:eastAsia="zh-CN"/>
        </w:rPr>
        <w:t>铜梁区东城街道、南城街道、巴川街道、蒲吕</w:t>
      </w:r>
      <w:r>
        <w:rPr>
          <w:rFonts w:hint="default" w:ascii="Times New Roman" w:hAnsi="Times New Roman" w:eastAsia="方正仿宋_GBK" w:cs="Times New Roman"/>
          <w:color w:val="auto"/>
          <w:kern w:val="0"/>
          <w:sz w:val="32"/>
          <w:szCs w:val="32"/>
          <w:lang w:val="en-US" w:eastAsia="zh-CN"/>
        </w:rPr>
        <w:t>街道</w:t>
      </w:r>
      <w:r>
        <w:rPr>
          <w:rFonts w:hint="default" w:ascii="Times New Roman" w:hAnsi="Times New Roman" w:eastAsia="方正仿宋_GBK" w:cs="Times New Roman"/>
          <w:sz w:val="32"/>
          <w:szCs w:val="32"/>
          <w:lang w:val="en-US" w:eastAsia="zh-CN"/>
        </w:rPr>
        <w:t>城市建成区内占用城市道路红线范围及沿线公共空间（含广场、桥下空间、闲置用地等）的临时经营点的规划、设置、管理及动态调整工作。</w:t>
      </w:r>
    </w:p>
    <w:p w14:paraId="621ECEDA">
      <w:pPr>
        <w:pStyle w:val="5"/>
        <w:rPr>
          <w:rFonts w:hint="default" w:ascii="Times New Roman" w:hAnsi="Times New Roman" w:cs="Times New Roman"/>
          <w:lang w:val="en-US" w:eastAsia="zh-CN"/>
        </w:rPr>
      </w:pPr>
    </w:p>
    <w:p w14:paraId="679CF53A">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5" w:name="_Toc12542"/>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w:t>
      </w:r>
      <w:r>
        <w:rPr>
          <w:rFonts w:hint="default" w:ascii="Times New Roman" w:hAnsi="Times New Roman" w:cs="Times New Roman"/>
          <w:b/>
          <w:bCs/>
          <w:color w:val="000000" w:themeColor="text1"/>
          <w:sz w:val="32"/>
          <w:szCs w:val="32"/>
          <w:lang w:val="en-US" w:eastAsia="zh-CN"/>
          <w14:textFill>
            <w14:solidFill>
              <w14:schemeClr w14:val="tx1"/>
            </w14:solidFill>
          </w14:textFill>
        </w:rPr>
        <w:t>五</w:t>
      </w:r>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条 规划原则</w:t>
      </w:r>
      <w:bookmarkEnd w:id="5"/>
    </w:p>
    <w:p w14:paraId="27082D4C">
      <w:pPr>
        <w:spacing w:line="560" w:lineRule="exact"/>
        <w:ind w:firstLine="640" w:firstLineChars="200"/>
        <w:rPr>
          <w:rFonts w:hint="default" w:ascii="Times New Roman" w:hAnsi="Times New Roman" w:eastAsia="方正仿宋_GBK" w:cs="Times New Roman"/>
          <w:sz w:val="32"/>
          <w:szCs w:val="32"/>
          <w:u w:val="none" w:color="auto"/>
          <w:lang w:eastAsia="zh-CN"/>
        </w:rPr>
      </w:pPr>
      <w:r>
        <w:rPr>
          <w:rFonts w:hint="default" w:ascii="Times New Roman" w:hAnsi="Times New Roman" w:eastAsia="方正楷体_GBK" w:cs="Times New Roman"/>
          <w:bCs/>
          <w:color w:val="auto"/>
          <w:szCs w:val="32"/>
          <w:lang w:val="en-US" w:eastAsia="zh-CN"/>
        </w:rPr>
        <w:t>（一）统一规划，集中设置。</w:t>
      </w:r>
      <w:r>
        <w:rPr>
          <w:rFonts w:hint="default" w:ascii="Times New Roman" w:hAnsi="Times New Roman" w:cs="Times New Roman"/>
          <w:bCs/>
          <w:color w:val="auto"/>
          <w:szCs w:val="32"/>
          <w:lang w:val="en-US" w:eastAsia="zh-CN"/>
        </w:rPr>
        <w:t>设置临时经营点必须坚持保障安全通行、市容秩序和公共利益，并作为各项工作的首要前提。</w:t>
      </w:r>
      <w:r>
        <w:rPr>
          <w:rFonts w:hint="default" w:ascii="Times New Roman" w:hAnsi="Times New Roman" w:eastAsia="方正仿宋_GBK" w:cs="Times New Roman"/>
          <w:sz w:val="32"/>
          <w:szCs w:val="32"/>
          <w:u w:val="none" w:color="auto"/>
        </w:rPr>
        <w:t>在全区范围内</w:t>
      </w:r>
      <w:r>
        <w:rPr>
          <w:rFonts w:hint="default" w:ascii="Times New Roman" w:hAnsi="Times New Roman" w:cs="Times New Roman"/>
          <w:sz w:val="32"/>
          <w:szCs w:val="32"/>
          <w:u w:val="none" w:color="auto"/>
          <w:lang w:val="en-US" w:eastAsia="zh-CN"/>
        </w:rPr>
        <w:t>统一、</w:t>
      </w:r>
      <w:r>
        <w:rPr>
          <w:rFonts w:hint="default" w:ascii="Times New Roman" w:hAnsi="Times New Roman" w:eastAsia="方正仿宋_GBK" w:cs="Times New Roman"/>
          <w:sz w:val="32"/>
          <w:szCs w:val="32"/>
          <w:u w:val="none" w:color="auto"/>
        </w:rPr>
        <w:t>科学选址，设置一批管理规范、特色鲜明、便民利民的“</w:t>
      </w:r>
      <w:r>
        <w:rPr>
          <w:rFonts w:hint="default" w:ascii="Times New Roman" w:hAnsi="Times New Roman" w:eastAsia="方正仿宋_GBK" w:cs="Times New Roman"/>
          <w:sz w:val="32"/>
          <w:szCs w:val="32"/>
          <w:u w:val="none" w:color="auto"/>
          <w:lang w:eastAsia="zh-CN"/>
        </w:rPr>
        <w:t>临时经营点</w:t>
      </w:r>
      <w:r>
        <w:rPr>
          <w:rFonts w:hint="default" w:ascii="Times New Roman" w:hAnsi="Times New Roman" w:eastAsia="方正仿宋_GBK" w:cs="Times New Roman"/>
          <w:sz w:val="32"/>
          <w:szCs w:val="32"/>
          <w:u w:val="none" w:color="auto"/>
        </w:rPr>
        <w:t>”。</w:t>
      </w:r>
      <w:r>
        <w:rPr>
          <w:rFonts w:hint="default" w:ascii="Times New Roman" w:hAnsi="Times New Roman" w:eastAsia="方正仿宋_GBK" w:cs="Times New Roman"/>
          <w:sz w:val="32"/>
          <w:szCs w:val="32"/>
          <w:u w:val="none" w:color="auto"/>
          <w:lang w:eastAsia="zh-CN"/>
        </w:rPr>
        <w:t>结合实际，对临街门店外摆行为进行统筹规划，明确标准，切实服务群众，提升城市形象。</w:t>
      </w:r>
    </w:p>
    <w:p w14:paraId="795EB0C2">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eastAsia="方正楷体_GBK" w:cs="Times New Roman"/>
          <w:bCs/>
          <w:color w:val="auto"/>
          <w:szCs w:val="32"/>
          <w:lang w:val="en-US" w:eastAsia="zh-CN"/>
        </w:rPr>
        <w:t>（二）安全有序、守界维安。</w:t>
      </w:r>
      <w:r>
        <w:rPr>
          <w:rFonts w:hint="default" w:ascii="Times New Roman" w:hAnsi="Times New Roman" w:cs="Times New Roman"/>
          <w:bCs/>
          <w:color w:val="auto"/>
          <w:szCs w:val="32"/>
          <w:lang w:val="en-US" w:eastAsia="zh-CN"/>
        </w:rPr>
        <w:t>对临时经营点所在区域开展安全风险评估，保障道路畅通及行人通行安全，维护公共设施正常使用。涉及食品销售的经营活动，必须符合食品安全相关法律规范。优先利用城市支路、背街小巷或道路两侧的桥下空间、闲置空地等小微空间设置临时经营点，避让交通敏感区域，防止引发交通拥堵。</w:t>
      </w:r>
    </w:p>
    <w:p w14:paraId="27ABAD94">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eastAsia="方正楷体_GBK" w:cs="Times New Roman"/>
          <w:bCs/>
          <w:color w:val="auto"/>
          <w:szCs w:val="32"/>
          <w:lang w:val="en-US" w:eastAsia="zh-CN"/>
        </w:rPr>
        <w:t>（三）以人为本，便民利民。</w:t>
      </w:r>
      <w:r>
        <w:rPr>
          <w:rFonts w:hint="default" w:ascii="Times New Roman" w:hAnsi="Times New Roman" w:cs="Times New Roman"/>
          <w:bCs/>
          <w:color w:val="auto"/>
          <w:szCs w:val="32"/>
          <w:lang w:val="en-US" w:eastAsia="zh-CN"/>
        </w:rPr>
        <w:t>以营造环境“安全、干净、有序”为导向，找准秩序管理与民生需求的平衡点，保障商品与服务明码标价、交易公平，提升人民群众</w:t>
      </w:r>
      <w:r>
        <w:rPr>
          <w:rFonts w:hint="eastAsia" w:cs="Times New Roman"/>
          <w:bCs/>
          <w:color w:val="auto"/>
          <w:szCs w:val="32"/>
          <w:lang w:val="en-US" w:eastAsia="zh-CN"/>
        </w:rPr>
        <w:t>获得感、幸福感、安全感</w:t>
      </w:r>
      <w:r>
        <w:rPr>
          <w:rFonts w:hint="default" w:ascii="Times New Roman" w:hAnsi="Times New Roman" w:cs="Times New Roman"/>
          <w:bCs/>
          <w:color w:val="auto"/>
          <w:szCs w:val="32"/>
          <w:lang w:val="en-US" w:eastAsia="zh-CN"/>
        </w:rPr>
        <w:t>和认同感。优先考虑老旧社区、保障房片区等民生薄弱区域，通过业态规划引导临时经营点填补服务缺口，鼓励设置非遗展示、传统手工艺品等特色文化摊位，塑造兼具活力与美学的市井空间。对符合国家规定的优抚对象，按照法律法规规章的规定予以支持保障。</w:t>
      </w:r>
    </w:p>
    <w:p w14:paraId="71C5C4E1">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eastAsia="方正楷体_GBK" w:cs="Times New Roman"/>
          <w:bCs/>
          <w:color w:val="auto"/>
          <w:szCs w:val="32"/>
          <w:lang w:val="en-US" w:eastAsia="zh-CN"/>
        </w:rPr>
        <w:t>（四）规范整洁，保护环境。</w:t>
      </w:r>
      <w:r>
        <w:rPr>
          <w:rFonts w:hint="default" w:ascii="Times New Roman" w:hAnsi="Times New Roman" w:cs="Times New Roman"/>
          <w:bCs/>
          <w:color w:val="auto"/>
          <w:szCs w:val="32"/>
          <w:lang w:val="en-US" w:eastAsia="zh-CN"/>
        </w:rPr>
        <w:t>在允许设置临时经营点的区域内，根据业态需要配套污水收集、垃圾分类收集等设施，落实有关污染防治措施降低环境影响。优先布局便民服务、文化创意等绿色业态，严格限制高噪音、高污染经营项目，保障经营活动与市容环境相协调，维护良好城市形象。</w:t>
      </w:r>
    </w:p>
    <w:p w14:paraId="0C41F990">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6" w:name="_Toc15670"/>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w:t>
      </w:r>
      <w:r>
        <w:rPr>
          <w:rFonts w:hint="default" w:ascii="Times New Roman" w:hAnsi="Times New Roman" w:cs="Times New Roman"/>
          <w:b/>
          <w:bCs/>
          <w:color w:val="000000" w:themeColor="text1"/>
          <w:sz w:val="32"/>
          <w:szCs w:val="32"/>
          <w:lang w:val="en-US" w:eastAsia="zh-CN"/>
          <w14:textFill>
            <w14:solidFill>
              <w14:schemeClr w14:val="tx1"/>
            </w14:solidFill>
          </w14:textFill>
        </w:rPr>
        <w:t>六</w:t>
      </w:r>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条 规划成果</w:t>
      </w:r>
      <w:bookmarkEnd w:id="6"/>
    </w:p>
    <w:p w14:paraId="35CF5F75">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本规划由文本、图纸和附件三部分组成，其中文本和图纸具有同等法律效力，两者应配合使用。</w:t>
      </w:r>
    </w:p>
    <w:p w14:paraId="3E916862">
      <w:pPr>
        <w:spacing w:line="560" w:lineRule="exact"/>
        <w:ind w:firstLine="640" w:firstLineChars="200"/>
        <w:rPr>
          <w:rFonts w:hint="default" w:ascii="Times New Roman" w:hAnsi="Times New Roman" w:cs="Times New Roman"/>
          <w:bCs/>
          <w:color w:val="auto"/>
          <w:szCs w:val="32"/>
          <w:lang w:val="en-US" w:eastAsia="zh-CN"/>
        </w:rPr>
      </w:pPr>
    </w:p>
    <w:p w14:paraId="5A162CF6">
      <w:pPr>
        <w:pStyle w:val="2"/>
        <w:bidi w:val="0"/>
        <w:jc w:val="center"/>
        <w:rPr>
          <w:rFonts w:hint="default" w:ascii="Times New Roman" w:hAnsi="Times New Roman" w:cs="Times New Roman"/>
          <w:color w:val="auto"/>
          <w:lang w:val="en-US" w:eastAsia="zh-CN"/>
        </w:rPr>
      </w:pPr>
      <w:bookmarkStart w:id="7" w:name="_Toc18629"/>
      <w:r>
        <w:rPr>
          <w:rFonts w:hint="default" w:ascii="Times New Roman" w:hAnsi="Times New Roman" w:cs="Times New Roman"/>
          <w:color w:val="auto"/>
          <w:lang w:val="en-US" w:eastAsia="zh-CN"/>
        </w:rPr>
        <w:t>第二章 规划分区与布局</w:t>
      </w:r>
      <w:bookmarkEnd w:id="7"/>
    </w:p>
    <w:p w14:paraId="398D0B1A">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8" w:name="_Toc30693"/>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w:t>
      </w:r>
      <w:r>
        <w:rPr>
          <w:rFonts w:hint="default" w:ascii="Times New Roman" w:hAnsi="Times New Roman" w:cs="Times New Roman"/>
          <w:b/>
          <w:bCs/>
          <w:color w:val="000000" w:themeColor="text1"/>
          <w:sz w:val="32"/>
          <w:szCs w:val="32"/>
          <w:lang w:val="en-US" w:eastAsia="zh-CN"/>
          <w14:textFill>
            <w14:solidFill>
              <w14:schemeClr w14:val="tx1"/>
            </w14:solidFill>
          </w14:textFill>
        </w:rPr>
        <w:t>七</w:t>
      </w:r>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条 规划分区</w:t>
      </w:r>
      <w:bookmarkEnd w:id="8"/>
    </w:p>
    <w:p w14:paraId="6F29D61F">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eastAsia="方正仿宋_GBK" w:cs="Times New Roman"/>
          <w:color w:val="auto"/>
          <w:highlight w:val="none"/>
          <w:lang w:val="en-US" w:eastAsia="zh-CN"/>
        </w:rPr>
        <w:t>依据安全、秩序、环境等核心管控要素，将临时经营点设置区域划分为禁止设置区和规范设置区。</w:t>
      </w:r>
    </w:p>
    <w:p w14:paraId="2C21512B">
      <w:pPr>
        <w:spacing w:line="560" w:lineRule="exact"/>
        <w:ind w:firstLine="640" w:firstLineChars="200"/>
        <w:rPr>
          <w:rFonts w:hint="default" w:ascii="Times New Roman" w:hAnsi="Times New Roman" w:eastAsia="方正楷体_GBK" w:cs="Times New Roman"/>
          <w:bCs/>
          <w:color w:val="auto"/>
          <w:szCs w:val="32"/>
          <w:lang w:val="en-US" w:eastAsia="zh-CN"/>
        </w:rPr>
      </w:pPr>
      <w:r>
        <w:rPr>
          <w:rFonts w:hint="default" w:ascii="Times New Roman" w:hAnsi="Times New Roman" w:eastAsia="方正楷体_GBK" w:cs="Times New Roman"/>
          <w:bCs/>
          <w:color w:val="auto"/>
          <w:szCs w:val="32"/>
          <w:lang w:val="en-US" w:eastAsia="zh-CN"/>
        </w:rPr>
        <w:t>（一）禁止设置区</w:t>
      </w:r>
    </w:p>
    <w:p w14:paraId="51BF80C6">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禁止设置区内，严格禁止任何形式的临时占道经营活动。具体范围包括以下类型：</w:t>
      </w:r>
    </w:p>
    <w:p w14:paraId="56D3908C">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1.安全底线类。消防车通道及消防登高面；易燃易爆设施防火隔离区；人员密集场所的疏散通道、安全出口；220千伏及以上高压走廊；危旧建筑结构影响区；建设工程施工围挡安全防护区。</w:t>
      </w:r>
    </w:p>
    <w:p w14:paraId="178BBC38">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2.公共秩序类。军事管理区、国家机关驻地；医院急诊通道；幼儿园、中小学校园周边区域；轨道交通车站出入口及通道；公交车站周边区域；重大活动期间公安机关依法划定的管制区域。</w:t>
      </w:r>
    </w:p>
    <w:p w14:paraId="1CA10AA7">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3.环境保护类。饮用水源一级保护区；江河湖泊、湿地、山体等生态敏感区的核心保护区；防洪设施控制区；地质灾害高风险区。</w:t>
      </w:r>
    </w:p>
    <w:p w14:paraId="412B4203">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4.文化保护类。历史文化街区核心保护区；文物保护单位保护范围。</w:t>
      </w:r>
    </w:p>
    <w:p w14:paraId="4A396435">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cs="Times New Roman"/>
          <w:bCs/>
          <w:color w:val="auto"/>
          <w:szCs w:val="32"/>
          <w:lang w:val="en-US" w:eastAsia="zh-CN"/>
        </w:rPr>
        <w:t>5.其他</w:t>
      </w:r>
      <w:r>
        <w:rPr>
          <w:rFonts w:hint="eastAsia" w:cs="Times New Roman"/>
          <w:bCs/>
          <w:color w:val="auto"/>
          <w:szCs w:val="32"/>
          <w:lang w:val="en-US" w:eastAsia="zh-CN"/>
        </w:rPr>
        <w:t>法律、法规</w:t>
      </w:r>
      <w:r>
        <w:rPr>
          <w:rFonts w:hint="default" w:ascii="Times New Roman" w:hAnsi="Times New Roman" w:cs="Times New Roman"/>
          <w:bCs/>
          <w:color w:val="auto"/>
          <w:szCs w:val="32"/>
          <w:lang w:val="en-US" w:eastAsia="zh-CN"/>
        </w:rPr>
        <w:t>明确禁止占用的区域。</w:t>
      </w:r>
      <w:bookmarkStart w:id="23" w:name="_GoBack"/>
      <w:bookmarkEnd w:id="23"/>
    </w:p>
    <w:p w14:paraId="1140F035">
      <w:pPr>
        <w:spacing w:line="560" w:lineRule="exact"/>
        <w:ind w:firstLine="640" w:firstLineChars="200"/>
        <w:rPr>
          <w:rFonts w:hint="default" w:ascii="Times New Roman" w:hAnsi="Times New Roman" w:eastAsia="方正楷体_GBK" w:cs="Times New Roman"/>
          <w:bCs/>
          <w:color w:val="auto"/>
          <w:szCs w:val="32"/>
          <w:lang w:val="en-US" w:eastAsia="zh-CN"/>
        </w:rPr>
      </w:pPr>
      <w:r>
        <w:rPr>
          <w:rFonts w:hint="default" w:ascii="Times New Roman" w:hAnsi="Times New Roman" w:eastAsia="方正楷体_GBK" w:cs="Times New Roman"/>
          <w:bCs/>
          <w:color w:val="auto"/>
          <w:szCs w:val="32"/>
          <w:lang w:val="en-US" w:eastAsia="zh-CN"/>
        </w:rPr>
        <w:t>（二）规范设置区</w:t>
      </w:r>
    </w:p>
    <w:p w14:paraId="4F3463D8">
      <w:pPr>
        <w:spacing w:line="560" w:lineRule="exact"/>
        <w:ind w:firstLine="640" w:firstLineChars="200"/>
        <w:rPr>
          <w:rFonts w:hint="default" w:ascii="Times New Roman" w:hAnsi="Times New Roman" w:cs="Times New Roman"/>
          <w:bCs/>
          <w:color w:val="auto"/>
          <w:szCs w:val="32"/>
          <w:lang w:val="en-US" w:eastAsia="zh-CN"/>
        </w:rPr>
      </w:pPr>
      <w:r>
        <w:rPr>
          <w:rFonts w:hint="default" w:ascii="Times New Roman" w:hAnsi="Times New Roman" w:eastAsia="方正仿宋_GBK" w:cs="Times New Roman"/>
          <w:bCs/>
          <w:color w:val="000000" w:themeColor="text1"/>
          <w:sz w:val="32"/>
          <w:szCs w:val="32"/>
          <w14:textFill>
            <w14:solidFill>
              <w14:schemeClr w14:val="tx1"/>
            </w14:solidFill>
          </w14:textFill>
        </w:rPr>
        <w:t>除禁止设置区外的城市道路及公共空间，</w:t>
      </w:r>
      <w:r>
        <w:rPr>
          <w:rFonts w:hint="default" w:ascii="Times New Roman" w:hAnsi="Times New Roman" w:cs="Times New Roman"/>
          <w:bCs/>
          <w:color w:val="000000" w:themeColor="text1"/>
          <w:sz w:val="32"/>
          <w:szCs w:val="32"/>
          <w:lang w:val="en-US" w:eastAsia="zh-CN"/>
          <w14:textFill>
            <w14:solidFill>
              <w14:schemeClr w14:val="tx1"/>
            </w14:solidFill>
          </w14:textFill>
        </w:rPr>
        <w:t>需在</w:t>
      </w:r>
      <w:r>
        <w:rPr>
          <w:rFonts w:hint="default" w:ascii="Times New Roman" w:hAnsi="Times New Roman" w:cs="Times New Roman"/>
          <w:bCs/>
          <w:color w:val="auto"/>
          <w:szCs w:val="32"/>
          <w:lang w:val="en-US" w:eastAsia="zh-CN"/>
        </w:rPr>
        <w:t>保障安全通行、市容秩序和公共利益的前提下设置。</w:t>
      </w:r>
    </w:p>
    <w:p w14:paraId="47CC3A1B">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9" w:name="_Toc3529"/>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w:t>
      </w:r>
      <w:r>
        <w:rPr>
          <w:rFonts w:hint="default" w:ascii="Times New Roman" w:hAnsi="Times New Roman" w:cs="Times New Roman"/>
          <w:b/>
          <w:bCs/>
          <w:color w:val="000000" w:themeColor="text1"/>
          <w:sz w:val="32"/>
          <w:szCs w:val="32"/>
          <w:lang w:val="en-US" w:eastAsia="zh-CN"/>
          <w14:textFill>
            <w14:solidFill>
              <w14:schemeClr w14:val="tx1"/>
            </w14:solidFill>
          </w14:textFill>
        </w:rPr>
        <w:t>八</w:t>
      </w:r>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条 选址要求</w:t>
      </w:r>
      <w:bookmarkEnd w:id="9"/>
    </w:p>
    <w:p w14:paraId="3169AADE">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1.</w:t>
      </w:r>
      <w:r>
        <w:rPr>
          <w:rFonts w:hint="default" w:ascii="Times New Roman" w:hAnsi="Times New Roman" w:eastAsia="方正仿宋_GBK" w:cs="Times New Roman"/>
          <w:color w:val="auto"/>
          <w:highlight w:val="none"/>
          <w:lang w:val="en-US" w:eastAsia="zh-CN"/>
        </w:rPr>
        <w:t>优先</w:t>
      </w:r>
      <w:r>
        <w:rPr>
          <w:rFonts w:hint="default" w:ascii="Times New Roman" w:hAnsi="Times New Roman" w:cs="Times New Roman"/>
          <w:color w:val="auto"/>
          <w:highlight w:val="none"/>
          <w:lang w:val="en-US" w:eastAsia="zh-CN"/>
        </w:rPr>
        <w:t>覆盖</w:t>
      </w:r>
      <w:r>
        <w:rPr>
          <w:rFonts w:hint="default" w:ascii="Times New Roman" w:hAnsi="Times New Roman" w:eastAsia="方正仿宋_GBK" w:cs="Times New Roman"/>
          <w:color w:val="auto"/>
          <w:highlight w:val="none"/>
          <w:lang w:val="en-US" w:eastAsia="zh-CN"/>
        </w:rPr>
        <w:t>老旧小区、保障房片区以及便民服务设施薄弱区域，鼓励结合城市更新项目，统筹规划设置或升级改造。</w:t>
      </w:r>
    </w:p>
    <w:p w14:paraId="05A793F2">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2.</w:t>
      </w:r>
      <w:r>
        <w:rPr>
          <w:rFonts w:hint="default" w:ascii="Times New Roman" w:hAnsi="Times New Roman" w:eastAsia="方正仿宋_GBK" w:cs="Times New Roman"/>
          <w:color w:val="auto"/>
          <w:highlight w:val="none"/>
          <w:lang w:val="en-US" w:eastAsia="zh-CN"/>
        </w:rPr>
        <w:t>优先选择近期无建设计划的断头路、背街小巷或道路两侧具备可供市民使用空间的路段。</w:t>
      </w:r>
    </w:p>
    <w:p w14:paraId="4156F0F6">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3.</w:t>
      </w:r>
      <w:r>
        <w:rPr>
          <w:rFonts w:hint="default" w:ascii="Times New Roman" w:hAnsi="Times New Roman" w:eastAsia="方正仿宋_GBK" w:cs="Times New Roman"/>
          <w:color w:val="auto"/>
          <w:highlight w:val="none"/>
          <w:lang w:val="en-US" w:eastAsia="zh-CN"/>
        </w:rPr>
        <w:t>选址区域应交通便利、有利于人流和物流的集散、符合消防安全要求。</w:t>
      </w:r>
    </w:p>
    <w:p w14:paraId="0FED7C6D">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default" w:ascii="Times New Roman" w:hAnsi="Times New Roman" w:eastAsia="方正仿宋_GBK" w:cs="Times New Roman"/>
          <w:color w:val="auto"/>
          <w:highlight w:val="none"/>
          <w:lang w:val="en-US" w:eastAsia="zh-CN"/>
        </w:rPr>
        <w:t>选址区域应地面平整，具备排水防涝条件。</w:t>
      </w:r>
    </w:p>
    <w:p w14:paraId="5F077510">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5.</w:t>
      </w:r>
      <w:r>
        <w:rPr>
          <w:rFonts w:hint="default" w:ascii="Times New Roman" w:hAnsi="Times New Roman" w:eastAsia="方正仿宋_GBK" w:cs="Times New Roman"/>
          <w:color w:val="auto"/>
          <w:highlight w:val="none"/>
          <w:lang w:val="en-US" w:eastAsia="zh-CN"/>
        </w:rPr>
        <w:t>选址区域应与垃圾站、化粪池等邻避设施保持适当距离。</w:t>
      </w:r>
    </w:p>
    <w:p w14:paraId="18EBD5AF">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6.</w:t>
      </w:r>
      <w:r>
        <w:rPr>
          <w:rFonts w:hint="default" w:ascii="Times New Roman" w:hAnsi="Times New Roman" w:eastAsia="方正仿宋_GBK" w:cs="Times New Roman"/>
          <w:color w:val="auto"/>
          <w:highlight w:val="none"/>
          <w:lang w:val="en-US" w:eastAsia="zh-CN"/>
        </w:rPr>
        <w:t>选址区域若为夜间经营区域宜具备可接入的公共照明设施。</w:t>
      </w:r>
    </w:p>
    <w:p w14:paraId="4D806FB7">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7.</w:t>
      </w:r>
      <w:r>
        <w:rPr>
          <w:rFonts w:hint="default" w:ascii="Times New Roman" w:hAnsi="Times New Roman" w:eastAsia="方正仿宋_GBK" w:cs="Times New Roman"/>
          <w:color w:val="auto"/>
          <w:highlight w:val="none"/>
          <w:lang w:val="en-US" w:eastAsia="zh-CN"/>
        </w:rPr>
        <w:t>选址区域如需占用建筑退让区，应事先征得产</w:t>
      </w:r>
      <w:r>
        <w:rPr>
          <w:rFonts w:hint="eastAsia" w:cs="Times New Roman"/>
          <w:color w:val="auto"/>
          <w:highlight w:val="none"/>
          <w:lang w:val="en-US" w:eastAsia="zh-CN"/>
        </w:rPr>
        <w:t>权</w:t>
      </w:r>
      <w:r>
        <w:rPr>
          <w:rFonts w:hint="default" w:ascii="Times New Roman" w:hAnsi="Times New Roman" w:eastAsia="方正仿宋_GBK" w:cs="Times New Roman"/>
          <w:color w:val="auto"/>
          <w:highlight w:val="none"/>
          <w:lang w:val="en-US" w:eastAsia="zh-CN"/>
        </w:rPr>
        <w:t>或管理单位同意，并确保不影响安全通行及周边商铺正常经营。</w:t>
      </w:r>
    </w:p>
    <w:p w14:paraId="1CDB78CD">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10" w:name="_Toc22591"/>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w:t>
      </w:r>
      <w:r>
        <w:rPr>
          <w:rFonts w:hint="default" w:ascii="Times New Roman" w:hAnsi="Times New Roman" w:cs="Times New Roman"/>
          <w:b/>
          <w:bCs/>
          <w:color w:val="000000" w:themeColor="text1"/>
          <w:sz w:val="32"/>
          <w:szCs w:val="32"/>
          <w:lang w:val="en-US" w:eastAsia="zh-CN"/>
          <w14:textFill>
            <w14:solidFill>
              <w14:schemeClr w14:val="tx1"/>
            </w14:solidFill>
          </w14:textFill>
        </w:rPr>
        <w:t>九</w:t>
      </w:r>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条 布局要求</w:t>
      </w:r>
      <w:bookmarkEnd w:id="10"/>
    </w:p>
    <w:p w14:paraId="6C993F8C">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highlight w:val="none"/>
          <w:u w:val="none" w:color="auto"/>
          <w:lang w:val="en-US" w:eastAsia="zh-CN"/>
        </w:rPr>
      </w:pPr>
      <w:r>
        <w:rPr>
          <w:rFonts w:hint="default" w:ascii="Times New Roman" w:hAnsi="Times New Roman" w:cs="Times New Roman"/>
          <w:color w:val="auto"/>
          <w:highlight w:val="none"/>
          <w:lang w:val="en-US" w:eastAsia="zh-CN"/>
        </w:rPr>
        <w:t>1.</w:t>
      </w:r>
      <w:r>
        <w:rPr>
          <w:rFonts w:hint="default" w:ascii="Times New Roman" w:hAnsi="Times New Roman" w:eastAsia="方正仿宋_GBK" w:cs="Times New Roman"/>
          <w:color w:val="auto"/>
          <w:highlight w:val="none"/>
          <w:lang w:val="en-US" w:eastAsia="zh-CN"/>
        </w:rPr>
        <w:t>应保障连续、通畅的人行空间，设置后人行通道有效宽度应满足安全通行要求。</w:t>
      </w:r>
      <w:r>
        <w:rPr>
          <w:rFonts w:hint="default" w:ascii="Times New Roman" w:hAnsi="Times New Roman" w:eastAsia="方正仿宋_GBK" w:cs="Times New Roman"/>
          <w:sz w:val="32"/>
          <w:szCs w:val="32"/>
          <w:highlight w:val="none"/>
          <w:u w:val="none" w:color="auto"/>
          <w:lang w:val="en-US" w:eastAsia="zh-CN"/>
        </w:rPr>
        <w:t>临街门店外摆后原则上须预留不小于2米的行人通行宽度；有机动车通行或人流量较大路段，预留通行宽度不低于5米（已施划公共停车位的，扣除停车位长度后计算）。有坡、坎、绿化、台阶等明显隔离界线的，以明显隔离为界。</w:t>
      </w:r>
    </w:p>
    <w:p w14:paraId="238C8760">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2.</w:t>
      </w:r>
      <w:r>
        <w:rPr>
          <w:rFonts w:hint="default" w:ascii="Times New Roman" w:hAnsi="Times New Roman" w:eastAsia="方正仿宋_GBK" w:cs="Times New Roman"/>
          <w:color w:val="auto"/>
          <w:highlight w:val="none"/>
          <w:lang w:val="en-US" w:eastAsia="zh-CN"/>
        </w:rPr>
        <w:t>严禁占用盲道、轮椅坡道等无障碍设施，保障特殊群体通行权益。</w:t>
      </w:r>
    </w:p>
    <w:p w14:paraId="5E259C35">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3.</w:t>
      </w:r>
      <w:r>
        <w:rPr>
          <w:rFonts w:hint="default" w:ascii="Times New Roman" w:hAnsi="Times New Roman" w:eastAsia="方正仿宋_GBK" w:cs="Times New Roman"/>
          <w:color w:val="auto"/>
          <w:highlight w:val="none"/>
          <w:lang w:val="en-US" w:eastAsia="zh-CN"/>
        </w:rPr>
        <w:t>与周边建（构）筑物的防火间距应符合规范要求；禁止占用、堵塞、封闭应急疏散空间；禁止埋压、圈占、遮挡消防设施；摊位间隔应满足防火疏散需求。</w:t>
      </w:r>
    </w:p>
    <w:p w14:paraId="2052B3EB">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default" w:ascii="Times New Roman" w:hAnsi="Times New Roman" w:eastAsia="方正仿宋_GBK" w:cs="Times New Roman"/>
          <w:color w:val="auto"/>
          <w:highlight w:val="none"/>
          <w:lang w:val="en-US" w:eastAsia="zh-CN"/>
        </w:rPr>
        <w:t>严禁占用城市园林绿地，禁止砍伐树木或破坏绿化设施；严禁损坏或擅自迁移地下管线、检查井等市政设施；不得覆盖、涂改道路标线及交通标识。</w:t>
      </w:r>
    </w:p>
    <w:p w14:paraId="6727F7DA">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cs="Times New Roman"/>
          <w:color w:val="auto"/>
          <w:highlight w:val="none"/>
          <w:lang w:val="en-US" w:eastAsia="zh-CN"/>
        </w:rPr>
        <w:t>5.</w:t>
      </w:r>
      <w:r>
        <w:rPr>
          <w:rFonts w:hint="default" w:ascii="Times New Roman" w:hAnsi="Times New Roman" w:eastAsia="方正仿宋_GBK" w:cs="Times New Roman"/>
          <w:color w:val="auto"/>
          <w:highlight w:val="none"/>
          <w:lang w:val="en-US" w:eastAsia="zh-CN"/>
        </w:rPr>
        <w:t>设置前应对占道区域内既有设施（含市政管线、交通标志标线、路灯杆件等）采取防撞、防污等必要保护措施。</w:t>
      </w:r>
    </w:p>
    <w:p w14:paraId="1BB27BC0">
      <w:pPr>
        <w:bidi w:val="0"/>
        <w:rPr>
          <w:rFonts w:hint="default" w:ascii="Times New Roman" w:hAnsi="Times New Roman" w:cs="Times New Roman"/>
          <w:lang w:val="en-US" w:eastAsia="zh-CN"/>
        </w:rPr>
      </w:pPr>
    </w:p>
    <w:p w14:paraId="2FB4B4AB">
      <w:pPr>
        <w:pStyle w:val="2"/>
        <w:bidi w:val="0"/>
        <w:jc w:val="center"/>
        <w:rPr>
          <w:rFonts w:hint="default" w:ascii="Times New Roman" w:hAnsi="Times New Roman" w:cs="Times New Roman"/>
          <w:color w:val="auto"/>
          <w:highlight w:val="none"/>
          <w:lang w:val="en-US" w:eastAsia="zh-CN"/>
        </w:rPr>
      </w:pPr>
      <w:bookmarkStart w:id="11" w:name="_Toc12969"/>
      <w:r>
        <w:rPr>
          <w:rFonts w:hint="default" w:ascii="Times New Roman" w:hAnsi="Times New Roman" w:cs="Times New Roman"/>
          <w:color w:val="auto"/>
          <w:highlight w:val="none"/>
          <w:lang w:val="en-US" w:eastAsia="zh-CN"/>
        </w:rPr>
        <w:t>第三章 点位设置</w:t>
      </w:r>
      <w:bookmarkEnd w:id="11"/>
    </w:p>
    <w:p w14:paraId="2586B321">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12" w:name="_Toc7034"/>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第十条</w:t>
      </w:r>
      <w:r>
        <w:rPr>
          <w:rFonts w:hint="default" w:ascii="Times New Roman" w:hAnsi="Times New Roman" w:cs="Times New Roman"/>
          <w:b/>
          <w:bCs/>
          <w:color w:val="000000" w:themeColor="text1"/>
          <w:sz w:val="32"/>
          <w:szCs w:val="32"/>
          <w:lang w:val="en-US" w:eastAsia="zh-CN"/>
          <w14:textFill>
            <w14:solidFill>
              <w14:schemeClr w14:val="tx1"/>
            </w14:solidFill>
          </w14:textFill>
        </w:rPr>
        <w:t xml:space="preserve"> 点位设置要求</w:t>
      </w:r>
      <w:bookmarkEnd w:id="12"/>
    </w:p>
    <w:p w14:paraId="418858D5">
      <w:pPr>
        <w:spacing w:line="560" w:lineRule="exact"/>
        <w:ind w:firstLine="640" w:firstLineChars="200"/>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eastAsia="方正仿宋_GBK" w:cs="Times New Roman"/>
          <w:color w:val="000000" w:themeColor="text1"/>
          <w:highlight w:val="none"/>
          <w14:textFill>
            <w14:solidFill>
              <w14:schemeClr w14:val="tx1"/>
            </w14:solidFill>
          </w14:textFill>
        </w:rPr>
        <w:t>场地布局应利于集散，满足基本运营需求</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保障道路通畅</w:t>
      </w:r>
      <w:r>
        <w:rPr>
          <w:rFonts w:hint="default" w:ascii="Times New Roman" w:hAnsi="Times New Roman" w:eastAsia="方正仿宋_GBK" w:cs="Times New Roman"/>
          <w:color w:val="000000" w:themeColor="text1"/>
          <w:highlight w:val="none"/>
          <w14:textFill>
            <w14:solidFill>
              <w14:schemeClr w14:val="tx1"/>
            </w14:solidFill>
          </w14:textFill>
        </w:rPr>
        <w:t>。</w:t>
      </w:r>
    </w:p>
    <w:p w14:paraId="0322F4AB">
      <w:pPr>
        <w:spacing w:line="560" w:lineRule="exact"/>
        <w:ind w:firstLine="640" w:firstLineChars="200"/>
        <w:rPr>
          <w:rFonts w:hint="default" w:ascii="Times New Roman" w:hAnsi="Times New Roman" w:eastAsia="方正仿宋_GBK" w:cs="Times New Roman"/>
          <w:sz w:val="32"/>
          <w:szCs w:val="32"/>
          <w:highlight w:val="none"/>
          <w:u w:val="none" w:color="auto"/>
        </w:rPr>
      </w:pPr>
      <w:r>
        <w:rPr>
          <w:rFonts w:hint="default" w:ascii="Times New Roman" w:hAnsi="Times New Roman" w:cs="Times New Roman"/>
          <w:sz w:val="32"/>
          <w:szCs w:val="32"/>
          <w:highlight w:val="none"/>
          <w:u w:val="none" w:color="auto"/>
          <w:lang w:val="en-US" w:eastAsia="zh-CN"/>
        </w:rPr>
        <w:t>2.经营区域设置</w:t>
      </w:r>
      <w:r>
        <w:rPr>
          <w:rFonts w:hint="default" w:ascii="Times New Roman" w:hAnsi="Times New Roman" w:eastAsia="方正仿宋_GBK" w:cs="Times New Roman"/>
          <w:sz w:val="32"/>
          <w:szCs w:val="32"/>
          <w:highlight w:val="none"/>
          <w:u w:val="none" w:color="auto"/>
        </w:rPr>
        <w:t>“</w:t>
      </w:r>
      <w:r>
        <w:rPr>
          <w:rFonts w:hint="default" w:ascii="Times New Roman" w:hAnsi="Times New Roman" w:eastAsia="方正仿宋_GBK" w:cs="Times New Roman"/>
          <w:sz w:val="32"/>
          <w:szCs w:val="32"/>
          <w:highlight w:val="none"/>
          <w:u w:val="none" w:color="auto"/>
          <w:lang w:eastAsia="zh-CN"/>
        </w:rPr>
        <w:t>临时经营点</w:t>
      </w:r>
      <w:r>
        <w:rPr>
          <w:rFonts w:hint="default" w:ascii="Times New Roman" w:hAnsi="Times New Roman" w:eastAsia="方正仿宋_GBK" w:cs="Times New Roman"/>
          <w:sz w:val="32"/>
          <w:szCs w:val="32"/>
          <w:highlight w:val="none"/>
          <w:u w:val="none" w:color="auto"/>
        </w:rPr>
        <w:t>”标识牌，公示</w:t>
      </w:r>
      <w:r>
        <w:rPr>
          <w:rFonts w:hint="default" w:ascii="Times New Roman" w:hAnsi="Times New Roman" w:eastAsia="方正仿宋_GBK" w:cs="Times New Roman"/>
          <w:sz w:val="32"/>
          <w:szCs w:val="32"/>
          <w:highlight w:val="none"/>
          <w:u w:val="none" w:color="auto"/>
          <w:lang w:eastAsia="zh-CN"/>
        </w:rPr>
        <w:t>临时经营点</w:t>
      </w:r>
      <w:r>
        <w:rPr>
          <w:rFonts w:hint="default" w:ascii="Times New Roman" w:hAnsi="Times New Roman" w:eastAsia="方正仿宋_GBK" w:cs="Times New Roman"/>
          <w:sz w:val="32"/>
          <w:szCs w:val="32"/>
          <w:highlight w:val="none"/>
          <w:u w:val="none" w:color="auto"/>
        </w:rPr>
        <w:t>名称、开放时段、管理单位、监督电话、经营守则等</w:t>
      </w:r>
      <w:r>
        <w:rPr>
          <w:rFonts w:hint="default" w:ascii="Times New Roman" w:hAnsi="Times New Roman" w:cs="Times New Roman"/>
          <w:sz w:val="32"/>
          <w:szCs w:val="32"/>
          <w:highlight w:val="none"/>
          <w:u w:val="none" w:color="auto"/>
          <w:lang w:val="en-US" w:eastAsia="zh-CN"/>
        </w:rPr>
        <w:t>基本信息</w:t>
      </w:r>
      <w:r>
        <w:rPr>
          <w:rFonts w:hint="default" w:ascii="Times New Roman" w:hAnsi="Times New Roman" w:eastAsia="方正仿宋_GBK" w:cs="Times New Roman"/>
          <w:sz w:val="32"/>
          <w:szCs w:val="32"/>
          <w:highlight w:val="none"/>
          <w:u w:val="none" w:color="auto"/>
        </w:rPr>
        <w:t>。</w:t>
      </w:r>
    </w:p>
    <w:p w14:paraId="6A5AA562">
      <w:pPr>
        <w:spacing w:line="560" w:lineRule="exact"/>
        <w:ind w:firstLine="640" w:firstLineChars="200"/>
        <w:rPr>
          <w:rFonts w:hint="default" w:ascii="Times New Roman" w:hAnsi="Times New Roman" w:eastAsia="方正仿宋_GBK" w:cs="Times New Roman"/>
          <w:sz w:val="32"/>
          <w:szCs w:val="32"/>
          <w:highlight w:val="none"/>
          <w:u w:val="none" w:color="auto"/>
        </w:rPr>
      </w:pPr>
      <w:r>
        <w:rPr>
          <w:rFonts w:hint="default" w:ascii="Times New Roman" w:hAnsi="Times New Roman" w:cs="Times New Roman"/>
          <w:sz w:val="32"/>
          <w:szCs w:val="32"/>
          <w:highlight w:val="none"/>
          <w:u w:val="none" w:color="auto"/>
          <w:lang w:val="en-US" w:eastAsia="zh-CN"/>
        </w:rPr>
        <w:t>3.</w:t>
      </w:r>
      <w:r>
        <w:rPr>
          <w:rFonts w:hint="default" w:ascii="Times New Roman" w:hAnsi="Times New Roman" w:eastAsia="方正仿宋_GBK" w:cs="Times New Roman"/>
          <w:sz w:val="32"/>
          <w:szCs w:val="32"/>
          <w:highlight w:val="none"/>
          <w:u w:val="none" w:color="auto"/>
        </w:rPr>
        <w:t>在地面清晰划定</w:t>
      </w:r>
      <w:r>
        <w:rPr>
          <w:rFonts w:hint="default" w:ascii="Times New Roman" w:hAnsi="Times New Roman" w:eastAsia="方正仿宋_GBK" w:cs="Times New Roman"/>
          <w:sz w:val="32"/>
          <w:szCs w:val="32"/>
          <w:highlight w:val="none"/>
          <w:u w:val="none" w:color="auto"/>
          <w:lang w:eastAsia="zh-CN"/>
        </w:rPr>
        <w:t>占道</w:t>
      </w:r>
      <w:r>
        <w:rPr>
          <w:rFonts w:hint="default" w:ascii="Times New Roman" w:hAnsi="Times New Roman" w:eastAsia="方正仿宋_GBK" w:cs="Times New Roman"/>
          <w:sz w:val="32"/>
          <w:szCs w:val="32"/>
          <w:highlight w:val="none"/>
          <w:u w:val="none" w:color="auto"/>
        </w:rPr>
        <w:t>区域线，实行“一</w:t>
      </w:r>
      <w:r>
        <w:rPr>
          <w:rFonts w:hint="default" w:ascii="Times New Roman" w:hAnsi="Times New Roman" w:eastAsia="方正仿宋_GBK" w:cs="Times New Roman"/>
          <w:sz w:val="32"/>
          <w:szCs w:val="32"/>
          <w:highlight w:val="none"/>
          <w:u w:val="none" w:color="auto"/>
          <w:lang w:eastAsia="zh-CN"/>
        </w:rPr>
        <w:t>户</w:t>
      </w:r>
      <w:r>
        <w:rPr>
          <w:rFonts w:hint="default" w:ascii="Times New Roman" w:hAnsi="Times New Roman" w:eastAsia="方正仿宋_GBK" w:cs="Times New Roman"/>
          <w:sz w:val="32"/>
          <w:szCs w:val="32"/>
          <w:highlight w:val="none"/>
          <w:u w:val="none" w:color="auto"/>
        </w:rPr>
        <w:t>一位”，编号管理，严禁越线经营。</w:t>
      </w:r>
    </w:p>
    <w:p w14:paraId="6C822C80">
      <w:pPr>
        <w:rPr>
          <w:rFonts w:hint="default" w:ascii="Times New Roman" w:hAnsi="Times New Roman" w:eastAsia="方正仿宋_GBK" w:cs="Times New Roman"/>
          <w:sz w:val="32"/>
          <w:szCs w:val="32"/>
          <w:highlight w:val="none"/>
          <w:u w:val="none" w:color="auto"/>
        </w:rPr>
      </w:pPr>
      <w:r>
        <w:rPr>
          <w:rFonts w:hint="default" w:ascii="Times New Roman" w:hAnsi="Times New Roman" w:cs="Times New Roman"/>
          <w:highlight w:val="none"/>
          <w:lang w:val="en-US" w:eastAsia="zh-CN"/>
        </w:rPr>
        <w:t>4.</w:t>
      </w:r>
      <w:r>
        <w:rPr>
          <w:rFonts w:hint="default" w:ascii="Times New Roman" w:hAnsi="Times New Roman" w:eastAsia="方正仿宋_GBK" w:cs="Times New Roman"/>
          <w:sz w:val="32"/>
          <w:szCs w:val="32"/>
          <w:highlight w:val="none"/>
          <w:u w:val="none" w:color="auto"/>
        </w:rPr>
        <w:t>经营者自备垃圾收集容器（加盖），落实“</w:t>
      </w:r>
      <w:r>
        <w:rPr>
          <w:rFonts w:hint="default" w:ascii="Times New Roman" w:hAnsi="Times New Roman" w:eastAsia="方正仿宋_GBK" w:cs="Times New Roman"/>
          <w:sz w:val="32"/>
          <w:szCs w:val="32"/>
          <w:highlight w:val="none"/>
          <w:u w:val="none" w:color="auto"/>
          <w:lang w:eastAsia="zh-CN"/>
        </w:rPr>
        <w:t>门（</w:t>
      </w:r>
      <w:r>
        <w:rPr>
          <w:rFonts w:hint="default" w:ascii="Times New Roman" w:hAnsi="Times New Roman" w:eastAsia="方正仿宋_GBK" w:cs="Times New Roman"/>
          <w:sz w:val="32"/>
          <w:szCs w:val="32"/>
          <w:highlight w:val="none"/>
          <w:u w:val="none" w:color="auto"/>
        </w:rPr>
        <w:t>摊</w:t>
      </w:r>
      <w:r>
        <w:rPr>
          <w:rFonts w:hint="default" w:ascii="Times New Roman" w:hAnsi="Times New Roman" w:eastAsia="方正仿宋_GBK" w:cs="Times New Roman"/>
          <w:sz w:val="32"/>
          <w:szCs w:val="32"/>
          <w:highlight w:val="none"/>
          <w:u w:val="none" w:color="auto"/>
          <w:lang w:eastAsia="zh-CN"/>
        </w:rPr>
        <w:t>）</w:t>
      </w:r>
      <w:r>
        <w:rPr>
          <w:rFonts w:hint="default" w:ascii="Times New Roman" w:hAnsi="Times New Roman" w:eastAsia="方正仿宋_GBK" w:cs="Times New Roman"/>
          <w:sz w:val="32"/>
          <w:szCs w:val="32"/>
          <w:highlight w:val="none"/>
          <w:u w:val="none" w:color="auto"/>
        </w:rPr>
        <w:t>前三包”（包卫生、包秩序、包设施），确保</w:t>
      </w:r>
      <w:r>
        <w:rPr>
          <w:rFonts w:hint="default" w:ascii="Times New Roman" w:hAnsi="Times New Roman" w:eastAsia="方正仿宋_GBK" w:cs="Times New Roman"/>
          <w:sz w:val="32"/>
          <w:szCs w:val="32"/>
          <w:highlight w:val="none"/>
          <w:u w:val="none" w:color="auto"/>
          <w:lang w:eastAsia="zh-CN"/>
        </w:rPr>
        <w:t>经营点</w:t>
      </w:r>
      <w:r>
        <w:rPr>
          <w:rFonts w:hint="default" w:ascii="Times New Roman" w:hAnsi="Times New Roman" w:eastAsia="方正仿宋_GBK" w:cs="Times New Roman"/>
          <w:sz w:val="32"/>
          <w:szCs w:val="32"/>
          <w:highlight w:val="none"/>
          <w:u w:val="none" w:color="auto"/>
        </w:rPr>
        <w:t>及周边环境整洁。收市后需彻底清扫地面，恢复原状。</w:t>
      </w:r>
    </w:p>
    <w:p w14:paraId="53CC3A5A">
      <w:pPr>
        <w:rPr>
          <w:rFonts w:hint="default" w:ascii="Times New Roman" w:hAnsi="Times New Roman" w:eastAsia="方正仿宋_GBK" w:cs="Times New Roman"/>
          <w:sz w:val="32"/>
          <w:szCs w:val="32"/>
          <w:highlight w:val="none"/>
          <w:u w:val="none" w:color="auto"/>
          <w:lang w:eastAsia="zh-CN"/>
        </w:rPr>
      </w:pPr>
      <w:r>
        <w:rPr>
          <w:rFonts w:hint="default" w:ascii="Times New Roman" w:hAnsi="Times New Roman" w:cs="Times New Roman"/>
          <w:sz w:val="32"/>
          <w:szCs w:val="32"/>
          <w:highlight w:val="none"/>
          <w:u w:val="none" w:color="auto"/>
          <w:lang w:val="en-US" w:eastAsia="zh-CN"/>
        </w:rPr>
        <w:t>5.</w:t>
      </w:r>
      <w:r>
        <w:rPr>
          <w:rFonts w:hint="default" w:ascii="Times New Roman" w:hAnsi="Times New Roman" w:eastAsia="方正仿宋_GBK" w:cs="Times New Roman"/>
          <w:sz w:val="32"/>
          <w:szCs w:val="32"/>
          <w:highlight w:val="none"/>
          <w:u w:val="none" w:color="auto"/>
          <w:lang w:eastAsia="zh-CN"/>
        </w:rPr>
        <w:t>临时占道经营点和临街门店外摆区域物品摆放需规范整齐；临时搭设的棚伞等需保持完好，颜色款式等与周边环境相协调</w:t>
      </w:r>
      <w:r>
        <w:rPr>
          <w:rFonts w:hint="default" w:ascii="Times New Roman" w:hAnsi="Times New Roman" w:cs="Times New Roman"/>
          <w:sz w:val="32"/>
          <w:szCs w:val="32"/>
          <w:highlight w:val="none"/>
          <w:u w:val="none" w:color="auto"/>
          <w:lang w:eastAsia="zh-CN"/>
        </w:rPr>
        <w:t>，不得搭建永久性建（构）筑物</w:t>
      </w:r>
      <w:r>
        <w:rPr>
          <w:rFonts w:hint="default" w:ascii="Times New Roman" w:hAnsi="Times New Roman" w:eastAsia="方正仿宋_GBK" w:cs="Times New Roman"/>
          <w:sz w:val="32"/>
          <w:szCs w:val="32"/>
          <w:highlight w:val="none"/>
          <w:u w:val="none" w:color="auto"/>
          <w:lang w:eastAsia="zh-CN"/>
        </w:rPr>
        <w:t>。</w:t>
      </w:r>
    </w:p>
    <w:p w14:paraId="1A84FDCD">
      <w:pPr>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cs="Times New Roman"/>
          <w:sz w:val="32"/>
          <w:szCs w:val="32"/>
          <w:highlight w:val="none"/>
          <w:u w:val="none" w:color="auto"/>
          <w:lang w:val="en-US" w:eastAsia="zh-CN"/>
        </w:rPr>
        <w:t>6.</w:t>
      </w:r>
      <w:r>
        <w:rPr>
          <w:rFonts w:hint="default" w:ascii="Times New Roman" w:hAnsi="Times New Roman" w:eastAsia="方正仿宋_GBK" w:cs="Times New Roman"/>
          <w:color w:val="000000" w:themeColor="text1"/>
          <w:highlight w:val="none"/>
          <w14:textFill>
            <w14:solidFill>
              <w14:schemeClr w14:val="tx1"/>
            </w14:solidFill>
          </w14:textFill>
        </w:rPr>
        <w:t>按需配备消防设施。</w:t>
      </w:r>
      <w:r>
        <w:rPr>
          <w:rFonts w:hint="default" w:ascii="Times New Roman" w:hAnsi="Times New Roman" w:eastAsia="方正仿宋_GBK" w:cs="Times New Roman"/>
          <w:sz w:val="32"/>
          <w:szCs w:val="32"/>
          <w:highlight w:val="none"/>
          <w:u w:val="none" w:color="auto"/>
        </w:rPr>
        <w:t>管理部门配备足量公共垃圾桶，定时清运。</w:t>
      </w:r>
      <w:r>
        <w:rPr>
          <w:rFonts w:hint="default" w:ascii="Times New Roman" w:hAnsi="Times New Roman" w:eastAsia="方正仿宋_GBK" w:cs="Times New Roman"/>
          <w:sz w:val="32"/>
          <w:szCs w:val="32"/>
          <w:highlight w:val="none"/>
          <w:u w:val="none" w:color="auto"/>
          <w:lang w:eastAsia="zh-CN"/>
        </w:rPr>
        <w:t>产生油污的经营点须配置隔油地垫等设施</w:t>
      </w:r>
      <w:r>
        <w:rPr>
          <w:rFonts w:hint="default" w:ascii="Times New Roman" w:hAnsi="Times New Roman" w:cs="Times New Roman"/>
          <w:sz w:val="32"/>
          <w:szCs w:val="32"/>
          <w:highlight w:val="none"/>
          <w:u w:val="none" w:color="auto"/>
          <w:lang w:eastAsia="zh-CN"/>
        </w:rPr>
        <w:t>。</w:t>
      </w:r>
    </w:p>
    <w:p w14:paraId="6E75B037">
      <w:pPr>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eastAsia="方正仿宋_GBK" w:cs="Times New Roman"/>
          <w:color w:val="000000" w:themeColor="text1"/>
          <w:highlight w:val="none"/>
          <w14:textFill>
            <w14:solidFill>
              <w14:schemeClr w14:val="tx1"/>
            </w14:solidFill>
          </w14:textFill>
        </w:rPr>
        <w:t>涉及食品加工的摊位，其餐厨垃圾收集处理和油烟排放必须符合相关法律法规及标准规范的要求。</w:t>
      </w:r>
    </w:p>
    <w:p w14:paraId="15F447E1">
      <w:pPr>
        <w:rPr>
          <w:rFonts w:hint="default" w:ascii="Times New Roman" w:hAnsi="Times New Roman" w:eastAsia="方正仿宋_GBK"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eastAsia="方正仿宋_GBK" w:cs="Times New Roman"/>
          <w:color w:val="000000" w:themeColor="text1"/>
          <w:highlight w:val="none"/>
          <w14:textFill>
            <w14:solidFill>
              <w14:schemeClr w14:val="tx1"/>
            </w14:solidFill>
          </w14:textFill>
        </w:rPr>
        <w:t>供电、排水方案应符合安全规范，严禁直排路面或雨水井。</w:t>
      </w:r>
    </w:p>
    <w:p w14:paraId="7B773C2C">
      <w:pPr>
        <w:rPr>
          <w:rFonts w:hint="default" w:ascii="Times New Roman" w:hAnsi="Times New Roman" w:eastAsia="方正仿宋_GBK" w:cs="Times New Roman"/>
          <w:sz w:val="32"/>
          <w:szCs w:val="32"/>
          <w:highlight w:val="none"/>
          <w:u w:val="none" w:color="auto"/>
          <w:lang w:val="en-US" w:eastAsia="zh-CN"/>
        </w:rPr>
      </w:pPr>
      <w:r>
        <w:rPr>
          <w:rFonts w:hint="default"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eastAsia="方正仿宋_GBK" w:cs="Times New Roman"/>
          <w:color w:val="000000" w:themeColor="text1"/>
          <w:highlight w:val="none"/>
          <w14:textFill>
            <w14:solidFill>
              <w14:schemeClr w14:val="tx1"/>
            </w14:solidFill>
          </w14:textFill>
        </w:rPr>
        <w:t>充分利用周边公共厕所及停车设施等既有资源，人流密集区域宜适当增设移动卫生设施。</w:t>
      </w:r>
    </w:p>
    <w:p w14:paraId="107E1DEB">
      <w:pPr>
        <w:pStyle w:val="5"/>
        <w:rPr>
          <w:rFonts w:hint="default" w:ascii="Times New Roman" w:hAnsi="Times New Roman" w:cs="Times New Roman"/>
          <w:lang w:val="en-US" w:eastAsia="zh-CN"/>
        </w:rPr>
      </w:pPr>
    </w:p>
    <w:p w14:paraId="4840147B">
      <w:pPr>
        <w:pStyle w:val="2"/>
        <w:bidi w:val="0"/>
        <w:jc w:val="center"/>
        <w:rPr>
          <w:rFonts w:hint="default" w:ascii="Times New Roman" w:hAnsi="Times New Roman" w:cs="Times New Roman"/>
          <w:color w:val="auto"/>
          <w:lang w:val="en-US" w:eastAsia="zh-CN"/>
        </w:rPr>
      </w:pPr>
      <w:bookmarkStart w:id="13" w:name="_Toc18568"/>
      <w:r>
        <w:rPr>
          <w:rFonts w:hint="default" w:ascii="Times New Roman" w:hAnsi="Times New Roman" w:cs="Times New Roman"/>
          <w:color w:val="auto"/>
          <w:highlight w:val="none"/>
          <w:lang w:val="en-US" w:eastAsia="zh-CN"/>
        </w:rPr>
        <w:t xml:space="preserve">第四章 </w:t>
      </w:r>
      <w:r>
        <w:rPr>
          <w:rFonts w:hint="default" w:ascii="Times New Roman" w:hAnsi="Times New Roman" w:cs="Times New Roman"/>
          <w:color w:val="auto"/>
          <w:lang w:val="en-US" w:eastAsia="zh-CN"/>
        </w:rPr>
        <w:t>规划点位明细</w:t>
      </w:r>
      <w:bookmarkEnd w:id="13"/>
    </w:p>
    <w:p w14:paraId="0D9DCD77">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14" w:name="_Toc23503"/>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第十一条 点位规划</w:t>
      </w:r>
      <w:bookmarkEnd w:id="14"/>
    </w:p>
    <w:p w14:paraId="37A9A707">
      <w:pPr>
        <w:spacing w:line="560" w:lineRule="exact"/>
        <w:ind w:firstLine="640" w:firstLineChars="200"/>
        <w:rPr>
          <w:rFonts w:hint="default" w:ascii="Times New Roman" w:hAnsi="Times New Roman" w:eastAsia="方正楷体_GBK" w:cs="Times New Roman"/>
          <w:bCs/>
          <w:color w:val="auto"/>
          <w:szCs w:val="32"/>
          <w:lang w:val="en-US" w:eastAsia="zh-CN"/>
        </w:rPr>
      </w:pPr>
      <w:r>
        <w:rPr>
          <w:rFonts w:hint="default" w:ascii="Times New Roman" w:hAnsi="Times New Roman" w:eastAsia="方正楷体_GBK" w:cs="Times New Roman"/>
          <w:bCs/>
          <w:color w:val="auto"/>
          <w:szCs w:val="32"/>
          <w:lang w:val="en-US" w:eastAsia="zh-CN"/>
        </w:rPr>
        <w:t>（一）规划点位数量及面积</w:t>
      </w:r>
    </w:p>
    <w:p w14:paraId="43919138">
      <w:pPr>
        <w:spacing w:line="560" w:lineRule="exact"/>
        <w:ind w:firstLine="640" w:firstLineChars="200"/>
        <w:rPr>
          <w:rFonts w:hint="default" w:ascii="Times New Roman" w:hAnsi="Times New Roman" w:eastAsia="方正楷体_GBK" w:cs="Times New Roman"/>
          <w:bCs/>
          <w:color w:val="auto"/>
          <w:szCs w:val="32"/>
          <w:lang w:val="en-US" w:eastAsia="zh-CN"/>
        </w:rPr>
      </w:pPr>
      <w:r>
        <w:rPr>
          <w:rFonts w:hint="eastAsia" w:cs="Times New Roman"/>
          <w:color w:val="auto"/>
          <w:highlight w:val="none"/>
          <w:lang w:val="en-US" w:eastAsia="zh-CN"/>
        </w:rPr>
        <w:t>总计</w:t>
      </w:r>
      <w:r>
        <w:rPr>
          <w:rFonts w:hint="default" w:ascii="Times New Roman" w:hAnsi="Times New Roman" w:eastAsia="方正仿宋_GBK" w:cs="Times New Roman"/>
          <w:color w:val="auto"/>
          <w:highlight w:val="none"/>
          <w:lang w:val="en-US" w:eastAsia="zh-CN"/>
        </w:rPr>
        <w:t>规划临时占道经营点位共4</w:t>
      </w:r>
      <w:r>
        <w:rPr>
          <w:rFonts w:hint="eastAsia" w:cs="Times New Roman"/>
          <w:color w:val="auto"/>
          <w:highlight w:val="none"/>
          <w:lang w:val="en-US" w:eastAsia="zh-CN"/>
        </w:rPr>
        <w:t>3</w:t>
      </w:r>
      <w:r>
        <w:rPr>
          <w:rFonts w:hint="default" w:ascii="Times New Roman" w:hAnsi="Times New Roman" w:eastAsia="方正仿宋_GBK" w:cs="Times New Roman"/>
          <w:color w:val="auto"/>
          <w:highlight w:val="none"/>
          <w:lang w:val="en-US" w:eastAsia="zh-CN"/>
        </w:rPr>
        <w:t>处，</w:t>
      </w:r>
      <w:r>
        <w:rPr>
          <w:rFonts w:hint="default" w:ascii="Times New Roman" w:hAnsi="Times New Roman" w:cs="Times New Roman"/>
          <w:color w:val="auto"/>
          <w:highlight w:val="none"/>
          <w:lang w:val="en-US" w:eastAsia="zh-CN"/>
        </w:rPr>
        <w:t>规划设置摊位数6</w:t>
      </w:r>
      <w:r>
        <w:rPr>
          <w:rFonts w:hint="eastAsia" w:cs="Times New Roman"/>
          <w:color w:val="auto"/>
          <w:highlight w:val="none"/>
          <w:lang w:val="en-US" w:eastAsia="zh-CN"/>
        </w:rPr>
        <w:t>92</w:t>
      </w:r>
      <w:r>
        <w:rPr>
          <w:rFonts w:hint="default" w:ascii="Times New Roman" w:hAnsi="Times New Roman" w:cs="Times New Roman"/>
          <w:color w:val="auto"/>
          <w:highlight w:val="none"/>
          <w:lang w:val="en-US" w:eastAsia="zh-CN"/>
        </w:rPr>
        <w:t>4个，规划总面积约36.6</w:t>
      </w:r>
      <w:r>
        <w:rPr>
          <w:rFonts w:hint="eastAsia" w:cs="Times New Roman"/>
          <w:color w:val="auto"/>
          <w:highlight w:val="none"/>
          <w:lang w:val="en-US" w:eastAsia="zh-CN"/>
        </w:rPr>
        <w:t>9</w:t>
      </w:r>
      <w:r>
        <w:rPr>
          <w:rFonts w:hint="default" w:ascii="Times New Roman" w:hAnsi="Times New Roman" w:cs="Times New Roman"/>
          <w:color w:val="auto"/>
          <w:highlight w:val="none"/>
          <w:lang w:val="en-US" w:eastAsia="zh-CN"/>
        </w:rPr>
        <w:t>万平方米。</w:t>
      </w:r>
    </w:p>
    <w:p w14:paraId="21EC7670">
      <w:pPr>
        <w:spacing w:line="560" w:lineRule="exact"/>
        <w:ind w:firstLine="640" w:firstLineChars="200"/>
        <w:rPr>
          <w:rFonts w:hint="default" w:ascii="Times New Roman" w:hAnsi="Times New Roman" w:eastAsia="方正楷体_GBK" w:cs="Times New Roman"/>
          <w:bCs/>
          <w:color w:val="auto"/>
          <w:szCs w:val="32"/>
          <w:lang w:val="en-US" w:eastAsia="zh-CN"/>
        </w:rPr>
      </w:pPr>
      <w:r>
        <w:rPr>
          <w:rFonts w:hint="default" w:ascii="Times New Roman" w:hAnsi="Times New Roman" w:eastAsia="方正楷体_GBK" w:cs="Times New Roman"/>
          <w:bCs/>
          <w:color w:val="auto"/>
          <w:szCs w:val="32"/>
          <w:lang w:val="en-US" w:eastAsia="zh-CN"/>
        </w:rPr>
        <w:t>（二）点位明细</w:t>
      </w:r>
    </w:p>
    <w:p w14:paraId="2E2E6EE2">
      <w:pPr>
        <w:bidi w:val="0"/>
        <w:rPr>
          <w:rFonts w:hint="default" w:ascii="Times New Roman" w:hAnsi="Times New Roman" w:cs="Times New Roman"/>
          <w:color w:val="auto"/>
          <w:highlight w:val="none"/>
          <w:lang w:val="en-US" w:eastAsia="zh-CN"/>
        </w:rPr>
      </w:pPr>
      <w:r>
        <w:rPr>
          <w:rFonts w:hint="default" w:ascii="Times New Roman" w:hAnsi="Times New Roman" w:eastAsia="方正仿宋_GBK" w:cs="Times New Roman"/>
          <w:color w:val="auto"/>
          <w:sz w:val="32"/>
          <w:szCs w:val="32"/>
          <w:lang w:val="en-US" w:eastAsia="zh-CN"/>
        </w:rPr>
        <w:t>点位明细</w:t>
      </w:r>
      <w:r>
        <w:rPr>
          <w:rFonts w:hint="default" w:ascii="Times New Roman" w:hAnsi="Times New Roman" w:eastAsia="方正仿宋_GBK" w:cs="Times New Roman"/>
          <w:color w:val="auto"/>
          <w:highlight w:val="none"/>
          <w:lang w:val="en-US" w:eastAsia="zh-CN"/>
        </w:rPr>
        <w:t>见</w:t>
      </w:r>
      <w:r>
        <w:rPr>
          <w:rFonts w:hint="default" w:ascii="Times New Roman" w:hAnsi="Times New Roman" w:cs="Times New Roman"/>
          <w:color w:val="auto"/>
          <w:highlight w:val="none"/>
          <w:lang w:val="en-US" w:eastAsia="zh-CN"/>
        </w:rPr>
        <w:t>附件1《</w:t>
      </w:r>
      <w:r>
        <w:rPr>
          <w:rFonts w:hint="default" w:ascii="Times New Roman" w:hAnsi="Times New Roman" w:cs="Times New Roman"/>
          <w:color w:val="auto"/>
          <w:lang w:val="en-US" w:eastAsia="zh-CN"/>
        </w:rPr>
        <w:t>铜梁区临时占道经营点规划总体分布图</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lang w:val="en-US" w:eastAsia="zh-CN"/>
        </w:rPr>
        <w:t>、</w:t>
      </w:r>
      <w:r>
        <w:rPr>
          <w:rFonts w:hint="default" w:ascii="Times New Roman" w:hAnsi="Times New Roman" w:cs="Times New Roman"/>
          <w:color w:val="auto"/>
          <w:highlight w:val="none"/>
          <w:lang w:val="en-US" w:eastAsia="zh-CN"/>
        </w:rPr>
        <w:t>附件2《铜梁区临时占道经营点规划点位设置明细表》</w:t>
      </w:r>
      <w:r>
        <w:rPr>
          <w:rFonts w:hint="default" w:ascii="Times New Roman" w:hAnsi="Times New Roman" w:eastAsia="方正仿宋_GBK" w:cs="Times New Roman"/>
          <w:color w:val="auto"/>
          <w:highlight w:val="none"/>
          <w:lang w:val="en-US" w:eastAsia="zh-CN"/>
        </w:rPr>
        <w:t>。</w:t>
      </w:r>
    </w:p>
    <w:p w14:paraId="20DCB66A">
      <w:pPr>
        <w:bidi w:val="0"/>
        <w:rPr>
          <w:rFonts w:hint="default" w:ascii="Times New Roman" w:hAnsi="Times New Roman" w:cs="Times New Roman"/>
          <w:color w:val="auto"/>
          <w:lang w:val="en-US" w:eastAsia="zh-CN"/>
        </w:rPr>
      </w:pPr>
    </w:p>
    <w:p w14:paraId="470496E2">
      <w:pPr>
        <w:pStyle w:val="2"/>
        <w:bidi w:val="0"/>
        <w:jc w:val="center"/>
        <w:rPr>
          <w:rFonts w:hint="default" w:ascii="Times New Roman" w:hAnsi="Times New Roman" w:cs="Times New Roman"/>
          <w:color w:val="auto"/>
          <w:lang w:val="en-US" w:eastAsia="zh-CN"/>
        </w:rPr>
      </w:pPr>
      <w:bookmarkStart w:id="15" w:name="_Toc8148"/>
      <w:r>
        <w:rPr>
          <w:rFonts w:hint="default" w:ascii="Times New Roman" w:hAnsi="Times New Roman" w:cs="Times New Roman"/>
          <w:color w:val="auto"/>
          <w:lang w:val="en-US" w:eastAsia="zh-CN"/>
        </w:rPr>
        <w:t>第五章 管理实施</w:t>
      </w:r>
      <w:bookmarkEnd w:id="15"/>
    </w:p>
    <w:p w14:paraId="334C9DB4">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FF0000"/>
          <w:sz w:val="32"/>
          <w:szCs w:val="32"/>
          <w:highlight w:val="yellow"/>
          <w:lang w:val="en-US" w:eastAsia="zh-CN"/>
        </w:rPr>
      </w:pPr>
      <w:bookmarkStart w:id="16" w:name="_Toc12965"/>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 xml:space="preserve">第十二条 </w:t>
      </w:r>
      <w:bookmarkEnd w:id="16"/>
      <w:r>
        <w:rPr>
          <w:rFonts w:hint="eastAsia" w:cs="Times New Roman"/>
          <w:b/>
          <w:bCs/>
          <w:color w:val="000000" w:themeColor="text1"/>
          <w:sz w:val="32"/>
          <w:szCs w:val="32"/>
          <w:highlight w:val="none"/>
          <w:lang w:val="en-US" w:eastAsia="zh-CN"/>
          <w14:textFill>
            <w14:solidFill>
              <w14:schemeClr w14:val="tx1"/>
            </w14:solidFill>
          </w14:textFill>
        </w:rPr>
        <w:t>职责划分</w:t>
      </w:r>
    </w:p>
    <w:p w14:paraId="1DD99BCC">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sz w:val="32"/>
          <w:szCs w:val="32"/>
          <w:highlight w:val="none"/>
          <w:lang w:val="en-US" w:eastAsia="zh-CN"/>
        </w:rPr>
        <w:t>区城市管理局：</w:t>
      </w:r>
      <w:r>
        <w:rPr>
          <w:rFonts w:hint="default" w:ascii="Times New Roman" w:hAnsi="Times New Roman" w:eastAsia="方正仿宋_GBK" w:cs="Times New Roman"/>
          <w:sz w:val="32"/>
          <w:szCs w:val="32"/>
          <w:highlight w:val="none"/>
          <w:lang w:val="en-US" w:eastAsia="zh-CN"/>
        </w:rPr>
        <w:t>牵头制定临时占道经营管理方案；指导各镇街开展摊点规划落地、日常监管；协调跨镇街管理矛盾；定期组织联合执法检查；实时监控摊点运营情况；受理临时摊点备案及变更申请，并完成审核。负责摊区周边市政设施的检修维护。</w:t>
      </w:r>
    </w:p>
    <w:p w14:paraId="13DAA5BD">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highlight w:val="none"/>
          <w:u w:val="none" w:color="auto"/>
          <w:lang w:val="en-US" w:eastAsia="zh-CN"/>
        </w:rPr>
      </w:pPr>
      <w:r>
        <w:rPr>
          <w:rFonts w:hint="default" w:ascii="Times New Roman" w:hAnsi="Times New Roman" w:eastAsia="方正楷体_GBK" w:cs="Times New Roman"/>
          <w:sz w:val="32"/>
          <w:szCs w:val="32"/>
          <w:highlight w:val="none"/>
          <w:u w:val="none" w:color="auto"/>
        </w:rPr>
        <w:t>区公安局</w:t>
      </w:r>
      <w:r>
        <w:rPr>
          <w:rFonts w:hint="default" w:ascii="Times New Roman" w:hAnsi="Times New Roman" w:eastAsia="方正楷体_GBK" w:cs="Times New Roman"/>
          <w:sz w:val="32"/>
          <w:szCs w:val="32"/>
          <w:highlight w:val="none"/>
          <w:u w:val="none" w:color="auto"/>
          <w:lang w:eastAsia="zh-CN"/>
        </w:rPr>
        <w:t>：</w:t>
      </w:r>
      <w:r>
        <w:rPr>
          <w:rFonts w:hint="default" w:ascii="Times New Roman" w:hAnsi="Times New Roman" w:eastAsia="方正仿宋_GBK" w:cs="Times New Roman"/>
          <w:sz w:val="32"/>
          <w:szCs w:val="32"/>
          <w:highlight w:val="none"/>
          <w:u w:val="none" w:color="auto"/>
        </w:rPr>
        <w:t>负责临时</w:t>
      </w:r>
      <w:r>
        <w:rPr>
          <w:rFonts w:hint="default" w:ascii="Times New Roman" w:hAnsi="Times New Roman" w:eastAsia="方正仿宋_GBK" w:cs="Times New Roman"/>
          <w:sz w:val="32"/>
          <w:szCs w:val="32"/>
          <w:highlight w:val="none"/>
          <w:u w:val="none" w:color="auto"/>
          <w:lang w:eastAsia="zh-CN"/>
        </w:rPr>
        <w:t>占道</w:t>
      </w:r>
      <w:r>
        <w:rPr>
          <w:rFonts w:hint="default" w:ascii="Times New Roman" w:hAnsi="Times New Roman" w:eastAsia="方正仿宋_GBK" w:cs="Times New Roman"/>
          <w:sz w:val="32"/>
          <w:szCs w:val="32"/>
          <w:highlight w:val="none"/>
          <w:u w:val="none" w:color="auto"/>
        </w:rPr>
        <w:t>经营点周边交通秩序维护、治安管理，依法查处影响交通、扰乱</w:t>
      </w:r>
      <w:r>
        <w:rPr>
          <w:rFonts w:hint="default" w:ascii="Times New Roman" w:hAnsi="Times New Roman" w:eastAsia="方正仿宋_GBK" w:cs="Times New Roman"/>
          <w:sz w:val="32"/>
          <w:szCs w:val="32"/>
          <w:highlight w:val="none"/>
          <w:u w:val="none" w:color="auto"/>
          <w:lang w:eastAsia="zh-CN"/>
        </w:rPr>
        <w:t>社会</w:t>
      </w:r>
      <w:r>
        <w:rPr>
          <w:rFonts w:hint="default" w:ascii="Times New Roman" w:hAnsi="Times New Roman" w:eastAsia="方正仿宋_GBK" w:cs="Times New Roman"/>
          <w:sz w:val="32"/>
          <w:szCs w:val="32"/>
          <w:highlight w:val="none"/>
          <w:u w:val="none" w:color="auto"/>
        </w:rPr>
        <w:t>秩序</w:t>
      </w:r>
      <w:r>
        <w:rPr>
          <w:rFonts w:hint="default" w:ascii="Times New Roman" w:hAnsi="Times New Roman" w:eastAsia="方正仿宋_GBK" w:cs="Times New Roman"/>
          <w:sz w:val="32"/>
          <w:szCs w:val="32"/>
          <w:highlight w:val="none"/>
          <w:u w:val="none" w:color="auto"/>
          <w:lang w:eastAsia="zh-CN"/>
        </w:rPr>
        <w:t>等</w:t>
      </w:r>
      <w:r>
        <w:rPr>
          <w:rFonts w:hint="default" w:ascii="Times New Roman" w:hAnsi="Times New Roman" w:eastAsia="方正仿宋_GBK" w:cs="Times New Roman"/>
          <w:sz w:val="32"/>
          <w:szCs w:val="32"/>
          <w:highlight w:val="none"/>
          <w:u w:val="none" w:color="auto"/>
          <w:lang w:val="en-US" w:eastAsia="zh-CN"/>
        </w:rPr>
        <w:t>违法犯罪行为。</w:t>
      </w:r>
    </w:p>
    <w:p w14:paraId="6A953394">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sz w:val="32"/>
          <w:szCs w:val="32"/>
          <w:highlight w:val="none"/>
          <w:lang w:val="en-US" w:eastAsia="zh-CN"/>
        </w:rPr>
        <w:t>区商务委：</w:t>
      </w:r>
      <w:r>
        <w:rPr>
          <w:rFonts w:hint="default" w:ascii="Times New Roman" w:hAnsi="Times New Roman" w:eastAsia="方正仿宋_GBK" w:cs="Times New Roman"/>
          <w:sz w:val="32"/>
          <w:szCs w:val="32"/>
          <w:highlight w:val="none"/>
          <w:lang w:val="en-US" w:eastAsia="zh-CN"/>
        </w:rPr>
        <w:t>牵头全区大型便民服务摊区商业布局规划，优化业态组合，确保摊区设置与城市功能相匹配。推动规模化运营主体引入，要求其统一摊位设计、管理规范，建立诚信等级评定等监督考核制度。</w:t>
      </w:r>
    </w:p>
    <w:p w14:paraId="446879EC">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sz w:val="32"/>
          <w:szCs w:val="32"/>
          <w:highlight w:val="none"/>
          <w:lang w:val="en-US" w:eastAsia="zh-CN"/>
        </w:rPr>
        <w:t>区市场监管局：</w:t>
      </w:r>
      <w:r>
        <w:rPr>
          <w:rFonts w:hint="default" w:ascii="Times New Roman" w:hAnsi="Times New Roman" w:eastAsia="方正仿宋_GBK" w:cs="Times New Roman"/>
          <w:sz w:val="32"/>
          <w:szCs w:val="32"/>
          <w:highlight w:val="none"/>
          <w:lang w:val="en-US" w:eastAsia="zh-CN"/>
        </w:rPr>
        <w:t>负责食品经营类摊点许可核查，对申请食品经营的摊点，完成《食品摊贩备案卡》审核发放；定期开展食品抽检，查处假冒伪劣、过期变质食品；监督摊点明码标价，处理消费投诉。</w:t>
      </w:r>
    </w:p>
    <w:p w14:paraId="5CE50C41">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sz w:val="32"/>
          <w:szCs w:val="32"/>
          <w:highlight w:val="none"/>
          <w:lang w:val="en-US" w:eastAsia="zh-CN"/>
        </w:rPr>
        <w:t>区生态环境局：</w:t>
      </w:r>
      <w:r>
        <w:rPr>
          <w:rFonts w:hint="default" w:ascii="Times New Roman" w:hAnsi="Times New Roman" w:eastAsia="方正仿宋_GBK" w:cs="Times New Roman"/>
          <w:sz w:val="32"/>
          <w:szCs w:val="32"/>
          <w:highlight w:val="none"/>
          <w:lang w:val="en-US" w:eastAsia="zh-CN"/>
        </w:rPr>
        <w:t>依法开展临时经营点经营商户油烟污染的管理工作。</w:t>
      </w:r>
    </w:p>
    <w:p w14:paraId="0DCF48E5">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highlight w:val="none"/>
          <w:u w:val="none" w:color="auto"/>
        </w:rPr>
      </w:pPr>
      <w:r>
        <w:rPr>
          <w:rFonts w:hint="default" w:ascii="Times New Roman" w:hAnsi="Times New Roman" w:eastAsia="方正楷体_GBK" w:cs="Times New Roman"/>
          <w:sz w:val="32"/>
          <w:szCs w:val="32"/>
          <w:highlight w:val="none"/>
          <w:u w:val="none" w:color="auto"/>
        </w:rPr>
        <w:t>区农业农村委</w:t>
      </w:r>
      <w:r>
        <w:rPr>
          <w:rFonts w:hint="default" w:ascii="Times New Roman" w:hAnsi="Times New Roman" w:eastAsia="方正楷体_GBK" w:cs="Times New Roman"/>
          <w:sz w:val="32"/>
          <w:szCs w:val="32"/>
          <w:highlight w:val="none"/>
          <w:u w:val="none" w:color="auto"/>
          <w:lang w:eastAsia="zh-CN"/>
        </w:rPr>
        <w:t>：</w:t>
      </w:r>
      <w:r>
        <w:rPr>
          <w:rFonts w:hint="default" w:ascii="Times New Roman" w:hAnsi="Times New Roman" w:eastAsia="方正仿宋_GBK" w:cs="Times New Roman"/>
          <w:sz w:val="32"/>
          <w:szCs w:val="32"/>
          <w:highlight w:val="none"/>
          <w:u w:val="none" w:color="auto"/>
        </w:rPr>
        <w:t>鼓励引导本地优质农副产品进入</w:t>
      </w:r>
      <w:r>
        <w:rPr>
          <w:rFonts w:hint="default" w:ascii="Times New Roman" w:hAnsi="Times New Roman" w:eastAsia="方正仿宋_GBK" w:cs="Times New Roman"/>
          <w:sz w:val="32"/>
          <w:szCs w:val="32"/>
          <w:highlight w:val="none"/>
          <w:u w:val="none" w:color="auto"/>
          <w:lang w:eastAsia="zh-CN"/>
        </w:rPr>
        <w:t>临时经营点</w:t>
      </w:r>
      <w:r>
        <w:rPr>
          <w:rFonts w:hint="default" w:ascii="Times New Roman" w:hAnsi="Times New Roman" w:eastAsia="方正仿宋_GBK" w:cs="Times New Roman"/>
          <w:sz w:val="32"/>
          <w:szCs w:val="32"/>
          <w:highlight w:val="none"/>
          <w:u w:val="none" w:color="auto"/>
        </w:rPr>
        <w:t>销售。</w:t>
      </w:r>
    </w:p>
    <w:p w14:paraId="2E0E6BFC">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highlight w:val="none"/>
          <w:u w:val="none" w:color="auto"/>
        </w:rPr>
      </w:pPr>
      <w:r>
        <w:rPr>
          <w:rFonts w:hint="default" w:ascii="Times New Roman" w:hAnsi="Times New Roman" w:eastAsia="方正楷体_GBK" w:cs="Times New Roman"/>
          <w:sz w:val="32"/>
          <w:szCs w:val="32"/>
          <w:highlight w:val="none"/>
          <w:u w:val="none" w:color="auto"/>
        </w:rPr>
        <w:t>区卫生健康委</w:t>
      </w:r>
      <w:r>
        <w:rPr>
          <w:rFonts w:hint="default" w:ascii="Times New Roman" w:hAnsi="Times New Roman" w:eastAsia="方正楷体_GBK" w:cs="Times New Roman"/>
          <w:sz w:val="32"/>
          <w:szCs w:val="32"/>
          <w:highlight w:val="none"/>
          <w:u w:val="none" w:color="auto"/>
          <w:lang w:eastAsia="zh-CN"/>
        </w:rPr>
        <w:t>：</w:t>
      </w:r>
      <w:r>
        <w:rPr>
          <w:rFonts w:hint="default" w:ascii="Times New Roman" w:hAnsi="Times New Roman" w:eastAsia="方正仿宋_GBK" w:cs="Times New Roman"/>
          <w:sz w:val="32"/>
          <w:szCs w:val="32"/>
          <w:highlight w:val="none"/>
          <w:u w:val="none" w:color="auto"/>
        </w:rPr>
        <w:t>指导</w:t>
      </w:r>
      <w:r>
        <w:rPr>
          <w:rFonts w:hint="default" w:ascii="Times New Roman" w:hAnsi="Times New Roman" w:eastAsia="方正仿宋_GBK" w:cs="Times New Roman"/>
          <w:sz w:val="32"/>
          <w:szCs w:val="32"/>
          <w:highlight w:val="none"/>
          <w:u w:val="none" w:color="auto"/>
          <w:lang w:eastAsia="zh-CN"/>
        </w:rPr>
        <w:t>临时经营点</w:t>
      </w:r>
      <w:r>
        <w:rPr>
          <w:rFonts w:hint="default" w:ascii="Times New Roman" w:hAnsi="Times New Roman" w:eastAsia="方正仿宋_GBK" w:cs="Times New Roman"/>
          <w:sz w:val="32"/>
          <w:szCs w:val="32"/>
          <w:highlight w:val="none"/>
          <w:u w:val="none" w:color="auto"/>
        </w:rPr>
        <w:t>病媒生物防制及公共卫生工作。</w:t>
      </w:r>
    </w:p>
    <w:p w14:paraId="1B703D54">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highlight w:val="none"/>
          <w:u w:val="none" w:color="auto"/>
        </w:rPr>
      </w:pPr>
      <w:r>
        <w:rPr>
          <w:rFonts w:hint="default" w:ascii="Times New Roman" w:hAnsi="Times New Roman" w:eastAsia="方正楷体_GBK" w:cs="Times New Roman"/>
          <w:sz w:val="32"/>
          <w:szCs w:val="32"/>
          <w:highlight w:val="none"/>
          <w:u w:val="none" w:color="auto"/>
        </w:rPr>
        <w:t>区财政局</w:t>
      </w:r>
      <w:r>
        <w:rPr>
          <w:rFonts w:hint="default" w:ascii="Times New Roman" w:hAnsi="Times New Roman" w:eastAsia="方正楷体_GBK" w:cs="Times New Roman"/>
          <w:sz w:val="32"/>
          <w:szCs w:val="32"/>
          <w:highlight w:val="none"/>
          <w:u w:val="none" w:color="auto"/>
          <w:lang w:eastAsia="zh-CN"/>
        </w:rPr>
        <w:t>：</w:t>
      </w:r>
      <w:r>
        <w:rPr>
          <w:rFonts w:hint="default" w:ascii="Times New Roman" w:hAnsi="Times New Roman" w:eastAsia="方正仿宋_GBK" w:cs="Times New Roman"/>
          <w:sz w:val="32"/>
          <w:szCs w:val="32"/>
          <w:highlight w:val="none"/>
          <w:u w:val="none" w:color="auto"/>
        </w:rPr>
        <w:t>根据工作需要，保障必要的</w:t>
      </w:r>
      <w:r>
        <w:rPr>
          <w:rFonts w:hint="default" w:ascii="Times New Roman" w:hAnsi="Times New Roman" w:eastAsia="方正仿宋_GBK" w:cs="Times New Roman"/>
          <w:sz w:val="32"/>
          <w:szCs w:val="32"/>
          <w:highlight w:val="none"/>
          <w:u w:val="none" w:color="auto"/>
          <w:lang w:eastAsia="zh-CN"/>
        </w:rPr>
        <w:t>运行</w:t>
      </w:r>
      <w:r>
        <w:rPr>
          <w:rFonts w:hint="default" w:ascii="Times New Roman" w:hAnsi="Times New Roman" w:eastAsia="方正仿宋_GBK" w:cs="Times New Roman"/>
          <w:sz w:val="32"/>
          <w:szCs w:val="32"/>
          <w:highlight w:val="none"/>
          <w:u w:val="none" w:color="auto"/>
        </w:rPr>
        <w:t>经费（如标识制作、</w:t>
      </w:r>
      <w:r>
        <w:rPr>
          <w:rFonts w:hint="default" w:ascii="Times New Roman" w:hAnsi="Times New Roman" w:eastAsia="方正仿宋_GBK" w:cs="Times New Roman"/>
          <w:sz w:val="32"/>
          <w:szCs w:val="32"/>
          <w:highlight w:val="none"/>
          <w:u w:val="none" w:color="auto"/>
          <w:lang w:val="en-US" w:eastAsia="zh-CN"/>
        </w:rPr>
        <w:t>设施完善、</w:t>
      </w:r>
      <w:r>
        <w:rPr>
          <w:rFonts w:hint="default" w:ascii="Times New Roman" w:hAnsi="Times New Roman" w:eastAsia="方正仿宋_GBK" w:cs="Times New Roman"/>
          <w:sz w:val="32"/>
          <w:szCs w:val="32"/>
          <w:highlight w:val="none"/>
          <w:u w:val="none" w:color="auto"/>
        </w:rPr>
        <w:t>卫生保洁、智慧平台建设运维等）。</w:t>
      </w:r>
    </w:p>
    <w:p w14:paraId="5C1AA57E">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u w:val="none" w:color="auto"/>
        </w:rPr>
      </w:pPr>
      <w:r>
        <w:rPr>
          <w:rFonts w:hint="default" w:ascii="Times New Roman" w:hAnsi="Times New Roman" w:eastAsia="方正楷体_GBK" w:cs="Times New Roman"/>
          <w:sz w:val="32"/>
          <w:szCs w:val="32"/>
          <w:highlight w:val="none"/>
          <w:u w:val="none" w:color="auto"/>
        </w:rPr>
        <w:t>各镇人民政府、街道办事处</w:t>
      </w:r>
      <w:r>
        <w:rPr>
          <w:rFonts w:hint="default" w:ascii="Times New Roman" w:hAnsi="Times New Roman" w:eastAsia="方正楷体_GBK" w:cs="Times New Roman"/>
          <w:sz w:val="32"/>
          <w:szCs w:val="32"/>
          <w:highlight w:val="none"/>
          <w:u w:val="none" w:color="auto"/>
          <w:lang w:eastAsia="zh-CN"/>
        </w:rPr>
        <w:t>：</w:t>
      </w:r>
      <w:r>
        <w:rPr>
          <w:rFonts w:hint="default" w:ascii="Times New Roman" w:hAnsi="Times New Roman" w:eastAsia="方正仿宋_GBK" w:cs="Times New Roman"/>
          <w:sz w:val="32"/>
          <w:szCs w:val="32"/>
          <w:highlight w:val="none"/>
          <w:lang w:val="en-US" w:eastAsia="zh-CN"/>
        </w:rPr>
        <w:t>根据全区规划布局，完成辖区内临时占道经营点选址，编制具体管理方案</w:t>
      </w:r>
      <w:r>
        <w:rPr>
          <w:rFonts w:hint="default" w:ascii="Times New Roman" w:hAnsi="Times New Roman" w:eastAsia="方正仿宋_GBK" w:cs="Times New Roman"/>
          <w:sz w:val="32"/>
          <w:szCs w:val="32"/>
          <w:highlight w:val="none"/>
          <w:u w:val="none" w:color="auto"/>
          <w:lang w:eastAsia="zh-CN"/>
        </w:rPr>
        <w:t>；牵头负责辖区临时占道经营点日常运行管理、卫生保洁、秩序维护、安全巡查、投诉处理及政策宣传等工作；</w:t>
      </w:r>
      <w:r>
        <w:rPr>
          <w:rFonts w:hint="default" w:ascii="Times New Roman" w:hAnsi="Times New Roman" w:eastAsia="方正仿宋_GBK" w:cs="Times New Roman"/>
          <w:sz w:val="32"/>
          <w:szCs w:val="32"/>
          <w:highlight w:val="none"/>
          <w:u w:val="none" w:color="auto"/>
          <w:lang w:val="en-US" w:eastAsia="zh-CN"/>
        </w:rPr>
        <w:t>依法查处在城市道路非规划地段占道从事经营活动的行为</w:t>
      </w:r>
      <w:r>
        <w:rPr>
          <w:rFonts w:hint="default" w:ascii="Times New Roman" w:hAnsi="Times New Roman" w:eastAsia="方正仿宋_GBK" w:cs="Times New Roman"/>
          <w:color w:val="auto"/>
          <w:sz w:val="32"/>
          <w:szCs w:val="32"/>
          <w:highlight w:val="none"/>
          <w:u w:val="none" w:color="auto"/>
        </w:rPr>
        <w:t>。</w:t>
      </w:r>
    </w:p>
    <w:p w14:paraId="4045400B">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sz w:val="32"/>
          <w:szCs w:val="32"/>
          <w:highlight w:val="none"/>
          <w:lang w:val="en-US" w:eastAsia="zh-CN"/>
        </w:rPr>
        <w:t>其他相关部门：</w:t>
      </w:r>
      <w:r>
        <w:rPr>
          <w:rFonts w:hint="default" w:ascii="Times New Roman" w:hAnsi="Times New Roman" w:eastAsia="方正仿宋_GBK" w:cs="Times New Roman"/>
          <w:sz w:val="32"/>
          <w:szCs w:val="32"/>
          <w:highlight w:val="none"/>
          <w:lang w:val="en-US" w:eastAsia="zh-CN"/>
        </w:rPr>
        <w:t>依据法定职责履行监管任务。</w:t>
      </w:r>
    </w:p>
    <w:p w14:paraId="31B27902">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auto"/>
          <w:sz w:val="32"/>
          <w:szCs w:val="32"/>
          <w:highlight w:val="none"/>
          <w:lang w:val="en-US" w:eastAsia="zh-CN"/>
        </w:rPr>
      </w:pPr>
      <w:bookmarkStart w:id="17" w:name="_Toc5193"/>
      <w:r>
        <w:rPr>
          <w:rFonts w:hint="default" w:ascii="Times New Roman" w:hAnsi="Times New Roman" w:eastAsia="方正仿宋_GBK" w:cs="Times New Roman"/>
          <w:b/>
          <w:bCs/>
          <w:color w:val="auto"/>
          <w:sz w:val="32"/>
          <w:szCs w:val="32"/>
          <w:highlight w:val="none"/>
          <w:lang w:val="en-US" w:eastAsia="zh-CN"/>
        </w:rPr>
        <w:t xml:space="preserve">第十三条 </w:t>
      </w:r>
      <w:r>
        <w:rPr>
          <w:rFonts w:hint="default" w:ascii="Times New Roman" w:hAnsi="Times New Roman" w:cs="Times New Roman"/>
          <w:b/>
          <w:bCs/>
          <w:color w:val="auto"/>
          <w:sz w:val="32"/>
          <w:szCs w:val="32"/>
          <w:highlight w:val="none"/>
          <w:lang w:val="en-US" w:eastAsia="zh-CN"/>
        </w:rPr>
        <w:t>规划动态管理</w:t>
      </w:r>
      <w:bookmarkEnd w:id="17"/>
    </w:p>
    <w:p w14:paraId="6CFE3801">
      <w:pPr>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1.本规划生效后，规划范围内临时占道经营点的设置和管理应严格按照规划执行。</w:t>
      </w:r>
    </w:p>
    <w:p w14:paraId="06EF8B8D">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u w:val="none" w:color="auto"/>
        </w:rPr>
      </w:pPr>
      <w:r>
        <w:rPr>
          <w:rFonts w:hint="default" w:ascii="Times New Roman" w:hAnsi="Times New Roman" w:cs="Times New Roman"/>
          <w:b w:val="0"/>
          <w:bCs w:val="0"/>
          <w:color w:val="auto"/>
          <w:highlight w:val="none"/>
          <w:lang w:val="en-US" w:eastAsia="zh-CN"/>
        </w:rPr>
        <w:t>2.</w:t>
      </w:r>
      <w:r>
        <w:rPr>
          <w:rFonts w:hint="default" w:ascii="Times New Roman" w:hAnsi="Times New Roman" w:eastAsia="方正仿宋_GBK" w:cs="Times New Roman"/>
          <w:color w:val="auto"/>
          <w:sz w:val="32"/>
          <w:szCs w:val="32"/>
          <w:highlight w:val="none"/>
          <w:u w:val="none" w:color="auto"/>
        </w:rPr>
        <w:t>建立“准入退出”机制，</w:t>
      </w:r>
      <w:r>
        <w:rPr>
          <w:rFonts w:hint="default" w:ascii="Times New Roman" w:hAnsi="Times New Roman" w:cs="Times New Roman"/>
          <w:b w:val="0"/>
          <w:bCs w:val="0"/>
          <w:color w:val="auto"/>
          <w:highlight w:val="none"/>
          <w:lang w:val="en-US" w:eastAsia="zh-CN"/>
        </w:rPr>
        <w:t>聚焦城市发展、交通影响、安全风险、公众意愿等因素，定期开展临时经营点综合评估。根据评估结果，</w:t>
      </w:r>
      <w:r>
        <w:rPr>
          <w:rFonts w:hint="default" w:ascii="Times New Roman" w:hAnsi="Times New Roman" w:eastAsia="方正仿宋_GBK" w:cs="Times New Roman"/>
          <w:color w:val="auto"/>
          <w:sz w:val="32"/>
          <w:szCs w:val="32"/>
          <w:highlight w:val="none"/>
          <w:u w:val="none" w:color="auto"/>
        </w:rPr>
        <w:t>对管理规范、群众满意的予以保留；对群众投诉集中、环境卫生差、管理混乱的，予以整改或取消。</w:t>
      </w:r>
    </w:p>
    <w:p w14:paraId="1CA3F67F">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u w:val="none" w:color="auto"/>
        </w:rPr>
      </w:pPr>
      <w:r>
        <w:rPr>
          <w:rFonts w:hint="default" w:ascii="Times New Roman" w:hAnsi="Times New Roman" w:cs="Times New Roman"/>
          <w:b w:val="0"/>
          <w:bCs w:val="0"/>
          <w:color w:val="auto"/>
          <w:highlight w:val="none"/>
          <w:lang w:val="en-US" w:eastAsia="zh-CN"/>
        </w:rPr>
        <w:t>3.</w:t>
      </w:r>
      <w:r>
        <w:rPr>
          <w:rFonts w:hint="default" w:ascii="Times New Roman" w:hAnsi="Times New Roman" w:eastAsia="方正仿宋_GBK" w:cs="Times New Roman"/>
          <w:color w:val="auto"/>
          <w:sz w:val="32"/>
          <w:szCs w:val="32"/>
          <w:highlight w:val="none"/>
          <w:u w:val="none" w:color="auto"/>
        </w:rPr>
        <w:t>根据城市发展、规划调整、交通状况、居民诉求变化等，适时对</w:t>
      </w:r>
      <w:r>
        <w:rPr>
          <w:rFonts w:hint="default" w:ascii="Times New Roman" w:hAnsi="Times New Roman" w:eastAsia="方正仿宋_GBK" w:cs="Times New Roman"/>
          <w:color w:val="auto"/>
          <w:sz w:val="32"/>
          <w:szCs w:val="32"/>
          <w:highlight w:val="none"/>
          <w:u w:val="none" w:color="auto"/>
          <w:lang w:eastAsia="zh-CN"/>
        </w:rPr>
        <w:t>临时经营点</w:t>
      </w:r>
      <w:r>
        <w:rPr>
          <w:rFonts w:hint="default" w:ascii="Times New Roman" w:hAnsi="Times New Roman" w:eastAsia="方正仿宋_GBK" w:cs="Times New Roman"/>
          <w:color w:val="auto"/>
          <w:sz w:val="32"/>
          <w:szCs w:val="32"/>
          <w:highlight w:val="none"/>
          <w:u w:val="none" w:color="auto"/>
        </w:rPr>
        <w:t>的点位、规模、时段进行动态优化调整或撤销。</w:t>
      </w:r>
    </w:p>
    <w:p w14:paraId="0382903F">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u w:val="none" w:color="auto"/>
        </w:rPr>
      </w:pPr>
      <w:r>
        <w:rPr>
          <w:rFonts w:hint="default" w:ascii="Times New Roman" w:hAnsi="Times New Roman" w:cs="Times New Roman"/>
          <w:color w:val="auto"/>
          <w:sz w:val="32"/>
          <w:szCs w:val="32"/>
          <w:highlight w:val="none"/>
          <w:u w:val="none" w:color="auto"/>
          <w:lang w:val="en-US" w:eastAsia="zh-CN"/>
        </w:rPr>
        <w:t>4.</w:t>
      </w:r>
      <w:r>
        <w:rPr>
          <w:rFonts w:hint="default" w:ascii="Times New Roman" w:hAnsi="Times New Roman" w:eastAsia="方正仿宋_GBK" w:cs="Times New Roman"/>
          <w:color w:val="auto"/>
          <w:sz w:val="32"/>
          <w:szCs w:val="32"/>
          <w:highlight w:val="none"/>
          <w:u w:val="none" w:color="auto"/>
        </w:rPr>
        <w:t>对因城市建设、重大活动等需要临时或永久取消的</w:t>
      </w:r>
      <w:r>
        <w:rPr>
          <w:rFonts w:hint="default" w:ascii="Times New Roman" w:hAnsi="Times New Roman" w:eastAsia="方正仿宋_GBK" w:cs="Times New Roman"/>
          <w:color w:val="auto"/>
          <w:sz w:val="32"/>
          <w:szCs w:val="32"/>
          <w:highlight w:val="none"/>
          <w:u w:val="none" w:color="auto"/>
          <w:lang w:eastAsia="zh-CN"/>
        </w:rPr>
        <w:t>临时经营点</w:t>
      </w:r>
      <w:r>
        <w:rPr>
          <w:rFonts w:hint="default" w:ascii="Times New Roman" w:hAnsi="Times New Roman" w:eastAsia="方正仿宋_GBK" w:cs="Times New Roman"/>
          <w:color w:val="auto"/>
          <w:sz w:val="32"/>
          <w:szCs w:val="32"/>
          <w:highlight w:val="none"/>
          <w:u w:val="none" w:color="auto"/>
        </w:rPr>
        <w:t>，应提前公告，并积极协助引导经营者分流。</w:t>
      </w:r>
    </w:p>
    <w:p w14:paraId="67F334E2">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u w:val="none" w:color="auto"/>
          <w:lang w:val="en-US" w:eastAsia="zh-CN"/>
        </w:rPr>
      </w:pPr>
      <w:r>
        <w:rPr>
          <w:rFonts w:hint="default" w:ascii="Times New Roman" w:hAnsi="Times New Roman" w:eastAsia="方正仿宋_GBK" w:cs="Times New Roman"/>
          <w:color w:val="auto"/>
          <w:sz w:val="32"/>
          <w:szCs w:val="32"/>
          <w:highlight w:val="none"/>
          <w:u w:val="none" w:color="auto"/>
          <w:lang w:val="en-US" w:eastAsia="zh-CN"/>
        </w:rPr>
        <w:t>5.规划调整后，需按程序报区人民政府备案并公布实施。</w:t>
      </w:r>
    </w:p>
    <w:p w14:paraId="6CEBE4BA">
      <w:pPr>
        <w:rPr>
          <w:rFonts w:hint="default" w:ascii="Times New Roman" w:hAnsi="Times New Roman" w:cs="Times New Roman"/>
          <w:color w:val="auto"/>
          <w:highlight w:val="none"/>
          <w:lang w:val="en-US" w:eastAsia="zh-CN"/>
        </w:rPr>
      </w:pPr>
    </w:p>
    <w:p w14:paraId="57CF073A">
      <w:pPr>
        <w:pStyle w:val="2"/>
        <w:bidi w:val="0"/>
        <w:jc w:val="center"/>
        <w:rPr>
          <w:rFonts w:hint="default" w:ascii="Times New Roman" w:hAnsi="Times New Roman" w:cs="Times New Roman"/>
          <w:color w:val="auto"/>
          <w:highlight w:val="none"/>
          <w:lang w:val="en-US" w:eastAsia="zh-CN"/>
        </w:rPr>
      </w:pPr>
      <w:bookmarkStart w:id="18" w:name="_Toc15626"/>
      <w:r>
        <w:rPr>
          <w:rFonts w:hint="default" w:ascii="Times New Roman" w:hAnsi="Times New Roman" w:cs="Times New Roman"/>
          <w:color w:val="auto"/>
          <w:highlight w:val="none"/>
          <w:lang w:val="en-US" w:eastAsia="zh-CN"/>
        </w:rPr>
        <w:t>第六章 附则</w:t>
      </w:r>
      <w:bookmarkEnd w:id="18"/>
    </w:p>
    <w:p w14:paraId="762DC9F0">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19" w:name="_Toc17903"/>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第十</w:t>
      </w:r>
      <w:r>
        <w:rPr>
          <w:rFonts w:hint="default" w:ascii="Times New Roman" w:hAnsi="Times New Roman" w:cs="Times New Roman"/>
          <w:b/>
          <w:bCs/>
          <w:color w:val="000000" w:themeColor="text1"/>
          <w:sz w:val="32"/>
          <w:szCs w:val="32"/>
          <w:lang w:val="en-US" w:eastAsia="zh-CN"/>
          <w14:textFill>
            <w14:solidFill>
              <w14:schemeClr w14:val="tx1"/>
            </w14:solidFill>
          </w14:textFill>
        </w:rPr>
        <w:t>四</w:t>
      </w:r>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条 规划生效</w:t>
      </w:r>
      <w:bookmarkEnd w:id="19"/>
    </w:p>
    <w:p w14:paraId="52BEADDA">
      <w:pPr>
        <w:bidi w:val="0"/>
        <w:rPr>
          <w:rFonts w:hint="default" w:ascii="Times New Roman" w:hAnsi="Times New Roman" w:eastAsia="方正仿宋_GBK" w:cs="Times New Roman"/>
          <w:color w:val="auto"/>
          <w:highlight w:val="none"/>
          <w:lang w:val="en-US" w:eastAsia="zh-CN"/>
        </w:rPr>
      </w:pPr>
      <w:r>
        <w:rPr>
          <w:rFonts w:hint="default" w:ascii="Times New Roman" w:hAnsi="Times New Roman" w:eastAsia="方正仿宋_GBK" w:cs="Times New Roman"/>
          <w:color w:val="auto"/>
          <w:highlight w:val="none"/>
          <w:lang w:val="en-US" w:eastAsia="zh-CN"/>
        </w:rPr>
        <w:t>本规划自重庆市铜梁区人民政府批准之日起生效。</w:t>
      </w:r>
    </w:p>
    <w:p w14:paraId="48F6F956">
      <w:pPr>
        <w:keepNext w:val="0"/>
        <w:keepLines w:val="0"/>
        <w:pageBreakBefore w:val="0"/>
        <w:widowControl w:val="0"/>
        <w:kinsoku/>
        <w:wordWrap/>
        <w:autoSpaceDE/>
        <w:autoSpaceDN/>
        <w:bidi w:val="0"/>
        <w:adjustRightInd/>
        <w:snapToGrid/>
        <w:spacing w:line="560" w:lineRule="exact"/>
        <w:ind w:left="0" w:leftChars="0" w:firstLine="0" w:firstLineChars="0"/>
        <w:textAlignment w:val="auto"/>
        <w:outlineLvl w:val="1"/>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pPr>
      <w:bookmarkStart w:id="20" w:name="_Toc7480"/>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第十</w:t>
      </w:r>
      <w:r>
        <w:rPr>
          <w:rFonts w:hint="default" w:ascii="Times New Roman" w:hAnsi="Times New Roman" w:cs="Times New Roman"/>
          <w:b/>
          <w:bCs/>
          <w:color w:val="000000" w:themeColor="text1"/>
          <w:sz w:val="32"/>
          <w:szCs w:val="32"/>
          <w:lang w:val="en-US" w:eastAsia="zh-CN"/>
          <w14:textFill>
            <w14:solidFill>
              <w14:schemeClr w14:val="tx1"/>
            </w14:solidFill>
          </w14:textFill>
        </w:rPr>
        <w:t>五</w:t>
      </w:r>
      <w:r>
        <w:rPr>
          <w:rFonts w:hint="default" w:ascii="Times New Roman" w:hAnsi="Times New Roman" w:eastAsia="方正仿宋_GBK" w:cs="Times New Roman"/>
          <w:b/>
          <w:bCs/>
          <w:color w:val="000000" w:themeColor="text1"/>
          <w:sz w:val="32"/>
          <w:szCs w:val="32"/>
          <w:lang w:val="en-US" w:eastAsia="zh-CN"/>
          <w14:textFill>
            <w14:solidFill>
              <w14:schemeClr w14:val="tx1"/>
            </w14:solidFill>
          </w14:textFill>
        </w:rPr>
        <w:t>条 规划解释</w:t>
      </w:r>
      <w:bookmarkEnd w:id="20"/>
    </w:p>
    <w:p w14:paraId="162F8759">
      <w:pPr>
        <w:bidi w:val="0"/>
        <w:rPr>
          <w:rFonts w:hint="default" w:ascii="Times New Roman" w:hAnsi="Times New Roman" w:cs="Times New Roman"/>
          <w:color w:val="auto"/>
          <w:lang w:val="en-US" w:eastAsia="zh-CN"/>
        </w:rPr>
      </w:pPr>
      <w:r>
        <w:rPr>
          <w:rFonts w:hint="default" w:ascii="Times New Roman" w:hAnsi="Times New Roman" w:eastAsia="方正仿宋_GBK" w:cs="Times New Roman"/>
          <w:color w:val="auto"/>
          <w:highlight w:val="none"/>
          <w:lang w:val="en-US" w:eastAsia="zh-CN"/>
        </w:rPr>
        <w:t>本规划的具体应用问题由铜梁区城市管理局负责解释。</w:t>
      </w:r>
    </w:p>
    <w:p w14:paraId="59C70E76">
      <w:pPr>
        <w:bidi w:val="0"/>
        <w:rPr>
          <w:rFonts w:hint="default" w:ascii="Times New Roman" w:hAnsi="Times New Roman" w:cs="Times New Roman"/>
          <w:color w:val="auto"/>
          <w:sz w:val="48"/>
          <w:szCs w:val="48"/>
          <w:lang w:val="en-US" w:eastAsia="zh-CN"/>
        </w:rPr>
        <w:sectPr>
          <w:footerReference r:id="rId6" w:type="default"/>
          <w:pgSz w:w="11907" w:h="16840"/>
          <w:pgMar w:top="2098" w:right="1531" w:bottom="1984" w:left="1531" w:header="851" w:footer="992" w:gutter="0"/>
          <w:pgBorders>
            <w:top w:val="none" w:sz="0" w:space="0"/>
            <w:left w:val="none" w:sz="0" w:space="0"/>
            <w:bottom w:val="none" w:sz="0" w:space="0"/>
            <w:right w:val="none" w:sz="0" w:space="0"/>
          </w:pgBorders>
          <w:pgNumType w:fmt="numberInDash" w:start="1"/>
          <w:cols w:space="0" w:num="1"/>
          <w:rtlGutter w:val="0"/>
          <w:docGrid w:linePitch="380" w:charSpace="0"/>
        </w:sectPr>
      </w:pPr>
    </w:p>
    <w:p w14:paraId="26C4CF17">
      <w:pPr>
        <w:pStyle w:val="2"/>
        <w:bidi w:val="0"/>
        <w:rPr>
          <w:rFonts w:hint="default" w:ascii="Times New Roman" w:hAnsi="Times New Roman" w:eastAsia="方正黑体_GBK" w:cs="Times New Roman"/>
          <w:lang w:val="en-US" w:eastAsia="zh-CN"/>
        </w:rPr>
      </w:pPr>
      <w:bookmarkStart w:id="21" w:name="_Toc3878"/>
      <w:r>
        <w:rPr>
          <w:rFonts w:hint="default" w:ascii="Times New Roman" w:hAnsi="Times New Roman" w:cs="Times New Roman"/>
          <w:lang w:val="en-US" w:eastAsia="zh-CN"/>
        </w:rPr>
        <w:t xml:space="preserve">附件1 </w:t>
      </w:r>
      <w:r>
        <w:rPr>
          <w:rFonts w:hint="default" w:ascii="Times New Roman" w:hAnsi="Times New Roman" w:eastAsia="方正黑体_GBK" w:cs="Times New Roman"/>
          <w:lang w:val="en-US" w:eastAsia="zh-CN"/>
        </w:rPr>
        <w:t>铜梁区临时占道经营点规划总体分布图</w:t>
      </w:r>
      <w:bookmarkEnd w:id="21"/>
    </w:p>
    <w:p w14:paraId="19FF03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8086090" cy="4248150"/>
            <wp:effectExtent l="0" t="0" r="0" b="0"/>
            <wp:docPr id="1" name="图片 1" descr="全区标注0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全区标注02N"/>
                    <pic:cNvPicPr>
                      <a:picLocks noChangeAspect="1"/>
                    </pic:cNvPicPr>
                  </pic:nvPicPr>
                  <pic:blipFill>
                    <a:blip r:embed="rId8"/>
                    <a:srcRect b="3976"/>
                    <a:stretch>
                      <a:fillRect/>
                    </a:stretch>
                  </pic:blipFill>
                  <pic:spPr>
                    <a:xfrm>
                      <a:off x="0" y="0"/>
                      <a:ext cx="8086090" cy="4248150"/>
                    </a:xfrm>
                    <a:prstGeom prst="rect">
                      <a:avLst/>
                    </a:prstGeom>
                  </pic:spPr>
                </pic:pic>
              </a:graphicData>
            </a:graphic>
          </wp:inline>
        </w:drawing>
      </w:r>
    </w:p>
    <w:p w14:paraId="07C2DD1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黑体_GBK" w:cs="Times New Roman"/>
          <w:lang w:val="en-US" w:eastAsia="zh-CN"/>
        </w:rPr>
      </w:pPr>
    </w:p>
    <w:p w14:paraId="3D597F3E">
      <w:pPr>
        <w:pStyle w:val="2"/>
        <w:bidi w:val="0"/>
        <w:rPr>
          <w:rFonts w:hint="default" w:ascii="Times New Roman" w:hAnsi="Times New Roman" w:cs="Times New Roman"/>
          <w:lang w:val="en-US" w:eastAsia="zh-CN"/>
        </w:rPr>
      </w:pPr>
      <w:bookmarkStart w:id="22" w:name="_Toc10481"/>
      <w:r>
        <w:rPr>
          <w:rFonts w:hint="default" w:ascii="Times New Roman" w:hAnsi="Times New Roman" w:cs="Times New Roman"/>
          <w:lang w:val="en-US" w:eastAsia="zh-CN"/>
        </w:rPr>
        <w:t>附件2 铜梁区临时占道经营点点位规划设置明细表</w:t>
      </w:r>
      <w:bookmarkEnd w:id="22"/>
    </w:p>
    <w:tbl>
      <w:tblPr>
        <w:tblStyle w:val="14"/>
        <w:tblW w:w="515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1198"/>
        <w:gridCol w:w="1201"/>
        <w:gridCol w:w="2356"/>
        <w:gridCol w:w="1276"/>
        <w:gridCol w:w="1274"/>
        <w:gridCol w:w="960"/>
        <w:gridCol w:w="1455"/>
        <w:gridCol w:w="2108"/>
        <w:gridCol w:w="836"/>
      </w:tblGrid>
      <w:tr w14:paraId="28E7E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blHeader/>
          <w:jc w:val="center"/>
        </w:trPr>
        <w:tc>
          <w:tcPr>
            <w:tcW w:w="261" w:type="pct"/>
            <w:tcBorders>
              <w:top w:val="single" w:color="000000" w:sz="4" w:space="0"/>
              <w:left w:val="single" w:color="000000" w:sz="4" w:space="0"/>
              <w:bottom w:val="single" w:color="000000" w:sz="4" w:space="0"/>
              <w:right w:val="single" w:color="000000" w:sz="4" w:space="0"/>
            </w:tcBorders>
            <w:shd w:val="clear" w:color="auto" w:fill="D9E1F2"/>
            <w:vAlign w:val="center"/>
          </w:tcPr>
          <w:p w14:paraId="2FA00D6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序号</w:t>
            </w:r>
          </w:p>
        </w:tc>
        <w:tc>
          <w:tcPr>
            <w:tcW w:w="448" w:type="pct"/>
            <w:tcBorders>
              <w:top w:val="single" w:color="000000" w:sz="4" w:space="0"/>
              <w:left w:val="single" w:color="000000" w:sz="4" w:space="0"/>
              <w:bottom w:val="single" w:color="000000" w:sz="4" w:space="0"/>
              <w:right w:val="single" w:color="000000" w:sz="4" w:space="0"/>
            </w:tcBorders>
            <w:shd w:val="clear" w:color="auto" w:fill="D9E1F2"/>
            <w:vAlign w:val="center"/>
          </w:tcPr>
          <w:p w14:paraId="689A631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所属街道</w:t>
            </w:r>
          </w:p>
        </w:tc>
        <w:tc>
          <w:tcPr>
            <w:tcW w:w="449" w:type="pct"/>
            <w:tcBorders>
              <w:top w:val="single" w:color="000000" w:sz="4" w:space="0"/>
              <w:left w:val="single" w:color="000000" w:sz="4" w:space="0"/>
              <w:bottom w:val="single" w:color="000000" w:sz="4" w:space="0"/>
              <w:right w:val="single" w:color="000000" w:sz="4" w:space="0"/>
            </w:tcBorders>
            <w:shd w:val="clear" w:color="auto" w:fill="D9E1F2"/>
            <w:vAlign w:val="center"/>
          </w:tcPr>
          <w:p w14:paraId="5922F5F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所属</w:t>
            </w:r>
            <w:r>
              <w:rPr>
                <w:rFonts w:hint="eastAsia" w:cs="Times New Roman"/>
                <w:b/>
                <w:bCs/>
                <w:i w:val="0"/>
                <w:iCs w:val="0"/>
                <w:color w:val="000000"/>
                <w:kern w:val="0"/>
                <w:sz w:val="24"/>
                <w:szCs w:val="24"/>
                <w:u w:val="none"/>
                <w:lang w:val="en-US" w:eastAsia="zh-CN" w:bidi="ar"/>
              </w:rPr>
              <w:t>单位</w:t>
            </w:r>
          </w:p>
        </w:tc>
        <w:tc>
          <w:tcPr>
            <w:tcW w:w="881" w:type="pct"/>
            <w:tcBorders>
              <w:top w:val="single" w:color="000000" w:sz="4" w:space="0"/>
              <w:left w:val="single" w:color="000000" w:sz="4" w:space="0"/>
              <w:bottom w:val="single" w:color="000000" w:sz="4" w:space="0"/>
              <w:right w:val="single" w:color="000000" w:sz="4" w:space="0"/>
            </w:tcBorders>
            <w:shd w:val="clear" w:color="auto" w:fill="D9E1F2"/>
            <w:vAlign w:val="center"/>
          </w:tcPr>
          <w:p w14:paraId="75B8025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点位名称</w:t>
            </w:r>
          </w:p>
        </w:tc>
        <w:tc>
          <w:tcPr>
            <w:tcW w:w="477" w:type="pct"/>
            <w:tcBorders>
              <w:top w:val="single" w:color="000000" w:sz="4" w:space="0"/>
              <w:left w:val="single" w:color="000000" w:sz="4" w:space="0"/>
              <w:bottom w:val="single" w:color="000000" w:sz="4" w:space="0"/>
              <w:right w:val="single" w:color="000000" w:sz="4" w:space="0"/>
            </w:tcBorders>
            <w:shd w:val="clear" w:color="auto" w:fill="D9E1F2"/>
            <w:vAlign w:val="center"/>
          </w:tcPr>
          <w:p w14:paraId="7A31485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点位类型</w:t>
            </w:r>
          </w:p>
        </w:tc>
        <w:tc>
          <w:tcPr>
            <w:tcW w:w="476" w:type="pct"/>
            <w:tcBorders>
              <w:top w:val="single" w:color="000000" w:sz="4" w:space="0"/>
              <w:left w:val="single" w:color="000000" w:sz="4" w:space="0"/>
              <w:bottom w:val="single" w:color="000000" w:sz="4" w:space="0"/>
              <w:right w:val="single" w:color="000000" w:sz="4" w:space="0"/>
            </w:tcBorders>
            <w:shd w:val="clear" w:color="auto" w:fill="D9E1F2"/>
            <w:vAlign w:val="center"/>
          </w:tcPr>
          <w:p w14:paraId="01D2F51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规划面积（㎡）</w:t>
            </w:r>
          </w:p>
        </w:tc>
        <w:tc>
          <w:tcPr>
            <w:tcW w:w="359" w:type="pct"/>
            <w:tcBorders>
              <w:top w:val="single" w:color="000000" w:sz="4" w:space="0"/>
              <w:left w:val="single" w:color="000000" w:sz="4" w:space="0"/>
              <w:bottom w:val="single" w:color="000000" w:sz="4" w:space="0"/>
              <w:right w:val="single" w:color="000000" w:sz="4" w:space="0"/>
            </w:tcBorders>
            <w:shd w:val="clear" w:color="auto" w:fill="D9E1F2"/>
            <w:vAlign w:val="center"/>
          </w:tcPr>
          <w:p w14:paraId="101F7C9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规划摊位数</w:t>
            </w:r>
          </w:p>
        </w:tc>
        <w:tc>
          <w:tcPr>
            <w:tcW w:w="544" w:type="pct"/>
            <w:tcBorders>
              <w:top w:val="single" w:color="000000" w:sz="4" w:space="0"/>
              <w:left w:val="single" w:color="000000" w:sz="4" w:space="0"/>
              <w:bottom w:val="single" w:color="000000" w:sz="4" w:space="0"/>
              <w:right w:val="single" w:color="000000" w:sz="4" w:space="0"/>
            </w:tcBorders>
            <w:shd w:val="clear" w:color="auto" w:fill="D9E1F2"/>
            <w:vAlign w:val="center"/>
          </w:tcPr>
          <w:p w14:paraId="151E560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经营</w:t>
            </w:r>
            <w:r>
              <w:rPr>
                <w:rFonts w:hint="default" w:ascii="Times New Roman" w:hAnsi="Times New Roman" w:cs="Times New Roman"/>
                <w:b/>
                <w:bCs/>
                <w:i w:val="0"/>
                <w:iCs w:val="0"/>
                <w:color w:val="000000"/>
                <w:kern w:val="0"/>
                <w:sz w:val="24"/>
                <w:szCs w:val="24"/>
                <w:u w:val="none"/>
                <w:lang w:val="en-US" w:eastAsia="zh-CN" w:bidi="ar"/>
              </w:rPr>
              <w:t>类</w:t>
            </w:r>
            <w:r>
              <w:rPr>
                <w:rFonts w:hint="default" w:ascii="Times New Roman" w:hAnsi="Times New Roman" w:eastAsia="方正仿宋_GBK" w:cs="Times New Roman"/>
                <w:b/>
                <w:bCs/>
                <w:i w:val="0"/>
                <w:iCs w:val="0"/>
                <w:color w:val="000000"/>
                <w:kern w:val="0"/>
                <w:sz w:val="24"/>
                <w:szCs w:val="24"/>
                <w:u w:val="none"/>
                <w:lang w:val="en-US" w:eastAsia="zh-CN" w:bidi="ar"/>
              </w:rPr>
              <w:t>型</w:t>
            </w:r>
          </w:p>
        </w:tc>
        <w:tc>
          <w:tcPr>
            <w:tcW w:w="788" w:type="pct"/>
            <w:tcBorders>
              <w:top w:val="single" w:color="000000" w:sz="4" w:space="0"/>
              <w:left w:val="single" w:color="000000" w:sz="4" w:space="0"/>
              <w:bottom w:val="single" w:color="000000" w:sz="4" w:space="0"/>
              <w:right w:val="single" w:color="000000" w:sz="4" w:space="0"/>
            </w:tcBorders>
            <w:shd w:val="clear" w:color="auto" w:fill="D9E1F2"/>
            <w:vAlign w:val="center"/>
          </w:tcPr>
          <w:p w14:paraId="6568A13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规划建议</w:t>
            </w:r>
          </w:p>
        </w:tc>
        <w:tc>
          <w:tcPr>
            <w:tcW w:w="312" w:type="pct"/>
            <w:tcBorders>
              <w:top w:val="single" w:color="000000" w:sz="4" w:space="0"/>
              <w:left w:val="single" w:color="000000" w:sz="4" w:space="0"/>
              <w:bottom w:val="single" w:color="000000" w:sz="4" w:space="0"/>
              <w:right w:val="single" w:color="000000" w:sz="4" w:space="0"/>
            </w:tcBorders>
            <w:shd w:val="clear" w:color="auto" w:fill="D9E1F2"/>
            <w:vAlign w:val="center"/>
          </w:tcPr>
          <w:p w14:paraId="1FFD48D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备注</w:t>
            </w:r>
          </w:p>
        </w:tc>
      </w:tr>
      <w:tr w14:paraId="7E200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AE29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B269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35D6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正街社区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C254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马家湾</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7895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商业街区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053B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DB0E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80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5A38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29E8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FA79">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4DF11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E58E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7F73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3BBA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正街社区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C876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老步行街周边区域</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BC6E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商业街区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348E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1500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5218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270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95FF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、文创娱乐</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FA07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8B1D6">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349E2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12D7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3</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DB82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30D4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仙鱼社区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E512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仙鱼便民摊区</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39BC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闲置地块</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4B5F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A7C9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400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9EEA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71C0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A021">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50353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7811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4</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713A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75DA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仙鱼社区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196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学府大道临时摊区</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E65C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公园场馆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218E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1878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4A49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7E53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EC98A">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0FD32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4CE8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CAB8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AEBE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袁家社区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8448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滨河东路六顺花园外人行道</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55D6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居民小区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19B7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9492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F630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7C65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DADA">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33472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E1A2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6</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BF4E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E646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袁家社区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2AC4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袁家花园停车场外</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C9EF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居民小区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6A90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400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959C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100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1E58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A450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54D51">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5D64F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09B7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7</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CE1F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D693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柿花社区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CD73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金砂路临时摊区</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AC0C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城市道路</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41D0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70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7A1C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1217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16CB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D703B">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0A303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9EB7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9639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0323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柿花社区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BB38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职教中心临时摊区</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188F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城市道路</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FE01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300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5EE9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60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02F7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F06B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B1E6">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2BFE8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0CF6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9</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36C2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908D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塔山社区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190F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迎龙路人行道</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2867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居民小区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D52F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0FE0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63C5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1A4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29DA9">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245EC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31DD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lang w:val="en-US"/>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10</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2460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B4AB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晏渡社区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7E1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金枫路鸥鹏华府对面人行道</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068B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居民小区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FFE7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150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033B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0028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EB6A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C9F7">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38600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96C3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w:t>
            </w:r>
            <w:r>
              <w:rPr>
                <w:rFonts w:hint="eastAsia" w:cs="Times New Roman"/>
                <w:i w:val="0"/>
                <w:iCs w:val="0"/>
                <w:color w:val="000000" w:themeColor="text1"/>
                <w:kern w:val="0"/>
                <w:sz w:val="24"/>
                <w:szCs w:val="24"/>
                <w:u w:val="none"/>
                <w:lang w:val="en-US" w:eastAsia="zh-CN" w:bidi="ar"/>
                <w14:textFill>
                  <w14:solidFill>
                    <w14:schemeClr w14:val="tx1"/>
                  </w14:solidFill>
                </w14:textFill>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1DC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2A24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晏渡社区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9D87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龙腾盛世外人行道</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36A2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商业街区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5477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3000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CA0D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3534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F4CC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1181">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76B07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3739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w:t>
            </w:r>
            <w:r>
              <w:rPr>
                <w:rFonts w:hint="eastAsia" w:cs="Times New Roman"/>
                <w:i w:val="0"/>
                <w:iCs w:val="0"/>
                <w:color w:val="000000" w:themeColor="text1"/>
                <w:kern w:val="0"/>
                <w:sz w:val="24"/>
                <w:szCs w:val="24"/>
                <w:u w:val="none"/>
                <w:lang w:val="en-US" w:eastAsia="zh-CN" w:bidi="ar"/>
                <w14:textFill>
                  <w14:solidFill>
                    <w14:schemeClr w14:val="tx1"/>
                  </w14:solidFill>
                </w14:textFill>
              </w:rPr>
              <w:t>2</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F995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A389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双门社区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DE67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水岸国际北区</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24F7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居民小区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1C39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AB98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A0AA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964C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25D3">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46685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0978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w:t>
            </w:r>
            <w:r>
              <w:rPr>
                <w:rFonts w:hint="eastAsia" w:cs="Times New Roman"/>
                <w:i w:val="0"/>
                <w:iCs w:val="0"/>
                <w:color w:val="000000" w:themeColor="text1"/>
                <w:kern w:val="0"/>
                <w:sz w:val="24"/>
                <w:szCs w:val="24"/>
                <w:u w:val="none"/>
                <w:lang w:val="en-US" w:eastAsia="zh-CN" w:bidi="ar"/>
                <w14:textFill>
                  <w14:solidFill>
                    <w14:schemeClr w14:val="tx1"/>
                  </w14:solidFill>
                </w14:textFill>
              </w:rPr>
              <w:t>3</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7BE4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B23E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玉泉社区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96F7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铜龙一路</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9C77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居民小区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C5E8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400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6E68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80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D61C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B082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7BCE1">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3EC6C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4D34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w:t>
            </w:r>
            <w:r>
              <w:rPr>
                <w:rFonts w:hint="eastAsia" w:cs="Times New Roman"/>
                <w:i w:val="0"/>
                <w:iCs w:val="0"/>
                <w:color w:val="000000" w:themeColor="text1"/>
                <w:kern w:val="0"/>
                <w:sz w:val="24"/>
                <w:szCs w:val="24"/>
                <w:u w:val="none"/>
                <w:lang w:val="en-US" w:eastAsia="zh-CN" w:bidi="ar"/>
                <w14:textFill>
                  <w14:solidFill>
                    <w14:schemeClr w14:val="tx1"/>
                  </w14:solidFill>
                </w14:textFill>
              </w:rPr>
              <w:t>4</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C567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B7B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姜家岩社区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FFC1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石滚二路</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811D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居民小区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3B04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150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4D0E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BE66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B684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4777B">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4A6DB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EA42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15</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4FBD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9AA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F90A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亚龙路万达一号门</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7890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商业街区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B30C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300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292C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47</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BC30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DC5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ED05">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1061D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0499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16</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2164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2D41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9D08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龙城天街商圈</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EB49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商业街区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1509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55760.5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39AC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1244</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DDF5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、文创</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C2B6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A0762">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23F4F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EDCF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17</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C69B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4139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253B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民兴路群龙广场</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7E95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公园场馆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EB4B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80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BD91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683F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9BA6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C0AC4">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38BFE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8BEF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18</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E598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南城街道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4949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团结社区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B11C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尚风名居竹香路路口</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7EDD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城市道路</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FE7A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40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1F67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64C0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43AF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680C">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43137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A15F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19</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8F3B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南城街道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3D77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团结社区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E83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外国语小学公厕对面路口</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6EE5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城市道路</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8EC2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40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B74F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EE39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2A2C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41581">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61BDC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9530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20</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70A3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南城街道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6AB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团结社区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37CC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尚风名居旁盐业路人行道</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FEA8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居民小区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F20C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80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80F7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7EA7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9A79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EDD6">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729E7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2DAE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21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F36F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南城街道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857B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团结社区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CC14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龙门一支路华夏康城4号门处</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444F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居民小区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C800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518B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11</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64EB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2648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DC12">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69D3F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9F1D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22</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0EE4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南城街道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A733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岳阳社区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190F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莲花路人行道</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69E9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城市道路</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1EB0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60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0724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60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6131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FADA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4B8F">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15CAA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A2C1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23</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821C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南城街道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9E61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白龙社区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DDB0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龙腾大道西段</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0937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城市道路</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3A7E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3000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8B59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288</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ED77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9722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C2F47">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54423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5822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24</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917E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南城街道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A048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白龙社区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A040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白龙二路龙轩大地南区外人行道</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6518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居民小区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6312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40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7A5B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1181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农副产品</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BB25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98500">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34871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5568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25</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85B2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E950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高新区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C994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龙安大道支路（新民康厂旁）</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2FB9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工业园区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2A0A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A2EA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17</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79E7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14EF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74F04">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3BBA5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BA94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26</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6479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6F86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高新区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0E08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产业大道6号路</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C854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工业园区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84DC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67B8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35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6195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1D96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65FE">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08D46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23A0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27</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3BE8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ED99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高新区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E26D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龙井路</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91B2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工业园区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4FBA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30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2F86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926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1B38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B308">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76E81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F5E1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28</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5666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蒲吕街道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4952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高新区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CD86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小米工业园区（产业大道7号路）</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B33C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工业园区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EEC6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70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2961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2246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8472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23889">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43D13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E6E7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29</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8E0E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蒲吕街道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E36A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高新区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98D3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大塘路</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1ECD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工业园区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BD1F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75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F228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8911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5B1C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83512">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42229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717B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30</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2DAD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蒲吕街道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321B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高新区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BA1C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龙山大道（新华路）</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6F70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工业园区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145D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40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5AC2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BFD0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餐饮</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0ED4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潮汐临时经营点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DA81">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09B1F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8A90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31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0F17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78D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231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明月广场周边</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039F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公园场馆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DB47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19521</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A5F8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160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A374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12C8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E4FA6">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3271A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62F3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32</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8058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DBFD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EE69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雪庵公园</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3C87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公园场馆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9F6D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15500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EA06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169</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0729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0B78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80F9">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56E06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95DE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33</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9109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AC4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EFAA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凤山公园</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335D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公园场馆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610D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7300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7824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80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B029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2020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D6DF">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40787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7EEB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34</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54EC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巴川街道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F36C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6722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运动场周边</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F50E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公园场馆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46B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13000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7F3F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60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DB35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73E2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E975">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5CABB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B51C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35</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7192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26B1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晏渡社区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E359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人民公园</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F76A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公园场馆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4D6C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63000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AF5B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1155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07D6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A532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6E7D1">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0515C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AE1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36</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A1A4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1CAB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0DB5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金龙体育馆</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5CF3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公园场馆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0A0C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3000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B32F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167</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D69D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3E20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7B42B">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6080D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E9C5C">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37</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1F72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00B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D671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玉泉公园</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938F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公园场馆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5133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26300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B42D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581</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715F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7B78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2913">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32678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3FF3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38</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9439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南城街道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B6C4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F2EF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图书馆周边</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1817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公园场馆</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F03C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22642</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FA5A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141</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79C9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768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D0BF">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268B1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9BA2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39</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FF7E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南城街道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62D7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产发集团</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27E4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淮远古韵一期周边</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28F8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商业街区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BE23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117000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B7E7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679</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A993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BFF1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B61E">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1028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8799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40</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016C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东城街道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6739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高新区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0DF5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“安碧捷-宝根”片区烟火集市</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F10F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工业园区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281B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4773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80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C11D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AF4C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2A3C">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021B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BFC8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41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7F26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蒲吕街道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4076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高新区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FC2A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“南河院水库”片区烟火集市</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FF75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工业园区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701F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1500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E2EB5">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407A">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99D6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BECAC">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7AE07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6631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2"/>
                <w:sz w:val="24"/>
                <w:szCs w:val="24"/>
                <w:u w:val="none"/>
                <w:lang w:val="en-US" w:eastAsia="zh-CN" w:bidi="ar-SA"/>
                <w14:textFill>
                  <w14:solidFill>
                    <w14:schemeClr w14:val="tx1"/>
                  </w14:solidFill>
                </w14:textFill>
              </w:rPr>
              <w:t>42</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71A16">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蒲吕街道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970DE">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高新区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D66D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“海辰爱玛”片区烟火集</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C28C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工业园区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14861">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D3187">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1E59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kern w:val="2"/>
                <w:sz w:val="24"/>
                <w:szCs w:val="24"/>
                <w:u w:val="none"/>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31100">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05DC">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r w14:paraId="22F99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7E80D">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lang w:val="en-US" w:eastAsia="zh-CN"/>
                <w14:textFill>
                  <w14:solidFill>
                    <w14:schemeClr w14:val="tx1"/>
                  </w14:solidFill>
                </w14:textFill>
              </w:rPr>
            </w:pPr>
            <w:r>
              <w:rPr>
                <w:rFonts w:hint="eastAsia" w:cs="Times New Roman"/>
                <w:i w:val="0"/>
                <w:iCs w:val="0"/>
                <w:color w:val="000000" w:themeColor="text1"/>
                <w:sz w:val="24"/>
                <w:szCs w:val="24"/>
                <w:u w:val="none"/>
                <w:lang w:val="en-US" w:eastAsia="zh-CN"/>
                <w14:textFill>
                  <w14:solidFill>
                    <w14:schemeClr w14:val="tx1"/>
                  </w14:solidFill>
                </w14:textFill>
              </w:rPr>
              <w:t>43</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146A9">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蒲吕街道</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02E7F">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高新区</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ABE54">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“嘉技科技”片区烟火集市</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DFC6B">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工业园区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8557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2000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09DD8">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u w:val="none"/>
                <w:lang w:val="en-US" w:eastAsia="zh-CN" w:bidi="ar"/>
                <w14:textFill>
                  <w14:solidFill>
                    <w14:schemeClr w14:val="tx1"/>
                  </w14:solidFill>
                </w14:textFill>
              </w:rPr>
              <w:t>50</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453F3">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综合类</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7E9D2">
            <w:pPr>
              <w:keepNext w:val="0"/>
              <w:keepLines w:val="0"/>
              <w:pageBreakBefore w:val="0"/>
              <w:widowControl/>
              <w:suppressLineNumbers w:val="0"/>
              <w:kinsoku/>
              <w:wordWrap/>
              <w:overflowPunct/>
              <w:topLinePunct w:val="0"/>
              <w:autoSpaceDE/>
              <w:autoSpaceDN/>
              <w:bidi w:val="0"/>
              <w:adjustRightInd/>
              <w:snapToGrid/>
              <w:spacing w:line="380" w:lineRule="exact"/>
              <w:ind w:firstLine="0" w:firstLineChars="0"/>
              <w:jc w:val="center"/>
              <w:textAlignment w:val="center"/>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定点临时经营点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E891A">
            <w:pPr>
              <w:keepNext w:val="0"/>
              <w:keepLines w:val="0"/>
              <w:pageBreakBefore w:val="0"/>
              <w:widowControl/>
              <w:kinsoku/>
              <w:wordWrap/>
              <w:overflowPunct/>
              <w:topLinePunct w:val="0"/>
              <w:autoSpaceDE/>
              <w:autoSpaceDN/>
              <w:bidi w:val="0"/>
              <w:adjustRightInd/>
              <w:snapToGrid/>
              <w:spacing w:line="380" w:lineRule="exact"/>
              <w:ind w:firstLine="0" w:firstLineChars="0"/>
              <w:rPr>
                <w:rFonts w:hint="default" w:ascii="Times New Roman" w:hAnsi="Times New Roman" w:eastAsia="方正仿宋_GBK" w:cs="Times New Roman"/>
                <w:i w:val="0"/>
                <w:iCs w:val="0"/>
                <w:color w:val="000000" w:themeColor="text1"/>
                <w:sz w:val="24"/>
                <w:szCs w:val="24"/>
                <w:u w:val="none"/>
                <w14:textFill>
                  <w14:solidFill>
                    <w14:schemeClr w14:val="tx1"/>
                  </w14:solidFill>
                </w14:textFill>
              </w:rPr>
            </w:pPr>
          </w:p>
        </w:tc>
      </w:tr>
    </w:tbl>
    <w:p w14:paraId="51707C86">
      <w:pPr>
        <w:ind w:left="0" w:leftChars="0" w:firstLine="0" w:firstLineChars="0"/>
        <w:rPr>
          <w:rFonts w:hint="default" w:ascii="Times New Roman" w:hAnsi="Times New Roman" w:cs="Times New Roman"/>
          <w:lang w:val="en-US" w:eastAsia="zh-CN"/>
        </w:rPr>
      </w:pPr>
    </w:p>
    <w:sectPr>
      <w:pgSz w:w="16840" w:h="11907" w:orient="landscape"/>
      <w:pgMar w:top="1531" w:right="2098" w:bottom="1531" w:left="1984" w:header="851" w:footer="992" w:gutter="0"/>
      <w:pgBorders>
        <w:top w:val="none" w:sz="0" w:space="0"/>
        <w:left w:val="none" w:sz="0" w:space="0"/>
        <w:bottom w:val="none" w:sz="0" w:space="0"/>
        <w:right w:val="none" w:sz="0" w:space="0"/>
      </w:pgBorders>
      <w:pgNumType w:fmt="numberInDash"/>
      <w:cols w:space="0" w:num="1"/>
      <w:rtlGutter w:val="0"/>
      <w:docGrid w:linePitch="38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altName w:val="方正书宋_GBK"/>
    <w:panose1 w:val="02010600030101010101"/>
    <w:charset w:val="88"/>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Helvetica">
    <w:altName w:val="DejaVu Sans"/>
    <w:panose1 w:val="020B0604020202020204"/>
    <w:charset w:val="00"/>
    <w:family w:val="swiss"/>
    <w:pitch w:val="default"/>
    <w:sig w:usb0="00000000" w:usb1="00000000" w:usb2="00000009" w:usb3="00000000" w:csb0="000001FF" w:csb1="00000000"/>
  </w:font>
  <w:font w:name="DejaVu Sans">
    <w:panose1 w:val="020B0603030804020204"/>
    <w:charset w:val="00"/>
    <w:family w:val="auto"/>
    <w:pitch w:val="default"/>
    <w:sig w:usb0="E7006EFF" w:usb1="D200FDFF" w:usb2="0A246029" w:usb3="0400200C" w:csb0="600001FF" w:csb1="DFFF0000"/>
  </w:font>
  <w:font w:name="方正小标宋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69E9F">
    <w:pPr>
      <w:pStyle w:val="9"/>
      <w:jc w:val="center"/>
    </w:pPr>
    <w:r>
      <w:fldChar w:fldCharType="begin"/>
    </w:r>
    <w:r>
      <w:instrText xml:space="preserve">PAGE   \* MERGEFORMAT</w:instrText>
    </w:r>
    <w:r>
      <w:fldChar w:fldCharType="separate"/>
    </w:r>
    <w:r>
      <w:rPr>
        <w:lang w:val="zh-CN"/>
      </w:rPr>
      <w:t>3</w:t>
    </w:r>
    <w:r>
      <w:fldChar w:fldCharType="end"/>
    </w:r>
  </w:p>
  <w:p w14:paraId="721F2693">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14AB3">
    <w:pPr>
      <w:pStyle w:val="10"/>
      <w:jc w:val="right"/>
      <w:rPr>
        <w:rFonts w:hint="default" w:eastAsia="方正仿宋_GBK"/>
        <w:lang w:val="en-US" w:eastAsia="zh-CN"/>
      </w:rPr>
    </w:pPr>
    <w:r>
      <w:rPr>
        <w:rFonts w:hint="eastAsia"/>
        <w:sz w:val="21"/>
        <w:szCs w:val="21"/>
        <w:lang w:val="en-US" w:eastAsia="zh-CN"/>
      </w:rPr>
      <w:t>重庆市铜梁区临时占道经营点设置规划文本</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gutterAtTop/>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B35C0"/>
    <w:rsid w:val="01F33470"/>
    <w:rsid w:val="02900CBF"/>
    <w:rsid w:val="031A4A2D"/>
    <w:rsid w:val="03261624"/>
    <w:rsid w:val="034321D6"/>
    <w:rsid w:val="03D8301F"/>
    <w:rsid w:val="04FC088E"/>
    <w:rsid w:val="05060D7C"/>
    <w:rsid w:val="06A72A7B"/>
    <w:rsid w:val="06B01930"/>
    <w:rsid w:val="07D96C64"/>
    <w:rsid w:val="0831151C"/>
    <w:rsid w:val="095E209F"/>
    <w:rsid w:val="0A5929C3"/>
    <w:rsid w:val="0B9A495D"/>
    <w:rsid w:val="0C9B6BDE"/>
    <w:rsid w:val="0E527771"/>
    <w:rsid w:val="0F745EC9"/>
    <w:rsid w:val="11125D7F"/>
    <w:rsid w:val="11634162"/>
    <w:rsid w:val="12C13A3A"/>
    <w:rsid w:val="12E7791C"/>
    <w:rsid w:val="14741EAA"/>
    <w:rsid w:val="14B350FF"/>
    <w:rsid w:val="14BE0A15"/>
    <w:rsid w:val="156264EB"/>
    <w:rsid w:val="15AA1238"/>
    <w:rsid w:val="160475A2"/>
    <w:rsid w:val="189664AC"/>
    <w:rsid w:val="18BE1961"/>
    <w:rsid w:val="18FA4C8D"/>
    <w:rsid w:val="1977519D"/>
    <w:rsid w:val="19840CC3"/>
    <w:rsid w:val="1A3441CE"/>
    <w:rsid w:val="1ADD6614"/>
    <w:rsid w:val="1B8B4B94"/>
    <w:rsid w:val="1BBB6955"/>
    <w:rsid w:val="1F7A4DE7"/>
    <w:rsid w:val="1FCD6FF2"/>
    <w:rsid w:val="214A3CC8"/>
    <w:rsid w:val="24790F58"/>
    <w:rsid w:val="25307C9B"/>
    <w:rsid w:val="25491C3D"/>
    <w:rsid w:val="25A22FD0"/>
    <w:rsid w:val="263230B7"/>
    <w:rsid w:val="26E51B7B"/>
    <w:rsid w:val="273E668C"/>
    <w:rsid w:val="27B59AFC"/>
    <w:rsid w:val="283C2BCC"/>
    <w:rsid w:val="286A598B"/>
    <w:rsid w:val="28F32111"/>
    <w:rsid w:val="297A02F3"/>
    <w:rsid w:val="297A6A85"/>
    <w:rsid w:val="29A30A29"/>
    <w:rsid w:val="2A892B1A"/>
    <w:rsid w:val="2B902D8F"/>
    <w:rsid w:val="2D587084"/>
    <w:rsid w:val="2EA66FF1"/>
    <w:rsid w:val="2FBFD9A2"/>
    <w:rsid w:val="30353FAC"/>
    <w:rsid w:val="30405223"/>
    <w:rsid w:val="3231623F"/>
    <w:rsid w:val="32A71949"/>
    <w:rsid w:val="32F04CDF"/>
    <w:rsid w:val="33185FE3"/>
    <w:rsid w:val="33E22E41"/>
    <w:rsid w:val="342C7F98"/>
    <w:rsid w:val="34B63D06"/>
    <w:rsid w:val="35742CFF"/>
    <w:rsid w:val="360A60B7"/>
    <w:rsid w:val="36A50FB2"/>
    <w:rsid w:val="36C30DF3"/>
    <w:rsid w:val="372F37CE"/>
    <w:rsid w:val="38393CBE"/>
    <w:rsid w:val="3951224F"/>
    <w:rsid w:val="395D6E46"/>
    <w:rsid w:val="39F31A6C"/>
    <w:rsid w:val="3ABF38D9"/>
    <w:rsid w:val="3AF15A98"/>
    <w:rsid w:val="3B042702"/>
    <w:rsid w:val="3BE64ED1"/>
    <w:rsid w:val="3C1D640A"/>
    <w:rsid w:val="3D2008B6"/>
    <w:rsid w:val="3E595E2E"/>
    <w:rsid w:val="3FEE6A4A"/>
    <w:rsid w:val="3FF3E46B"/>
    <w:rsid w:val="40251D98"/>
    <w:rsid w:val="408B4299"/>
    <w:rsid w:val="41C225B8"/>
    <w:rsid w:val="41FA7928"/>
    <w:rsid w:val="424D6FE9"/>
    <w:rsid w:val="425608D6"/>
    <w:rsid w:val="45EF7078"/>
    <w:rsid w:val="46024FFD"/>
    <w:rsid w:val="469D6E5D"/>
    <w:rsid w:val="478F28C0"/>
    <w:rsid w:val="48B325DE"/>
    <w:rsid w:val="49796A18"/>
    <w:rsid w:val="4AB16FF2"/>
    <w:rsid w:val="4BEC27CE"/>
    <w:rsid w:val="4C286E40"/>
    <w:rsid w:val="4D537DF4"/>
    <w:rsid w:val="4DD51249"/>
    <w:rsid w:val="4E593C28"/>
    <w:rsid w:val="4EA76741"/>
    <w:rsid w:val="4FD01CC8"/>
    <w:rsid w:val="530F6B1A"/>
    <w:rsid w:val="531225F7"/>
    <w:rsid w:val="53435F58"/>
    <w:rsid w:val="537B47EE"/>
    <w:rsid w:val="55C540D4"/>
    <w:rsid w:val="55FF50B5"/>
    <w:rsid w:val="561D378D"/>
    <w:rsid w:val="576158FB"/>
    <w:rsid w:val="58AB1D91"/>
    <w:rsid w:val="5A336288"/>
    <w:rsid w:val="5AB26B9A"/>
    <w:rsid w:val="5D753EAF"/>
    <w:rsid w:val="5EBF2664"/>
    <w:rsid w:val="5F0B4ACB"/>
    <w:rsid w:val="5FA82319"/>
    <w:rsid w:val="5FFB1204"/>
    <w:rsid w:val="610405E7"/>
    <w:rsid w:val="61045C75"/>
    <w:rsid w:val="614331EE"/>
    <w:rsid w:val="61D90EB0"/>
    <w:rsid w:val="62460758"/>
    <w:rsid w:val="63263B05"/>
    <w:rsid w:val="657B4092"/>
    <w:rsid w:val="65C14135"/>
    <w:rsid w:val="65C5217E"/>
    <w:rsid w:val="667016B7"/>
    <w:rsid w:val="66AB6236"/>
    <w:rsid w:val="67B9995B"/>
    <w:rsid w:val="684F65CB"/>
    <w:rsid w:val="6A444170"/>
    <w:rsid w:val="6ADE3F84"/>
    <w:rsid w:val="6B966103"/>
    <w:rsid w:val="6C041795"/>
    <w:rsid w:val="6C087D3A"/>
    <w:rsid w:val="6C7D68DC"/>
    <w:rsid w:val="6CE07597"/>
    <w:rsid w:val="6EEE06C9"/>
    <w:rsid w:val="6EF0068D"/>
    <w:rsid w:val="704716DB"/>
    <w:rsid w:val="715A18DF"/>
    <w:rsid w:val="71864485"/>
    <w:rsid w:val="7238577F"/>
    <w:rsid w:val="730D32ED"/>
    <w:rsid w:val="733A3E96"/>
    <w:rsid w:val="735465E8"/>
    <w:rsid w:val="73714A90"/>
    <w:rsid w:val="73D9241F"/>
    <w:rsid w:val="73EBC78B"/>
    <w:rsid w:val="73F66F6E"/>
    <w:rsid w:val="753D4E5A"/>
    <w:rsid w:val="75FFC737"/>
    <w:rsid w:val="765E152C"/>
    <w:rsid w:val="772E00BE"/>
    <w:rsid w:val="77FB8B4F"/>
    <w:rsid w:val="789D46E4"/>
    <w:rsid w:val="7BEE5100"/>
    <w:rsid w:val="7C222187"/>
    <w:rsid w:val="7D5C044C"/>
    <w:rsid w:val="7D781125"/>
    <w:rsid w:val="7E5971A9"/>
    <w:rsid w:val="7EB22415"/>
    <w:rsid w:val="7F7308D7"/>
    <w:rsid w:val="7F777D7D"/>
    <w:rsid w:val="7FF17597"/>
    <w:rsid w:val="B6F7EF68"/>
    <w:rsid w:val="BCD9205B"/>
    <w:rsid w:val="D7EE056C"/>
    <w:rsid w:val="E5FEF69F"/>
    <w:rsid w:val="ED2421AF"/>
    <w:rsid w:val="F33FA475"/>
    <w:rsid w:val="F697CB8D"/>
    <w:rsid w:val="F8F76F35"/>
    <w:rsid w:val="FFDFC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420" w:firstLineChars="200"/>
      <w:jc w:val="both"/>
    </w:pPr>
    <w:rPr>
      <w:rFonts w:ascii="Times New Roman" w:hAnsi="Times New Roman" w:eastAsia="方正仿宋_GBK" w:cs="Times New Roman"/>
      <w:kern w:val="2"/>
      <w:sz w:val="32"/>
      <w:szCs w:val="24"/>
      <w:lang w:val="en-US" w:eastAsia="zh-CN" w:bidi="ar-SA"/>
    </w:rPr>
  </w:style>
  <w:style w:type="paragraph" w:styleId="2">
    <w:name w:val="heading 1"/>
    <w:basedOn w:val="1"/>
    <w:next w:val="1"/>
    <w:link w:val="19"/>
    <w:qFormat/>
    <w:uiPriority w:val="0"/>
    <w:pPr>
      <w:keepNext/>
      <w:keepLines/>
      <w:spacing w:line="600" w:lineRule="exact"/>
      <w:ind w:firstLine="0" w:firstLineChars="0"/>
      <w:outlineLvl w:val="0"/>
    </w:pPr>
    <w:rPr>
      <w:rFonts w:eastAsia="方正黑体_GBK"/>
      <w:kern w:val="44"/>
    </w:rPr>
  </w:style>
  <w:style w:type="paragraph" w:styleId="3">
    <w:name w:val="heading 2"/>
    <w:basedOn w:val="1"/>
    <w:next w:val="1"/>
    <w:link w:val="20"/>
    <w:unhideWhenUsed/>
    <w:qFormat/>
    <w:uiPriority w:val="0"/>
    <w:pPr>
      <w:ind w:left="0" w:firstLine="0" w:firstLineChars="0"/>
      <w:outlineLvl w:val="1"/>
    </w:pPr>
    <w:rPr>
      <w:rFonts w:ascii="宋体" w:hAnsi="宋体" w:eastAsia="方正楷体_GBK" w:cs="宋体"/>
      <w:bCs/>
      <w:szCs w:val="32"/>
    </w:rPr>
  </w:style>
  <w:style w:type="paragraph" w:styleId="4">
    <w:name w:val="heading 3"/>
    <w:basedOn w:val="1"/>
    <w:next w:val="1"/>
    <w:link w:val="21"/>
    <w:semiHidden/>
    <w:unhideWhenUsed/>
    <w:qFormat/>
    <w:uiPriority w:val="0"/>
    <w:pPr>
      <w:keepNext/>
      <w:keepLines/>
      <w:adjustRightInd w:val="0"/>
      <w:snapToGrid w:val="0"/>
      <w:spacing w:beforeLines="0" w:beforeAutospacing="0" w:afterLines="0" w:afterAutospacing="0" w:line="600" w:lineRule="exact"/>
      <w:outlineLvl w:val="2"/>
    </w:pPr>
    <w:rPr>
      <w:rFonts w:ascii="Times New Roman" w:hAnsi="Times New Roman" w:cstheme="minorBidi"/>
      <w:b/>
      <w:snapToGrid w:val="0"/>
      <w:color w:val="000000"/>
      <w:kern w:val="0"/>
      <w:szCs w:val="32"/>
      <w:lang w:eastAsia="en-US"/>
    </w:rPr>
  </w:style>
  <w:style w:type="character" w:default="1" w:styleId="15">
    <w:name w:val="Default Paragraph Font"/>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spacing w:after="120"/>
    </w:pPr>
    <w:rPr>
      <w:rFonts w:asciiTheme="minorAscii" w:hAnsiTheme="minorAscii"/>
      <w:b/>
    </w:rPr>
  </w:style>
  <w:style w:type="paragraph" w:styleId="6">
    <w:name w:val="Block Text"/>
    <w:basedOn w:val="1"/>
    <w:qFormat/>
    <w:uiPriority w:val="0"/>
    <w:pPr>
      <w:spacing w:after="120" w:afterLines="0" w:afterAutospacing="0"/>
      <w:ind w:left="1440" w:leftChars="700" w:rightChars="700"/>
    </w:pPr>
  </w:style>
  <w:style w:type="paragraph" w:styleId="7">
    <w:name w:val="Plain Text"/>
    <w:basedOn w:val="1"/>
    <w:next w:val="1"/>
    <w:qFormat/>
    <w:uiPriority w:val="0"/>
    <w:pPr>
      <w:spacing w:line="240" w:lineRule="auto"/>
      <w:ind w:firstLine="0" w:firstLineChars="0"/>
      <w:jc w:val="center"/>
    </w:pPr>
    <w:rPr>
      <w:rFonts w:ascii="Times New Roman" w:hAnsi="Times New Roman"/>
      <w:sz w:val="28"/>
      <w:szCs w:val="28"/>
    </w:rPr>
  </w:style>
  <w:style w:type="paragraph" w:styleId="8">
    <w:name w:val="Date"/>
    <w:basedOn w:val="1"/>
    <w:next w:val="1"/>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Title"/>
    <w:basedOn w:val="1"/>
    <w:next w:val="1"/>
    <w:qFormat/>
    <w:uiPriority w:val="0"/>
    <w:pPr>
      <w:spacing w:before="240" w:after="60"/>
      <w:jc w:val="center"/>
      <w:outlineLvl w:val="0"/>
    </w:pPr>
    <w:rPr>
      <w:rFonts w:ascii="Cambria" w:hAnsi="Cambria" w:eastAsia="黑体"/>
      <w:b/>
      <w:bCs/>
      <w:sz w:val="32"/>
      <w:szCs w:val="32"/>
    </w:rPr>
  </w:style>
  <w:style w:type="character" w:styleId="16">
    <w:name w:val="page number"/>
    <w:qFormat/>
    <w:uiPriority w:val="0"/>
    <w:rPr>
      <w:rFonts w:ascii="Times New Roman" w:hAnsi="Times New Roman" w:eastAsia="宋体" w:cs="Times New Roman"/>
    </w:rPr>
  </w:style>
  <w:style w:type="paragraph" w:customStyle="1" w:styleId="17">
    <w:name w:val="样式1"/>
    <w:basedOn w:val="1"/>
    <w:next w:val="1"/>
    <w:qFormat/>
    <w:uiPriority w:val="0"/>
    <w:pPr>
      <w:widowControl/>
      <w:spacing w:line="240" w:lineRule="auto"/>
      <w:ind w:firstLine="0" w:firstLineChars="0"/>
      <w:jc w:val="center"/>
      <w:textAlignment w:val="center"/>
    </w:pPr>
    <w:rPr>
      <w:rFonts w:hint="eastAsia" w:ascii="Times New Roman" w:hAnsi="Times New Roman" w:eastAsia="方正仿宋_GBK" w:cs="Times New Roman"/>
      <w:bCs/>
      <w:color w:val="000000"/>
      <w:kern w:val="0"/>
      <w:sz w:val="28"/>
      <w:szCs w:val="28"/>
      <w:u w:val="none"/>
      <w:lang w:bidi="ar"/>
    </w:rPr>
  </w:style>
  <w:style w:type="paragraph" w:customStyle="1" w:styleId="18">
    <w:name w:val="样式2"/>
    <w:basedOn w:val="1"/>
    <w:next w:val="17"/>
    <w:qFormat/>
    <w:uiPriority w:val="0"/>
    <w:pPr>
      <w:spacing w:after="120"/>
      <w:ind w:firstLine="0" w:firstLineChars="0"/>
      <w:jc w:val="center"/>
    </w:pPr>
    <w:rPr>
      <w:rFonts w:cs="Times New Roman"/>
      <w:sz w:val="28"/>
    </w:rPr>
  </w:style>
  <w:style w:type="character" w:customStyle="1" w:styleId="19">
    <w:name w:val="标题 1 Char"/>
    <w:link w:val="2"/>
    <w:qFormat/>
    <w:uiPriority w:val="9"/>
    <w:rPr>
      <w:rFonts w:ascii="Calibri" w:hAnsi="Calibri" w:eastAsia="方正黑体_GBK" w:cs="Times New Roman"/>
      <w:snapToGrid w:val="0"/>
      <w:color w:val="000000"/>
      <w:kern w:val="44"/>
      <w:sz w:val="32"/>
      <w:szCs w:val="24"/>
      <w:lang w:eastAsia="zh-CN"/>
    </w:rPr>
  </w:style>
  <w:style w:type="character" w:customStyle="1" w:styleId="20">
    <w:name w:val="标题 2 Char"/>
    <w:basedOn w:val="15"/>
    <w:link w:val="3"/>
    <w:qFormat/>
    <w:uiPriority w:val="9"/>
    <w:rPr>
      <w:rFonts w:ascii="宋体" w:hAnsi="宋体" w:eastAsia="方正楷体_GBK" w:cstheme="minorBidi"/>
      <w:snapToGrid w:val="0"/>
      <w:color w:val="000000"/>
      <w:kern w:val="2"/>
      <w:sz w:val="32"/>
      <w:szCs w:val="22"/>
      <w:lang w:eastAsia="zh-CN"/>
    </w:rPr>
  </w:style>
  <w:style w:type="character" w:customStyle="1" w:styleId="21">
    <w:name w:val="标题 3 Char"/>
    <w:basedOn w:val="15"/>
    <w:link w:val="4"/>
    <w:qFormat/>
    <w:uiPriority w:val="9"/>
    <w:rPr>
      <w:rFonts w:ascii="Times New Roman" w:hAnsi="Times New Roman" w:eastAsia="方正仿宋_GBK" w:cstheme="minorBidi"/>
      <w:b/>
      <w:bCs/>
      <w:snapToGrid w:val="0"/>
      <w:color w:val="000000"/>
      <w:kern w:val="0"/>
      <w:sz w:val="32"/>
      <w:szCs w:val="24"/>
      <w:lang w:eastAsia="en-US"/>
    </w:rPr>
  </w:style>
  <w:style w:type="paragraph" w:customStyle="1" w:styleId="22">
    <w:name w:val="默认"/>
    <w:qFormat/>
    <w:uiPriority w:val="0"/>
    <w:rPr>
      <w:rFonts w:ascii="Helvetica" w:hAnsi="Helvetica" w:eastAsia="Helvetica" w:cs="Times New Roman"/>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几何平面型"/>
      <sectRole val="1"/>
    </customSectPr>
    <customSectPr>
      <sectNamePr val="几何平面型"/>
    </customSectPr>
    <customSectPr/>
    <customSectPr>
      <sectNamePr val="几何平面型"/>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1024</Words>
  <Characters>1049</Characters>
  <Lines>0</Lines>
  <Paragraphs>0</Paragraphs>
  <TotalTime>18</TotalTime>
  <ScaleCrop>false</ScaleCrop>
  <LinksUpToDate>false</LinksUpToDate>
  <CharactersWithSpaces>1194</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2022-03-26T05:39:00Z</dcterms:created>
  <dc:creator>Administrator</dc:creator>
  <cp:lastModifiedBy>凯芯</cp:lastModifiedBy>
  <dcterms:modified xsi:type="dcterms:W3CDTF">2026-03-25T15:41:56Z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6A8874AB910BF9F23E59C2694382B7D6_43</vt:lpwstr>
  </property>
  <property fmtid="{D5CDD505-2E9C-101B-9397-08002B2CF9AE}" pid="4" name="KSOTemplateDocerSaveRecord">
    <vt:lpwstr>eyJoZGlkIjoiZDI4ZTU2YmUzNDU5YjEyODhkYjUxZDBiZDZkMDljNWIiLCJ1c2VySWQiOiIxMTQ3NDg4OTMxIn0=</vt:lpwstr>
  </property>
</Properties>
</file>