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重庆铜梁区城市管理局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关于</w:t>
      </w:r>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lang w:val="en-US" w:eastAsia="zh-CN"/>
        </w:rPr>
        <w:t>重庆市铜梁区城市绿地系统规划（征求意见稿）</w:t>
      </w:r>
      <w:r>
        <w:rPr>
          <w:rFonts w:hint="eastAsia" w:ascii="方正小标宋_GBK" w:hAnsi="方正小标宋_GBK" w:eastAsia="方正小标宋_GBK" w:cs="方正小标宋_GBK"/>
          <w:sz w:val="44"/>
          <w:szCs w:val="44"/>
        </w:rPr>
        <w:t>》起草说明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一、制定背景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以习近平新时代中国特色社会主义思想为指导，全面贯彻党的二十大精神，深入落实习近平总书记对重庆提出的重要指示要求，立足新发展阶段，完整、准确、全面贯彻新发展理念</w:t>
      </w:r>
      <w:bookmarkStart w:id="0" w:name="_GoBack"/>
      <w:bookmarkEnd w:id="0"/>
      <w:r>
        <w:rPr>
          <w:rFonts w:hint="eastAsia" w:ascii="Times New Roman" w:hAnsi="Times New Roman" w:eastAsia="方正仿宋_GBK" w:cs="Times New Roman"/>
          <w:color w:val="auto"/>
          <w:kern w:val="2"/>
          <w:sz w:val="32"/>
          <w:szCs w:val="32"/>
          <w:lang w:val="en-US" w:eastAsia="zh-CN" w:bidi="ar-SA"/>
        </w:rPr>
        <w:t>，坚定不移贯彻创新、协调、绿色、开放、共享的新发展理念，认识和尊重城市发展客观规律，围绕“高质量发展先行区、高品质生活示范区”一大目标，紧扣成渝地区双城经济圈建设“桥头堡”定位，以满足人民对城市高质量绿色空间日益增长的美好生活需要为根本目的，努力建设活力龙乡、美好铜梁。我局结合铜梁实际情况，在充分协调相关规划的同时，深入挖掘铜梁区的城市资源本底及绿色空间特色，特编制《重庆市铜梁区城市绿地系统规划（征求意见稿）》。</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制定的主要依据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根据《重庆市城市园林绿化条例》（重庆市人民代表大会常务委员会公告〔五届〕第133号），“第十条 城市园林绿化主管部门应当依据批准的国土空间规划、城市绿化规划编制城市绿地系统规划。城市园林绿化主管部门应当将涉及规划用地及空间布局的内容交规划自然资源部门综合平衡。区县（自治县）城市绿地系统规划由区县（自治县）城市园林绿化主管部门组织编制，在征求市城市园林绿化主管部门意见后，报区县（自治县）人民政府批准。经批准的城市绿地系统规划应当严格执行；确需变更的，应当按照法定程序进行。变更后的绿地总量不得减少，系统性不得破坏，功能性不得降低。城市园林绿化主管部门应当根据城市绿地系统规划，编制城市园林绿化年度建设计划，并组织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方正黑体_GBK" w:hAnsi="方正黑体_GBK" w:eastAsia="方正黑体_GBK" w:cs="方正黑体_GBK"/>
          <w:snapToGrid w:val="0"/>
          <w:kern w:val="0"/>
          <w:sz w:val="32"/>
          <w:szCs w:val="32"/>
        </w:rPr>
      </w:pPr>
      <w:r>
        <w:rPr>
          <w:rFonts w:hint="eastAsia" w:ascii="方正黑体_GBK" w:hAnsi="方正黑体_GBK" w:eastAsia="方正黑体_GBK" w:cs="方正黑体_GBK"/>
          <w:snapToGrid w:val="0"/>
          <w:kern w:val="0"/>
          <w:sz w:val="32"/>
          <w:szCs w:val="32"/>
        </w:rPr>
        <w:t>三、文件制定过程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napToGrid w:val="0"/>
          <w:kern w:val="0"/>
          <w:sz w:val="32"/>
          <w:szCs w:val="32"/>
          <w:lang w:val="en-US" w:eastAsia="zh-CN"/>
        </w:rPr>
      </w:pPr>
      <w:r>
        <w:rPr>
          <w:rFonts w:hint="eastAsia" w:ascii="Times New Roman" w:hAnsi="Times New Roman" w:eastAsia="方正仿宋_GBK" w:cs="Times New Roman"/>
          <w:snapToGrid w:val="0"/>
          <w:kern w:val="0"/>
          <w:sz w:val="32"/>
          <w:szCs w:val="32"/>
        </w:rPr>
        <w:t>（一）牵头起草单位：</w:t>
      </w:r>
      <w:r>
        <w:rPr>
          <w:rFonts w:hint="eastAsia" w:ascii="Times New Roman" w:hAnsi="Times New Roman" w:eastAsia="方正仿宋_GBK" w:cs="Times New Roman"/>
          <w:snapToGrid w:val="0"/>
          <w:kern w:val="0"/>
          <w:sz w:val="32"/>
          <w:szCs w:val="32"/>
          <w:lang w:val="en-US" w:eastAsia="zh-CN"/>
        </w:rPr>
        <w:t>重庆市铜梁区城市管理局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r>
        <w:rPr>
          <w:rFonts w:hint="eastAsia" w:ascii="Times New Roman" w:hAnsi="Times New Roman" w:eastAsia="方正仿宋_GBK" w:cs="Times New Roman"/>
          <w:snapToGrid w:val="0"/>
          <w:kern w:val="0"/>
          <w:sz w:val="32"/>
          <w:szCs w:val="32"/>
        </w:rPr>
        <w:t>（二）起草过程中，征求了</w:t>
      </w:r>
      <w:r>
        <w:rPr>
          <w:rFonts w:hint="eastAsia" w:ascii="Times New Roman" w:hAnsi="Times New Roman" w:eastAsia="方正仿宋_GBK" w:cs="Times New Roman"/>
          <w:snapToGrid w:val="0"/>
          <w:kern w:val="0"/>
          <w:sz w:val="32"/>
          <w:szCs w:val="32"/>
          <w:lang w:val="en-US" w:eastAsia="zh-CN"/>
        </w:rPr>
        <w:t>市城市管理局、</w:t>
      </w:r>
      <w:r>
        <w:rPr>
          <w:rFonts w:hint="eastAsia" w:ascii="Times New Roman" w:hAnsi="Times New Roman" w:eastAsia="方正仿宋_GBK" w:cs="Times New Roman"/>
          <w:color w:val="auto"/>
          <w:kern w:val="2"/>
          <w:sz w:val="32"/>
          <w:szCs w:val="32"/>
          <w:lang w:val="en-US" w:eastAsia="zh-CN" w:bidi="ar-SA"/>
        </w:rPr>
        <w:t>区规划自然资源局</w:t>
      </w:r>
      <w:r>
        <w:rPr>
          <w:rFonts w:hint="eastAsia" w:ascii="Times New Roman" w:hAnsi="Times New Roman" w:eastAsia="方正仿宋_GBK"/>
          <w:color w:val="000000"/>
          <w:sz w:val="32"/>
          <w:szCs w:val="32"/>
          <w:lang w:val="en-US" w:eastAsia="zh-CN"/>
        </w:rPr>
        <w:t>、区生态环境局、区住房城乡建委、区交通运输委、区水利</w:t>
      </w:r>
      <w:r>
        <w:rPr>
          <w:rFonts w:hint="eastAsia" w:ascii="Times New Roman" w:hAnsi="Times New Roman" w:eastAsia="方正仿宋_GBK"/>
          <w:color w:val="auto"/>
          <w:sz w:val="32"/>
          <w:szCs w:val="32"/>
          <w:lang w:val="en-US" w:eastAsia="zh-CN"/>
        </w:rPr>
        <w:t>局、</w:t>
      </w:r>
      <w:r>
        <w:rPr>
          <w:rFonts w:hint="eastAsia" w:ascii="Times New Roman" w:hAnsi="Times New Roman" w:eastAsia="方正仿宋_GBK"/>
          <w:color w:val="auto"/>
          <w:sz w:val="32"/>
          <w:szCs w:val="32"/>
          <w:highlight w:val="none"/>
          <w:u w:val="none"/>
          <w:shd w:val="clear" w:color="auto" w:fill="auto"/>
          <w:lang w:val="en-US" w:eastAsia="zh-CN"/>
        </w:rPr>
        <w:t>区农业农村委</w:t>
      </w:r>
      <w:r>
        <w:rPr>
          <w:rFonts w:hint="eastAsia" w:ascii="Times New Roman" w:hAnsi="Times New Roman" w:eastAsia="方正仿宋_GBK"/>
          <w:color w:val="auto"/>
          <w:sz w:val="32"/>
          <w:szCs w:val="32"/>
          <w:u w:val="none"/>
          <w:lang w:val="en-US" w:eastAsia="zh-CN"/>
        </w:rPr>
        <w:t>、区文化旅游委、区林业局、高新区管委会、巴川街道办事处、东城街道办事处、南城街道办事处、蒲吕街道办事处、绅</w:t>
      </w:r>
      <w:r>
        <w:rPr>
          <w:rFonts w:hint="eastAsia" w:ascii="Times New Roman" w:hAnsi="Times New Roman" w:eastAsia="方正仿宋_GBK"/>
          <w:color w:val="auto"/>
          <w:sz w:val="32"/>
          <w:szCs w:val="32"/>
          <w:lang w:val="en-US" w:eastAsia="zh-CN"/>
        </w:rPr>
        <w:t>鹏公司、玄天湖</w:t>
      </w:r>
      <w:r>
        <w:rPr>
          <w:rFonts w:hint="eastAsia" w:ascii="Times New Roman" w:hAnsi="Times New Roman" w:eastAsia="方正仿宋_GBK"/>
          <w:color w:val="000000"/>
          <w:sz w:val="32"/>
          <w:szCs w:val="32"/>
          <w:lang w:val="en-US" w:eastAsia="zh-CN"/>
        </w:rPr>
        <w:t>文旅公司、龙廷公司</w:t>
      </w:r>
      <w:r>
        <w:rPr>
          <w:rFonts w:hint="eastAsia" w:ascii="Times New Roman" w:hAnsi="Times New Roman" w:eastAsia="方正仿宋_GBK" w:cs="Times New Roman"/>
          <w:snapToGrid w:val="0"/>
          <w:kern w:val="0"/>
          <w:sz w:val="32"/>
          <w:szCs w:val="32"/>
        </w:rPr>
        <w:t>等单位</w:t>
      </w:r>
      <w:r>
        <w:rPr>
          <w:rFonts w:ascii="Times New Roman" w:hAnsi="Times New Roman" w:eastAsia="方正仿宋_GBK" w:cs="Times New Roman"/>
          <w:snapToGrid w:val="0"/>
          <w:kern w:val="0"/>
          <w:sz w:val="32"/>
          <w:szCs w:val="32"/>
        </w:rPr>
        <w:t>意见</w:t>
      </w:r>
      <w:r>
        <w:rPr>
          <w:rFonts w:hint="eastAsia" w:ascii="Times New Roman" w:hAnsi="Times New Roman" w:eastAsia="方正仿宋_GBK" w:cs="Times New Roman"/>
          <w:snapToGrid w:val="0"/>
          <w:kern w:val="0"/>
          <w:sz w:val="32"/>
          <w:szCs w:val="32"/>
        </w:rPr>
        <w:t>，对相关意见进行采纳。现将文稿向全社会予以公示，征求公众意见。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四、文件主要内容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olor w:val="auto"/>
          <w:sz w:val="32"/>
          <w:szCs w:val="32"/>
          <w:u w:val="none"/>
          <w:lang w:val="en-US" w:eastAsia="zh-CN"/>
        </w:rPr>
      </w:pPr>
      <w:r>
        <w:rPr>
          <w:rFonts w:hint="eastAsia" w:ascii="Times New Roman" w:hAnsi="Times New Roman" w:eastAsia="方正仿宋_GBK"/>
          <w:color w:val="auto"/>
          <w:sz w:val="32"/>
          <w:szCs w:val="32"/>
          <w:u w:val="none"/>
          <w:lang w:val="en-US" w:eastAsia="zh-CN"/>
        </w:rPr>
        <w:t>（一）总体框架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olor w:val="auto"/>
          <w:sz w:val="32"/>
          <w:szCs w:val="32"/>
          <w:u w:val="none"/>
          <w:lang w:val="en-US" w:eastAsia="zh-CN"/>
        </w:rPr>
      </w:pPr>
      <w:r>
        <w:rPr>
          <w:rFonts w:hint="eastAsia" w:ascii="Times New Roman" w:hAnsi="Times New Roman" w:eastAsia="方正仿宋_GBK"/>
          <w:color w:val="auto"/>
          <w:sz w:val="32"/>
          <w:szCs w:val="32"/>
          <w:u w:val="none"/>
          <w:lang w:val="en-US" w:eastAsia="zh-CN"/>
        </w:rPr>
        <w:t>《规划》共编制八章，包括规划总则、全域绿地系统规划、城区绿地系统规划、绿地系统专项规划、环境影响评价、近期建设规划、规划实施措施、附则。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olor w:val="auto"/>
          <w:sz w:val="32"/>
          <w:szCs w:val="32"/>
          <w:u w:val="none"/>
          <w:lang w:val="en-US" w:eastAsia="zh-CN"/>
        </w:rPr>
      </w:pPr>
      <w:r>
        <w:rPr>
          <w:rFonts w:hint="eastAsia" w:ascii="Times New Roman" w:hAnsi="Times New Roman" w:eastAsia="方正仿宋_GBK"/>
          <w:color w:val="auto"/>
          <w:sz w:val="32"/>
          <w:szCs w:val="32"/>
          <w:u w:val="none"/>
          <w:lang w:val="en-US" w:eastAsia="zh-CN"/>
        </w:rPr>
        <w:t>（二）主要目标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olor w:val="auto"/>
          <w:sz w:val="32"/>
          <w:szCs w:val="32"/>
          <w:u w:val="none"/>
          <w:lang w:val="en-US" w:eastAsia="zh-CN"/>
        </w:rPr>
      </w:pPr>
      <w:r>
        <w:rPr>
          <w:rFonts w:hint="eastAsia" w:ascii="Times New Roman" w:hAnsi="Times New Roman" w:eastAsia="方正仿宋_GBK"/>
          <w:color w:val="auto"/>
          <w:sz w:val="32"/>
          <w:szCs w:val="32"/>
          <w:u w:val="none"/>
          <w:lang w:val="en-US" w:eastAsia="zh-CN"/>
        </w:rPr>
        <w:t>构建全区城乡一体化绿色空间格局，满足国家生态园林城市创建要求，充分发挥城市绿色空间的生态、景观、游憩和服务功能，改善人居环境，树立城市景观形象，带动城市新区高质量发展，依托地域文化，加大城市绿化提档升级力 度，完善城区生态公共服务功能，打造城市人文与绿地景观 交融、活力开放、山水特色、宜业宜居的美丽铜梁。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olor w:val="auto"/>
          <w:sz w:val="32"/>
          <w:szCs w:val="32"/>
          <w:u w:val="none"/>
          <w:lang w:val="en-US" w:eastAsia="zh-CN"/>
        </w:rPr>
      </w:pPr>
      <w:r>
        <w:rPr>
          <w:rFonts w:hint="eastAsia" w:ascii="Times New Roman" w:hAnsi="Times New Roman" w:eastAsia="方正仿宋_GBK"/>
          <w:color w:val="auto"/>
          <w:sz w:val="32"/>
          <w:szCs w:val="32"/>
          <w:u w:val="none"/>
          <w:lang w:val="en-US" w:eastAsia="zh-CN"/>
        </w:rPr>
        <w:t>（三）规划指标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olor w:val="auto"/>
          <w:sz w:val="32"/>
          <w:szCs w:val="32"/>
          <w:u w:val="none"/>
          <w:lang w:val="en-US" w:eastAsia="zh-CN"/>
        </w:rPr>
      </w:pPr>
      <w:r>
        <w:rPr>
          <w:rFonts w:hint="eastAsia" w:ascii="Times New Roman" w:hAnsi="Times New Roman" w:eastAsia="方正仿宋_GBK"/>
          <w:color w:val="auto"/>
          <w:sz w:val="32"/>
          <w:szCs w:val="32"/>
          <w:u w:val="none"/>
          <w:lang w:val="en-US" w:eastAsia="zh-CN"/>
        </w:rPr>
        <w:t>到规划期末，城区城市园林绿化不应低于国家生态园林城市标准，规划人均公园绿地面积不低于15.49平方米/人，建成区绿地率41.54%以上，建成区绿化覆盖率43.00%以上。</w:t>
      </w:r>
    </w:p>
    <w:p>
      <w:pPr>
        <w:keepNext w:val="0"/>
        <w:keepLines w:val="0"/>
        <w:pageBreakBefore w:val="0"/>
        <w:widowControl w:val="0"/>
        <w:kinsoku/>
        <w:wordWrap/>
        <w:overflowPunct/>
        <w:topLinePunct w:val="0"/>
        <w:autoSpaceDE/>
        <w:autoSpaceDN/>
        <w:bidi w:val="0"/>
        <w:adjustRightInd/>
        <w:snapToGrid/>
        <w:spacing w:line="576"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Helvetica">
    <w:altName w:val="Liberation Sans"/>
    <w:panose1 w:val="020B0604020202020204"/>
    <w:charset w:val="00"/>
    <w:family w:val="swiss"/>
    <w:pitch w:val="default"/>
    <w:sig w:usb0="00000000" w:usb1="00000000" w:usb2="00000009" w:usb3="00000000" w:csb0="000001FF" w:csb1="00000000"/>
  </w:font>
  <w:font w:name="Liberation Sans">
    <w:panose1 w:val="020B0604020202020204"/>
    <w:charset w:val="00"/>
    <w:family w:val="auto"/>
    <w:pitch w:val="default"/>
    <w:sig w:usb0="A00002AF" w:usb1="500078FB" w:usb2="00000000" w:usb3="00000000" w:csb0="6000009F" w:csb1="DFD7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929B7B"/>
    <w:multiLevelType w:val="singleLevel"/>
    <w:tmpl w:val="21929B7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0672A8"/>
    <w:rsid w:val="09736E95"/>
    <w:rsid w:val="20054448"/>
    <w:rsid w:val="21B76116"/>
    <w:rsid w:val="2293267C"/>
    <w:rsid w:val="267D34F9"/>
    <w:rsid w:val="26AE339E"/>
    <w:rsid w:val="32093941"/>
    <w:rsid w:val="38426D2C"/>
    <w:rsid w:val="406801ED"/>
    <w:rsid w:val="4CF34FC5"/>
    <w:rsid w:val="54A05A65"/>
    <w:rsid w:val="557E00B6"/>
    <w:rsid w:val="5C014C5B"/>
    <w:rsid w:val="5C0672A8"/>
    <w:rsid w:val="74B72AE2"/>
    <w:rsid w:val="75590C45"/>
    <w:rsid w:val="7CB33736"/>
    <w:rsid w:val="7D746CDA"/>
    <w:rsid w:val="F77F0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TotalTime>
  <ScaleCrop>false</ScaleCrop>
  <LinksUpToDate>false</LinksUpToDate>
  <CharactersWithSpaces>0</CharactersWithSpaces>
  <Application>WPS Office_11.8.2.1124_F1E327BC-269C-435d-A152-05C5408002CA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2024-10-17T15:58:00Z</dcterms:created>
  <dc:creator>Spring</dc:creator>
  <cp:lastModifiedBy>dzdn</cp:lastModifiedBy>
  <dcterms:modified xsi:type="dcterms:W3CDTF">2024-12-25T17:05:38Z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2052-11.8.2.1124</vt:lpwstr>
  </property>
  <property fmtid="{D5CDD505-2E9C-101B-9397-08002B2CF9AE}" pid="3" name="ICV">
    <vt:lpwstr>B59FB73A17E36330E2CA6B674AA83335</vt:lpwstr>
  </property>
</Properties>
</file>