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pacing w:val="-20"/>
          <w:sz w:val="44"/>
        </w:rPr>
      </w:pPr>
      <w:r>
        <w:rPr>
          <w:rFonts w:hint="default" w:ascii="Times New Roman" w:hAnsi="Times New Roman" w:cs="Times New Roman"/>
          <w:b/>
          <w:bCs/>
          <w:color w:val="auto"/>
          <w:spacing w:val="-20"/>
          <w:sz w:val="44"/>
        </w:rPr>
        <w:t>竞买资格确认书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b/>
          <w:bCs/>
          <w:color w:val="auto"/>
          <w:spacing w:val="-2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贵单位提交的对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出字〔20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〕（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铜梁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中序号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矿权的竞买申请书及相关报名资料已收悉。经审查，你方已按规定交纳了竞买保证金，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符合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矿权竞买申请人资格，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所提交文件资料符合我方此次交易文件的规定和要求，现确认你方具备参加本次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矿权竞买资格。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请持此《竞买资格确认书》到我中心领取《拍卖（挂牌）通知书》参加竞买活动。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领取时间：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年   月   日  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领取地点：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重庆市铜梁区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公共资源综合交易中心（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重庆市铜梁区东城街道亚龙路2号4幢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重庆市铜梁区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7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80" w:firstLineChars="6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重庆市铜梁区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公共资源综合交易中心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149"/>
        <w:tblOverlap w:val="never"/>
        <w:tblW w:w="101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0"/>
        <w:gridCol w:w="1830"/>
        <w:gridCol w:w="945"/>
        <w:gridCol w:w="2285"/>
        <w:gridCol w:w="925"/>
        <w:gridCol w:w="17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领取人（法人或受托人）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领取日期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6278"/>
    <w:multiLevelType w:val="singleLevel"/>
    <w:tmpl w:val="5795627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956421"/>
    <w:multiLevelType w:val="singleLevel"/>
    <w:tmpl w:val="5795642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40" w:firstLineChars="200"/>
    </w:pPr>
    <w:rPr>
      <w:rFonts w:ascii="Calibri" w:hAnsi="Calibri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2023-05-18T09:56:42Z</dcterms:created>
  <dc:creator>Administrator</dc:creator>
  <cp:lastModifiedBy>Administrator</cp:lastModifiedBy>
  <dcterms:modified xsi:type="dcterms:W3CDTF">2023-05-18T09:57:06Z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