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Chars="0" w:firstLine="0" w:firstLineChars="0"/>
        <w:jc w:val="center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铜水发〔202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77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ind w:left="0" w:leftChars="0" w:rightChars="0"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重庆市铜梁区水利局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关于调整重点监控用水单位名录的通知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区经济信息委、区卫生健康委、区教委、区龙泽水务公司、各重点监控用水单位：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为深入贯彻节水优先方针，认真落实《重庆市铜梁区节水行动实施方案》要求，强化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重点用水大户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节水监督管理。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根据工作要求，现调整区级重点监控用水单位名录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，并就有关工作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强调如下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加强用水管理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各区级重点监控用水单位应根据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《重庆市灌溉用水定额（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2017修订版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）》和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《重庆市第二三产业用水定额（2020年版）》做好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定额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用水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计划用水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工作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，建立健全各项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节约用水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规章制度，按月建立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取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用水管理台账。</w:t>
      </w:r>
      <w:r>
        <w:rPr>
          <w:rFonts w:ascii="方正仿宋_GBK" w:hAnsi="方正仿宋_GBK" w:eastAsia="方正仿宋_GBK" w:cs="方正仿宋_GBK"/>
          <w:sz w:val="32"/>
          <w:szCs w:val="32"/>
        </w:rPr>
        <w:t>安装用</w:t>
      </w:r>
      <w:bookmarkStart w:id="0" w:name="_GoBack"/>
      <w:bookmarkEnd w:id="0"/>
      <w:r>
        <w:rPr>
          <w:rFonts w:ascii="方正仿宋_GBK" w:hAnsi="方正仿宋_GBK" w:eastAsia="方正仿宋_GBK" w:cs="方正仿宋_GBK"/>
          <w:sz w:val="32"/>
          <w:szCs w:val="32"/>
        </w:rPr>
        <w:t>水计量设施，并保障其正常运行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ascii="方正仿宋_GBK" w:hAnsi="方正仿宋_GBK" w:eastAsia="方正仿宋_GBK" w:cs="方正仿宋_GBK"/>
          <w:sz w:val="32"/>
          <w:szCs w:val="32"/>
        </w:rPr>
        <w:t>强化用水计量管理，推进用水在线监控。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每年12月31日前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，取水单位需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提交年度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取水总结和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取水计划申报表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，公共管网用水单位提交年度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计划用水单位指标核定表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和年度定额用水量核定表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。1月底前将上一年度区级重点监控用水单位用水报表（详见附件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）报送至区水利局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水政水资源科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严格节水管理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Calibri" w:hAnsi="Calibri" w:eastAsia="方正仿宋_GBK" w:cs="Times New Roman"/>
          <w:sz w:val="32"/>
          <w:szCs w:val="32"/>
        </w:rPr>
        <w:t>各级重点监控用水单位所属行业主管部门要配合区</w:t>
      </w:r>
      <w:r>
        <w:rPr>
          <w:rFonts w:hint="eastAsia" w:eastAsia="方正仿宋_GBK" w:cs="Times New Roman"/>
          <w:sz w:val="32"/>
          <w:szCs w:val="32"/>
        </w:rPr>
        <w:t>水利局</w:t>
      </w:r>
      <w:r>
        <w:rPr>
          <w:rFonts w:hint="eastAsia" w:ascii="Calibri" w:hAnsi="Calibri" w:eastAsia="方正仿宋_GBK" w:cs="Times New Roman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引导区级重点监控用水单位建立节水管理制度，明确节水目标责任，定期开展水平衡测试，提高节约用水效率，发挥节水示范带动作用，争创节水型企业、节水型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灌区和公共机构节水型单位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，争当本行业水效领跑者。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加强监督检查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eastAsia="方正仿宋_GBK" w:cs="Times New Roman"/>
          <w:sz w:val="32"/>
          <w:szCs w:val="32"/>
        </w:rPr>
      </w:pPr>
      <w:r>
        <w:rPr>
          <w:rFonts w:hint="eastAsia" w:ascii="Calibri" w:hAnsi="Calibri" w:eastAsia="方正仿宋_GBK" w:cs="Times New Roman"/>
          <w:sz w:val="32"/>
          <w:szCs w:val="32"/>
        </w:rPr>
        <w:t>区</w:t>
      </w:r>
      <w:r>
        <w:rPr>
          <w:rFonts w:hint="eastAsia" w:eastAsia="方正仿宋_GBK" w:cs="Times New Roman"/>
          <w:sz w:val="32"/>
          <w:szCs w:val="32"/>
        </w:rPr>
        <w:t>水利局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对各</w:t>
      </w:r>
      <w:r>
        <w:rPr>
          <w:rFonts w:hint="eastAsia" w:ascii="Times New Roman" w:hAnsi="Times New Roman" w:eastAsia="方正仿宋_GBK"/>
          <w:sz w:val="32"/>
          <w:szCs w:val="32"/>
        </w:rPr>
        <w:t>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级重点监控用水单位严格实行</w:t>
      </w:r>
      <w:r>
        <w:rPr>
          <w:rFonts w:ascii="Times New Roman" w:hAnsi="Times New Roman" w:eastAsia="方正仿宋_GBK" w:cs="Times New Roman"/>
          <w:sz w:val="32"/>
          <w:szCs w:val="32"/>
        </w:rPr>
        <w:t>计划用水管理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，在下达用水计划</w:t>
      </w:r>
      <w:r>
        <w:rPr>
          <w:rFonts w:hint="eastAsia" w:ascii="Calibri" w:hAnsi="Calibri" w:eastAsia="方正仿宋_GBK" w:cs="Times New Roman"/>
          <w:sz w:val="32"/>
          <w:szCs w:val="32"/>
        </w:rPr>
        <w:t>时，要严格用水定额管理，应用</w:t>
      </w:r>
      <w:r>
        <w:rPr>
          <w:rFonts w:ascii="Times New Roman" w:hAnsi="Times New Roman" w:eastAsia="方正仿宋_GBK" w:cs="Times New Roman"/>
          <w:sz w:val="32"/>
          <w:szCs w:val="32"/>
        </w:rPr>
        <w:t>用水定额科学核定用水计划</w:t>
      </w:r>
      <w:r>
        <w:rPr>
          <w:rFonts w:hint="eastAsia" w:ascii="Times New Roman" w:hAnsi="Times New Roman" w:eastAsia="方正仿宋_GBK"/>
          <w:sz w:val="32"/>
          <w:szCs w:val="32"/>
        </w:rPr>
        <w:t>。</w:t>
      </w:r>
      <w:r>
        <w:rPr>
          <w:rFonts w:hint="eastAsia" w:eastAsia="方正仿宋_GBK" w:cs="Times New Roman"/>
          <w:sz w:val="32"/>
          <w:szCs w:val="32"/>
        </w:rPr>
        <w:t>各区级重点监控用水单位所属行业主管部门要配合区水利局，按照所属管理原则，加强对我区区级重点监控用水单位的用水监督检查。区水利局将制定监督检查计划，按计划做好现场检查、检查记录、问题整改跟踪督办，让重点监控用水单位自觉做到节约用水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其他事项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《重庆市铜梁区水利局关于公布区级重点监控用水单位名录的通知》（铜水发〔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2020〕165号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）自本文件印发之日废止。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附件：1.重庆市铜梁区重点监控用水单位名录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left="1600"/>
        <w:jc w:val="left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ascii="方正仿宋_GBK" w:hAnsi="方正仿宋_GBK" w:eastAsia="方正仿宋_GBK" w:cs="方正仿宋_GBK"/>
          <w:sz w:val="32"/>
          <w:szCs w:val="32"/>
        </w:rPr>
        <w:t>重庆市铜梁区重点监控用水单位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XX</w:t>
      </w:r>
      <w:r>
        <w:rPr>
          <w:rFonts w:ascii="方正仿宋_GBK" w:hAnsi="方正仿宋_GBK" w:eastAsia="方正仿宋_GBK" w:cs="方正仿宋_GBK"/>
          <w:sz w:val="32"/>
          <w:szCs w:val="32"/>
        </w:rPr>
        <w:t>年度用水报表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right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right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right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righ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重庆市铜梁区水利局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right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日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ascii="方正仿宋_GBK" w:hAnsi="方正仿宋_GBK" w:eastAsia="方正仿宋_GBK" w:cs="方正仿宋_GBK"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851" w:footer="1474" w:gutter="0"/>
          <w:pgNumType w:fmt="numberInDash"/>
          <w:cols w:space="425" w:num="1"/>
          <w:docGrid w:type="lines" w:linePitch="312" w:charSpace="0"/>
        </w:sectPr>
      </w:pPr>
    </w:p>
    <w:p>
      <w:pPr>
        <w:spacing w:line="560" w:lineRule="exac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重庆市铜梁区重点监控用水单位名录</w:t>
      </w:r>
    </w:p>
    <w:tbl>
      <w:tblPr>
        <w:tblStyle w:val="5"/>
        <w:tblpPr w:leftFromText="180" w:rightFromText="180" w:vertAnchor="text" w:horzAnchor="page" w:tblpX="1563" w:tblpY="543"/>
        <w:tblOverlap w:val="never"/>
        <w:tblW w:w="4997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3"/>
        <w:gridCol w:w="4300"/>
        <w:gridCol w:w="385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/>
              </w:rPr>
              <w:t>重庆市铜梁区水利设施管理事务中心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响伍中型灌区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/>
              </w:rPr>
              <w:t>取水单位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/>
              </w:rPr>
              <w:t>重庆市铜梁区水利设施管理事务中心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淮远河中型灌区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/>
              </w:rPr>
              <w:t>取水单位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重庆铜梁西南水泥有限公司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取水单位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重庆凌达磁材科技有限公司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取水单位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重庆华丰迪杰特印刷材料有限公司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公共供水管网供水的用水单位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重庆市铜梁区人民医院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公共供水管网供水的用水单位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铜梁一中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公共供水管网供水的用水单位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  <w:sectPr>
          <w:pgSz w:w="11906" w:h="16838"/>
          <w:pgMar w:top="2098" w:right="1474" w:bottom="1984" w:left="1587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spacing w:line="560" w:lineRule="exact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重庆市铜梁区重点监控用水单位XX年度用水报表</w:t>
      </w:r>
    </w:p>
    <w:tbl>
      <w:tblPr>
        <w:tblStyle w:val="5"/>
        <w:tblW w:w="4999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33"/>
        <w:gridCol w:w="2250"/>
        <w:gridCol w:w="2023"/>
        <w:gridCol w:w="3183"/>
        <w:gridCol w:w="16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单位名称（盖章）</w:t>
            </w:r>
          </w:p>
        </w:tc>
        <w:tc>
          <w:tcPr>
            <w:tcW w:w="357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357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产品产量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（标准用水人数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/就诊人次数/开放床日数等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57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6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4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年度计划用水总量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（万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/>
              </w:rPr>
              <w:t>m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vertAlign w:val="superscript"/>
                <w:lang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8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7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年度实际用水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总量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（万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/>
              </w:rPr>
              <w:t>m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vertAlign w:val="superscript"/>
                <w:lang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取水许可水源地取用水量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（万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/>
              </w:rPr>
              <w:t>m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vertAlign w:val="superscript"/>
                <w:lang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4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8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7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公共管网取用水量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（万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/>
              </w:rPr>
              <w:t>m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vertAlign w:val="superscript"/>
                <w:lang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4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8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7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非常规水取用水量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（万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/>
              </w:rPr>
              <w:t>m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vertAlign w:val="superscript"/>
                <w:lang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填报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/>
              </w:rPr>
              <w:t>人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 xml:space="preserve">：                       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 xml:space="preserve">                报送时间：     年  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  <w:sectPr>
          <w:pgSz w:w="16838" w:h="11906" w:orient="landscape"/>
          <w:pgMar w:top="1587" w:right="2098" w:bottom="1474" w:left="1984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pStyle w:val="2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pStyle w:val="2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pStyle w:val="2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pStyle w:val="2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pStyle w:val="2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 xml:space="preserve">  重庆市铜梁区水利局办公室           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 xml:space="preserve">    2022年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 xml:space="preserve">日印发  </w:t>
      </w:r>
    </w:p>
    <w:sectPr>
      <w:pgSz w:w="11906" w:h="16838"/>
      <w:pgMar w:top="2098" w:right="1474" w:bottom="1984" w:left="1587" w:header="851" w:footer="147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2AD0C4"/>
    <w:multiLevelType w:val="singleLevel"/>
    <w:tmpl w:val="D22AD0C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0YzBmZTI2YzRjMzgyNmRmZDQ2YWYxZmVhNDMzNzgifQ=="/>
  </w:docVars>
  <w:rsids>
    <w:rsidRoot w:val="00000000"/>
    <w:rsid w:val="0B3E0BF1"/>
    <w:rsid w:val="0CDB6FDB"/>
    <w:rsid w:val="132D4308"/>
    <w:rsid w:val="13DB3D64"/>
    <w:rsid w:val="14D507B4"/>
    <w:rsid w:val="34F211E2"/>
    <w:rsid w:val="35BA6331"/>
    <w:rsid w:val="375021F0"/>
    <w:rsid w:val="399834E3"/>
    <w:rsid w:val="46F5246C"/>
    <w:rsid w:val="4E3615AF"/>
    <w:rsid w:val="517C33D6"/>
    <w:rsid w:val="582C2F08"/>
    <w:rsid w:val="66775B5C"/>
    <w:rsid w:val="66D24668"/>
    <w:rsid w:val="67E91C0C"/>
    <w:rsid w:val="689478DF"/>
    <w:rsid w:val="6D3353A4"/>
    <w:rsid w:val="72F76F6E"/>
    <w:rsid w:val="78CA4586"/>
    <w:rsid w:val="7FDB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before="0" w:after="140" w:line="276" w:lineRule="auto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next w:val="2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21"/>
    <w:basedOn w:val="6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8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1144</Words>
  <Characters>1170</Characters>
  <Lines>0</Lines>
  <Paragraphs>0</Paragraphs>
  <TotalTime>3</TotalTime>
  <ScaleCrop>false</ScaleCrop>
  <LinksUpToDate>false</LinksUpToDate>
  <CharactersWithSpaces>1264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2022-09-28T03:32:00Z</dcterms:created>
  <dc:creator>Administrator</dc:creator>
  <cp:lastModifiedBy>Administrator</cp:lastModifiedBy>
  <cp:lastPrinted>2022-10-08T09:03:38Z</cp:lastPrinted>
  <dcterms:modified xsi:type="dcterms:W3CDTF">2022-10-08T09:03:43Z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91DBB70282294B5980A35CE7044D5E66</vt:lpwstr>
  </property>
</Properties>
</file>